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326A4A" w:rsidRPr="000635C4" w:rsidRDefault="00326A4A" w:rsidP="00326A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Контроль показателей качества электрической энергии в точках присоединения энергопринимающих установок потребителя электрической энергии к электрическим сетям сетевой организации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="00326A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26A4A" w:rsidRPr="00326A4A">
        <w:rPr>
          <w:rFonts w:ascii="Times New Roman" w:eastAsia="Calibri" w:hAnsi="Times New Roman" w:cs="Times New Roman"/>
          <w:sz w:val="24"/>
          <w:szCs w:val="24"/>
          <w:lang w:eastAsia="en-US"/>
        </w:rPr>
        <w:t>АО</w:t>
      </w:r>
      <w:r w:rsidR="00326A4A">
        <w:rPr>
          <w:rFonts w:ascii="Times New Roman" w:eastAsia="Times New Roman" w:hAnsi="Times New Roman" w:cs="Times New Roman"/>
          <w:bCs/>
          <w:sz w:val="24"/>
          <w:szCs w:val="24"/>
        </w:rPr>
        <w:t xml:space="preserve"> «ВВЭК»</w:t>
      </w:r>
      <w:r w:rsidRPr="000635C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интересах </w:t>
      </w:r>
      <w:r w:rsidRPr="000635C4">
        <w:rPr>
          <w:rFonts w:ascii="Times New Roman" w:eastAsia="Times New Roman" w:hAnsi="Times New Roman" w:cs="Times New Roman"/>
          <w:sz w:val="24"/>
          <w:szCs w:val="24"/>
        </w:rPr>
        <w:t>физических и юридических лиц, индивидуальных предпринимателей.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наличие технологического присоединения к сетям </w:t>
      </w:r>
      <w:r w:rsidR="00326A4A" w:rsidRPr="00326A4A">
        <w:rPr>
          <w:rFonts w:ascii="Times New Roman" w:eastAsia="Calibri" w:hAnsi="Times New Roman" w:cs="Times New Roman"/>
          <w:sz w:val="24"/>
          <w:szCs w:val="24"/>
          <w:lang w:eastAsia="en-US"/>
        </w:rPr>
        <w:t>АО</w:t>
      </w:r>
      <w:r w:rsidR="00326A4A">
        <w:rPr>
          <w:rFonts w:ascii="Times New Roman" w:eastAsia="Times New Roman" w:hAnsi="Times New Roman" w:cs="Times New Roman"/>
          <w:bCs/>
          <w:sz w:val="24"/>
          <w:szCs w:val="24"/>
        </w:rPr>
        <w:t xml:space="preserve"> «ВВЭК»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, заключенного акта разграничения балансовой принадлежности электросетей, договора электроснабжения с энергосбытовой организацией.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Выдача протокола с результатами измерений и заключением о соответствии (несоответствии) техническим регламентам и иным обязательным требованиям.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14 рабочих дней.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</w:t>
            </w:r>
            <w:bookmarkStart w:id="0" w:name="_GoBack"/>
            <w:bookmarkEnd w:id="0"/>
            <w:r w:rsidRPr="000635C4">
              <w:rPr>
                <w:rFonts w:ascii="Times New Roman" w:eastAsia="Calibri" w:hAnsi="Times New Roman" w:cs="Times New Roman"/>
                <w:lang w:eastAsia="en-US"/>
              </w:rPr>
              <w:t>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Подача заявки на проведение контроля показателей качества электрической энергии в точках присоединения энергопринимающих установок потребителя электрической энергии к электрическим сетям сетевой организации.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Содержание заявки: реквизиты заявителя, место нахождения энергопринимающих устройств, номер и дата акта разграничения балансовой принадлежности электросетей, номер и дата договора электроснабжения с энергосбытовой организацией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45253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Письменно почтой, </w:t>
            </w:r>
            <w:r w:rsidR="00F45253"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в </w:t>
            </w: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электронной форме, с использованием телефонной связи.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Приказ Минэнерго России (Министерство энергетики РФ) от 15 апреля2014 г. №186 «О единых стандартах качества обслуживания сетевыми организациями потребителей услуг сетевых организаций».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Выбор контрольных пунктов для производства измерений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1. Анализ перечня распределительных сетей, заявляемых на сертификацию.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2. Систематизация и анализ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Эксплуатационных данных и технической документации, проведение необходимых расчетов.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3. Выбор наиболее характерных контрольных точек.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lastRenderedPageBreak/>
              <w:t>4. Согласование сроков проведения инструментальных измерений.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proofErr w:type="gramStart"/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lastRenderedPageBreak/>
              <w:t>Письменно (перечень пунктов контроля - акт выбора контрольных</w:t>
            </w:r>
            <w:proofErr w:type="gramEnd"/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пунктов).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Согласно утвержденному графику проведения работ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Приказ Минэнерго России (Министерство энергетики РФ) от 15 апреля2014 г. №186 «О единых стандартах качества обслуживания сетевыми организациями потребителей услуг сетевых организаций»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Проведение испытаний (измерений) показателей качества электрической энергии в выбранных контрольных пунктах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1. Доставка бригады до места проведения испытаний;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2. Подготовка рабочих мест (сбор схем, настройка аппаратуры);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3. Установка средств измерений;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4. Проведение измерений показателей качества электрической энергии.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Письменно (протоколы измерений).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Согласно утвержденному графику проведения работ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Приказ Минэнерго России (Министерство энергетики РФ) от 15 апреля2014 г. №186 «О единых стандартах качества обслуживания сетевыми организациями потребителей услуг сетевых организаций»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Анализ результатов измерений и выдача заключения о соответствии (несоответствии) техническим регламентам и иным обязательным требованиям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1. Обработка результатов измерений;</w:t>
            </w:r>
          </w:p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2. Составление заключения о соответствии (несоответствии) техническим регламентам и иным обязательным требованиям и внесение результатов в протокол измерения;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Письменно (протоколы испытаний, заключения)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14 рабочих дней с момента проведения испытаний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Приказ Минэнерго России (Министерство энергетики РФ) от 15 апреля2014 г. №186 «О единых стандартах качества обслуживания сетевыми организациями потребителей услуг сетевых организаций»</w:t>
            </w:r>
          </w:p>
        </w:tc>
      </w:tr>
    </w:tbl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</w:pPr>
    </w:p>
    <w:p w:rsidR="00E9377E" w:rsidRDefault="00E9377E" w:rsidP="00E937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5D02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26A4A"/>
    <w:rsid w:val="00354463"/>
    <w:rsid w:val="00360288"/>
    <w:rsid w:val="00371957"/>
    <w:rsid w:val="003857D4"/>
    <w:rsid w:val="003B1C74"/>
    <w:rsid w:val="003B6D38"/>
    <w:rsid w:val="003D1512"/>
    <w:rsid w:val="003D22DC"/>
    <w:rsid w:val="003D3528"/>
    <w:rsid w:val="003D3BF0"/>
    <w:rsid w:val="003E09EF"/>
    <w:rsid w:val="003F6140"/>
    <w:rsid w:val="004125A2"/>
    <w:rsid w:val="00431B9D"/>
    <w:rsid w:val="00435EFC"/>
    <w:rsid w:val="0045182B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178E7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9377E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6</cp:revision>
  <cp:lastPrinted>2015-03-02T08:45:00Z</cp:lastPrinted>
  <dcterms:created xsi:type="dcterms:W3CDTF">2015-05-22T05:51:00Z</dcterms:created>
  <dcterms:modified xsi:type="dcterms:W3CDTF">2016-08-03T06:48:00Z</dcterms:modified>
</cp:coreProperties>
</file>