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0"/>
              </w:rPr>
              <w:t xml:space="preserve">Постановление Правительства РФ от 27.12.2004 N 861</w:t>
              <w:br/>
              <w:t xml:space="preserve">(ред. от 30.06.2022)</w:t>
              <w:br/>
              <w:t xml:space="preserve">"Об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11.07.2022</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27 декабря 2004 г. N 861</w:t>
      </w:r>
    </w:p>
    <w:p>
      <w:pPr>
        <w:pStyle w:val="2"/>
        <w:jc w:val="center"/>
      </w:pPr>
      <w:r>
        <w:rPr>
          <w:sz w:val="20"/>
        </w:rPr>
      </w:r>
    </w:p>
    <w:p>
      <w:pPr>
        <w:pStyle w:val="2"/>
        <w:jc w:val="center"/>
      </w:pPr>
      <w:r>
        <w:rPr>
          <w:sz w:val="20"/>
        </w:rPr>
        <w:t xml:space="preserve">ОБ УТВЕРЖДЕНИИ ПРАВИЛ</w:t>
      </w:r>
    </w:p>
    <w:p>
      <w:pPr>
        <w:pStyle w:val="2"/>
        <w:jc w:val="center"/>
      </w:pPr>
      <w:r>
        <w:rPr>
          <w:sz w:val="20"/>
        </w:rPr>
        <w:t xml:space="preserve">НЕДИСКРИМИНАЦИОННОГО ДОСТУПА К УСЛУГАМ</w:t>
      </w:r>
    </w:p>
    <w:p>
      <w:pPr>
        <w:pStyle w:val="2"/>
        <w:jc w:val="center"/>
      </w:pPr>
      <w:r>
        <w:rPr>
          <w:sz w:val="20"/>
        </w:rPr>
        <w:t xml:space="preserve">ПО ПЕРЕДАЧЕ ЭЛЕКТРИЧЕСКОЙ ЭНЕРГИИ И ОКАЗАНИЯ ЭТИХ</w:t>
      </w:r>
    </w:p>
    <w:p>
      <w:pPr>
        <w:pStyle w:val="2"/>
        <w:jc w:val="center"/>
      </w:pPr>
      <w:r>
        <w:rPr>
          <w:sz w:val="20"/>
        </w:rPr>
        <w:t xml:space="preserve">УСЛУГ, ПРАВИЛ НЕДИСКРИМИНАЦИОННОГО ДОСТУПА К УСЛУГАМ</w:t>
      </w:r>
    </w:p>
    <w:p>
      <w:pPr>
        <w:pStyle w:val="2"/>
        <w:jc w:val="center"/>
      </w:pPr>
      <w:r>
        <w:rPr>
          <w:sz w:val="20"/>
        </w:rPr>
        <w:t xml:space="preserve">ПО ОПЕРАТИВНО-ДИСПЕТЧЕРСКОМУ УПРАВЛЕНИЮ</w:t>
      </w:r>
    </w:p>
    <w:p>
      <w:pPr>
        <w:pStyle w:val="2"/>
        <w:jc w:val="center"/>
      </w:pPr>
      <w:r>
        <w:rPr>
          <w:sz w:val="20"/>
        </w:rPr>
        <w:t xml:space="preserve">В ЭЛЕКТРОЭНЕРГЕТИКЕ И ОКАЗАНИЯ ЭТИХ УСЛУГ, ПРАВИЛ</w:t>
      </w:r>
    </w:p>
    <w:p>
      <w:pPr>
        <w:pStyle w:val="2"/>
        <w:jc w:val="center"/>
      </w:pPr>
      <w:r>
        <w:rPr>
          <w:sz w:val="20"/>
        </w:rPr>
        <w:t xml:space="preserve">НЕДИСКРИМИНАЦИОННОГО ДОСТУПА К УСЛУГАМ АДМИНИСТРАТОРА</w:t>
      </w:r>
    </w:p>
    <w:p>
      <w:pPr>
        <w:pStyle w:val="2"/>
        <w:jc w:val="center"/>
      </w:pPr>
      <w:r>
        <w:rPr>
          <w:sz w:val="20"/>
        </w:rPr>
        <w:t xml:space="preserve">ТОРГОВОЙ СИСТЕМЫ ОПТОВОГО РЫНКА И ОКАЗАНИЯ ЭТИХ УСЛУГ</w:t>
      </w:r>
    </w:p>
    <w:p>
      <w:pPr>
        <w:pStyle w:val="2"/>
        <w:jc w:val="center"/>
      </w:pPr>
      <w:r>
        <w:rPr>
          <w:sz w:val="20"/>
        </w:rPr>
        <w:t xml:space="preserve">И ПРАВИЛ ТЕХНОЛОГИЧЕСКОГО ПРИСОЕДИНЕНИЯ ЭНЕРГОПРИНИМАЮЩИХ</w:t>
      </w:r>
    </w:p>
    <w:p>
      <w:pPr>
        <w:pStyle w:val="2"/>
        <w:jc w:val="center"/>
      </w:pPr>
      <w:r>
        <w:rPr>
          <w:sz w:val="20"/>
        </w:rPr>
        <w:t xml:space="preserve">УСТРОЙСТВ ПОТРЕБИТЕЛЕЙ ЭЛЕКТРИЧЕСКОЙ ЭНЕРГИИ, ОБЪЕКТОВ</w:t>
      </w:r>
    </w:p>
    <w:p>
      <w:pPr>
        <w:pStyle w:val="2"/>
        <w:jc w:val="center"/>
      </w:pPr>
      <w:r>
        <w:rPr>
          <w:sz w:val="20"/>
        </w:rPr>
        <w:t xml:space="preserve">ПО ПРОИЗВОДСТВУ ЭЛЕКТРИЧЕСКОЙ ЭНЕРГИИ, А ТАКЖЕ</w:t>
      </w:r>
    </w:p>
    <w:p>
      <w:pPr>
        <w:pStyle w:val="2"/>
        <w:jc w:val="center"/>
      </w:pPr>
      <w:r>
        <w:rPr>
          <w:sz w:val="20"/>
        </w:rPr>
        <w:t xml:space="preserve">ОБЪЕКТОВ ЭЛЕКТРОСЕТЕВОГО ХОЗЯЙСТВА, ПРИНАДЛЕЖАЩИХ</w:t>
      </w:r>
    </w:p>
    <w:p>
      <w:pPr>
        <w:pStyle w:val="2"/>
        <w:jc w:val="center"/>
      </w:pPr>
      <w:r>
        <w:rPr>
          <w:sz w:val="20"/>
        </w:rPr>
        <w:t xml:space="preserve">СЕТЕВЫМ ОРГАНИЗАЦИЯМ И ИНЫМ ЛИЦАМ,</w:t>
      </w:r>
    </w:p>
    <w:p>
      <w:pPr>
        <w:pStyle w:val="2"/>
        <w:jc w:val="center"/>
      </w:pPr>
      <w:r>
        <w:rPr>
          <w:sz w:val="20"/>
        </w:rPr>
        <w:t xml:space="preserve">К ЭЛЕКТРИЧЕСКИМ СЕТЯМ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31.08.2006 </w:t>
            </w:r>
            <w:hyperlink w:history="0" r:id="rId7" w:tooltip="Постановление Правительства РФ от 31.08.2006 N 530 (ред. от 29.12.2011) &quot;Об утверждении основных положений функционирования розничных рынков электрической энергии&quot; (с изм. и доп., вступающими в силу с 01.04.2012) ------------ Утратил силу или отменен {КонсультантПлюс}">
              <w:r>
                <w:rPr>
                  <w:sz w:val="20"/>
                  <w:color w:val="0000ff"/>
                </w:rPr>
                <w:t xml:space="preserve">N 530</w:t>
              </w:r>
            </w:hyperlink>
            <w:r>
              <w:rPr>
                <w:sz w:val="20"/>
                <w:color w:val="392c69"/>
              </w:rPr>
              <w:t xml:space="preserve">,</w:t>
            </w:r>
          </w:p>
          <w:p>
            <w:pPr>
              <w:pStyle w:val="0"/>
              <w:jc w:val="center"/>
            </w:pPr>
            <w:r>
              <w:rPr>
                <w:sz w:val="20"/>
                <w:color w:val="392c69"/>
              </w:rPr>
              <w:t xml:space="preserve">от 21.03.2007 </w:t>
            </w:r>
            <w:hyperlink w:history="0" r:id="rId8" w:tooltip="Постановление Правительства РФ от 21.03.2007 N 168 (ред. от 22.10.2012) &quot;О внесении изменений в некоторые Постановления Правительства Российской Федерации по вопросам электроэнергетики&quot; {КонсультантПлюс}">
              <w:r>
                <w:rPr>
                  <w:sz w:val="20"/>
                  <w:color w:val="0000ff"/>
                </w:rPr>
                <w:t xml:space="preserve">N 168</w:t>
              </w:r>
            </w:hyperlink>
            <w:r>
              <w:rPr>
                <w:sz w:val="20"/>
                <w:color w:val="392c69"/>
              </w:rPr>
              <w:t xml:space="preserve">, от 26.07.2007 </w:t>
            </w:r>
            <w:hyperlink w:history="0" r:id="rId9" w:tooltip="Постановление Правительства РФ от 26.07.2007 N 484 (ред. от 05.09.2018) &quot;О выводе объектов электроэнергетики в ремонт и из эксплуатации&quot; ------------ Утратил силу или отменен {КонсультантПлюс}">
              <w:r>
                <w:rPr>
                  <w:sz w:val="20"/>
                  <w:color w:val="0000ff"/>
                </w:rPr>
                <w:t xml:space="preserve">N 484</w:t>
              </w:r>
            </w:hyperlink>
            <w:r>
              <w:rPr>
                <w:sz w:val="20"/>
                <w:color w:val="392c69"/>
              </w:rPr>
              <w:t xml:space="preserve">, от 14.02.2009 </w:t>
            </w:r>
            <w:hyperlink w:history="0" r:id="rId10" w:tooltip="Постановление Правительства РФ от 14.02.2009 N 114 (ред. от 04.09.2015)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quot; (вместе с &quot;Правилами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 {КонсультантПлюс}">
              <w:r>
                <w:rPr>
                  <w:sz w:val="20"/>
                  <w:color w:val="0000ff"/>
                </w:rPr>
                <w:t xml:space="preserve">N 114</w:t>
              </w:r>
            </w:hyperlink>
            <w:r>
              <w:rPr>
                <w:sz w:val="20"/>
                <w:color w:val="392c69"/>
              </w:rPr>
              <w:t xml:space="preserve">,</w:t>
            </w:r>
          </w:p>
          <w:p>
            <w:pPr>
              <w:pStyle w:val="0"/>
              <w:jc w:val="center"/>
            </w:pPr>
            <w:r>
              <w:rPr>
                <w:sz w:val="20"/>
                <w:color w:val="392c69"/>
              </w:rPr>
              <w:t xml:space="preserve">от 14.02.2009 </w:t>
            </w:r>
            <w:hyperlink w:history="0" r:id="rId11" w:tooltip="Постановление Правительства РФ от 14.02.2009 N 118 &quot;О внесении изменения в Правила технологического присоединения энергопринимающих устройств (энергетических установок) юридических и физических лиц к электрическим сетям&quot; {КонсультантПлюс}">
              <w:r>
                <w:rPr>
                  <w:sz w:val="20"/>
                  <w:color w:val="0000ff"/>
                </w:rPr>
                <w:t xml:space="preserve">N 118</w:t>
              </w:r>
            </w:hyperlink>
            <w:r>
              <w:rPr>
                <w:sz w:val="20"/>
                <w:color w:val="392c69"/>
              </w:rPr>
              <w:t xml:space="preserve">, от 21.04.2009 </w:t>
            </w:r>
            <w:hyperlink w:history="0" r:id="rId12"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антПлюс}">
              <w:r>
                <w:rPr>
                  <w:sz w:val="20"/>
                  <w:color w:val="0000ff"/>
                </w:rPr>
                <w:t xml:space="preserve">N 334</w:t>
              </w:r>
            </w:hyperlink>
            <w:r>
              <w:rPr>
                <w:sz w:val="20"/>
                <w:color w:val="392c69"/>
              </w:rPr>
              <w:t xml:space="preserve">, от 15.06.2009 </w:t>
            </w:r>
            <w:hyperlink w:history="0" r:id="rId13" w:tooltip="Постановление Правительства РФ от 15.06.2009 N 492 (ред. от 22.10.2012) &quot;О существенных условиях и порядке разрешения разногласий о праве заключения договоров в отношении объектов электросетевого хозяйства, входящих в единую национальную (общероссийскую) электрическую сеть&quot; (вместе с &quot;Правилами разрешения разногласий о праве заключения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ли иным законным владел {КонсультантПлюс}">
              <w:r>
                <w:rPr>
                  <w:sz w:val="20"/>
                  <w:color w:val="0000ff"/>
                </w:rPr>
                <w:t xml:space="preserve">N 492</w:t>
              </w:r>
            </w:hyperlink>
            <w:r>
              <w:rPr>
                <w:sz w:val="20"/>
                <w:color w:val="392c69"/>
              </w:rPr>
              <w:t xml:space="preserve">,</w:t>
            </w:r>
          </w:p>
          <w:p>
            <w:pPr>
              <w:pStyle w:val="0"/>
              <w:jc w:val="center"/>
            </w:pPr>
            <w:r>
              <w:rPr>
                <w:sz w:val="20"/>
                <w:color w:val="392c69"/>
              </w:rPr>
              <w:t xml:space="preserve">от 02.10.2009 </w:t>
            </w:r>
            <w:hyperlink w:history="0" r:id="rId14" w:tooltip="Постановление Правительства РФ от 02.10.2009 N 785 (ред. от 04.05.201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N 785</w:t>
              </w:r>
            </w:hyperlink>
            <w:r>
              <w:rPr>
                <w:sz w:val="20"/>
                <w:color w:val="392c69"/>
              </w:rPr>
              <w:t xml:space="preserve">, от 03.03.2010 </w:t>
            </w:r>
            <w:hyperlink w:history="0" r:id="rId15" w:tooltip="Постановление Правительства РФ от 03.03.2010 N 117 (ред. от 27.12.2021) &quot;О порядке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а также об утверждении изменений, которые вносятся в акты Правительства Российской Федерации по вопросам оказания услуг по обеспечению системной надежности&quot; (вместе с &quot;Правилами отбора субъектов электроэнергетики и потребителей электрической энергии, оказывающих услуги по обе {КонсультантПлюс}">
              <w:r>
                <w:rPr>
                  <w:sz w:val="20"/>
                  <w:color w:val="0000ff"/>
                </w:rPr>
                <w:t xml:space="preserve">N 117</w:t>
              </w:r>
            </w:hyperlink>
            <w:r>
              <w:rPr>
                <w:sz w:val="20"/>
                <w:color w:val="392c69"/>
              </w:rPr>
              <w:t xml:space="preserve">, от 15.05.2010 </w:t>
            </w:r>
            <w:hyperlink w:history="0" r:id="rId16" w:tooltip="Постановление Правительства РФ от 15.05.2010 N 341 (ред. от 30.11.2021) &quot;Об утверждении Положения об особенностях предоставления технических условий, определения платы за технологическое присоединение и особенностях технологического присоединения к объектам электросетевого хозяйства энергопринимающих устройств потребителей электрической энергии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и о {КонсультантПлюс}">
              <w:r>
                <w:rPr>
                  <w:sz w:val="20"/>
                  <w:color w:val="0000ff"/>
                </w:rPr>
                <w:t xml:space="preserve">N 341</w:t>
              </w:r>
            </w:hyperlink>
            <w:r>
              <w:rPr>
                <w:sz w:val="20"/>
                <w:color w:val="392c69"/>
              </w:rPr>
              <w:t xml:space="preserve">,</w:t>
            </w:r>
          </w:p>
          <w:p>
            <w:pPr>
              <w:pStyle w:val="0"/>
              <w:jc w:val="center"/>
            </w:pPr>
            <w:r>
              <w:rPr>
                <w:sz w:val="20"/>
                <w:color w:val="392c69"/>
              </w:rPr>
              <w:t xml:space="preserve">от 09.06.2010 </w:t>
            </w:r>
            <w:hyperlink w:history="0" r:id="rId17" w:tooltip="Постановление Правительства РФ от 09.06.2010 N 416 (ред. от 28.07.2017) &quot;О внесении изменений в некоторые акты Правительства Российской Федерации по вопросу определения особенностей расположения точек поставки для единого хозяйствующего субъекта на железнодорожном транспорте на оптовом и розничном рынках электрической энергии (мощности)&quot; {КонсультантПлюс}">
              <w:r>
                <w:rPr>
                  <w:sz w:val="20"/>
                  <w:color w:val="0000ff"/>
                </w:rPr>
                <w:t xml:space="preserve">N 416</w:t>
              </w:r>
            </w:hyperlink>
            <w:r>
              <w:rPr>
                <w:sz w:val="20"/>
                <w:color w:val="392c69"/>
              </w:rPr>
              <w:t xml:space="preserve">, от 24.09.2010 </w:t>
            </w:r>
            <w:hyperlink w:history="0" r:id="rId18"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sz w:val="20"/>
                  <w:color w:val="0000ff"/>
                </w:rPr>
                <w:t xml:space="preserve">N 759</w:t>
              </w:r>
            </w:hyperlink>
            <w:r>
              <w:rPr>
                <w:sz w:val="20"/>
                <w:color w:val="392c69"/>
              </w:rPr>
              <w:t xml:space="preserve">, от 01.03.2011 </w:t>
            </w:r>
            <w:hyperlink w:history="0" r:id="rId19" w:tooltip="Постановление Правительства РФ от 01.03.2011 N 129 (ред. от 10.03.202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129</w:t>
              </w:r>
            </w:hyperlink>
            <w:r>
              <w:rPr>
                <w:sz w:val="20"/>
                <w:color w:val="392c69"/>
              </w:rPr>
              <w:t xml:space="preserve">,</w:t>
            </w:r>
          </w:p>
          <w:p>
            <w:pPr>
              <w:pStyle w:val="0"/>
              <w:jc w:val="center"/>
            </w:pPr>
            <w:r>
              <w:rPr>
                <w:sz w:val="20"/>
                <w:color w:val="392c69"/>
              </w:rPr>
              <w:t xml:space="preserve">от 29.12.2011 </w:t>
            </w:r>
            <w:hyperlink w:history="0" r:id="rId20"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N 1178</w:t>
              </w:r>
            </w:hyperlink>
            <w:r>
              <w:rPr>
                <w:sz w:val="20"/>
                <w:color w:val="392c69"/>
              </w:rPr>
              <w:t xml:space="preserve">, от 04.05.2012 </w:t>
            </w:r>
            <w:hyperlink w:history="0" r:id="rId21"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N 442</w:t>
              </w:r>
            </w:hyperlink>
            <w:r>
              <w:rPr>
                <w:sz w:val="20"/>
                <w:color w:val="392c69"/>
              </w:rPr>
              <w:t xml:space="preserve">, от 05.10.2012 </w:t>
            </w:r>
            <w:hyperlink w:history="0" r:id="rId22" w:tooltip="Постановление Правительства РФ от 05.10.2012 N 1015 (ред. от 10.03.2020) &quot;О внесении изменений в некоторые акты Правительства Российской Федерации в целях повышения доступности энергетической инфраструктуры&quot; {КонсультантПлюс}">
              <w:r>
                <w:rPr>
                  <w:sz w:val="20"/>
                  <w:color w:val="0000ff"/>
                </w:rPr>
                <w:t xml:space="preserve">N 1015</w:t>
              </w:r>
            </w:hyperlink>
            <w:r>
              <w:rPr>
                <w:sz w:val="20"/>
                <w:color w:val="392c69"/>
              </w:rPr>
              <w:t xml:space="preserve">,</w:t>
            </w:r>
          </w:p>
          <w:p>
            <w:pPr>
              <w:pStyle w:val="0"/>
              <w:jc w:val="center"/>
            </w:pPr>
            <w:r>
              <w:rPr>
                <w:sz w:val="20"/>
                <w:color w:val="392c69"/>
              </w:rPr>
              <w:t xml:space="preserve">от 22.11.2012 </w:t>
            </w:r>
            <w:hyperlink w:history="0" r:id="rId23" w:tooltip="Постановление Правительства РФ от 22.11.2012 N 1209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1209</w:t>
              </w:r>
            </w:hyperlink>
            <w:r>
              <w:rPr>
                <w:sz w:val="20"/>
                <w:color w:val="392c69"/>
              </w:rPr>
              <w:t xml:space="preserve">, от 20.12.2012 </w:t>
            </w:r>
            <w:hyperlink w:history="0" r:id="rId24" w:tooltip="Постановление Правительства РФ от 20.12.2012 N 1354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1354</w:t>
              </w:r>
            </w:hyperlink>
            <w:r>
              <w:rPr>
                <w:sz w:val="20"/>
                <w:color w:val="392c69"/>
              </w:rPr>
              <w:t xml:space="preserve">, от 20.07.2013 </w:t>
            </w:r>
            <w:hyperlink w:history="0" r:id="rId25" w:tooltip="Постановление Правительства РФ от 20.07.2013 N 610 (ред. от 30.06.2021) &quot;О федеральном государственном энергетическом надзоре&quot; {КонсультантПлюс}">
              <w:r>
                <w:rPr>
                  <w:sz w:val="20"/>
                  <w:color w:val="0000ff"/>
                </w:rPr>
                <w:t xml:space="preserve">N 610</w:t>
              </w:r>
            </w:hyperlink>
            <w:r>
              <w:rPr>
                <w:sz w:val="20"/>
                <w:color w:val="392c69"/>
              </w:rPr>
              <w:t xml:space="preserve">,</w:t>
            </w:r>
          </w:p>
          <w:p>
            <w:pPr>
              <w:pStyle w:val="0"/>
              <w:jc w:val="center"/>
            </w:pPr>
            <w:r>
              <w:rPr>
                <w:sz w:val="20"/>
                <w:color w:val="392c69"/>
              </w:rPr>
              <w:t xml:space="preserve">от 26.07.2013 </w:t>
            </w:r>
            <w:hyperlink w:history="0" r:id="rId26" w:tooltip="Постановление Правительства РФ от 26.07.2013 N 630 &quot;О внесении изменений в некоторые акты Правительства Российской Федерации в целях повышения доступности энергетической инфраструктуры&quot; {КонсультантПлюс}">
              <w:r>
                <w:rPr>
                  <w:sz w:val="20"/>
                  <w:color w:val="0000ff"/>
                </w:rPr>
                <w:t xml:space="preserve">N 630</w:t>
              </w:r>
            </w:hyperlink>
            <w:r>
              <w:rPr>
                <w:sz w:val="20"/>
                <w:color w:val="392c69"/>
              </w:rPr>
              <w:t xml:space="preserve">, от 29.07.2013 </w:t>
            </w:r>
            <w:hyperlink w:history="0" r:id="rId27" w:tooltip="Постановление Правительства РФ от 29.07.2013 N 64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640</w:t>
              </w:r>
            </w:hyperlink>
            <w:r>
              <w:rPr>
                <w:sz w:val="20"/>
                <w:color w:val="392c69"/>
              </w:rPr>
              <w:t xml:space="preserve">, от 31.07.2013 </w:t>
            </w:r>
            <w:hyperlink w:history="0" r:id="rId28" w:tooltip="Постановление Правительства РФ от 31.07.2013 N 652 &quot;О внесении изменений в некоторые акты Правительства Российской Федерации в части уточнения порядка определения максимальной мощности совокупности энергопринимающих устройств потребителей&quot; {КонсультантПлюс}">
              <w:r>
                <w:rPr>
                  <w:sz w:val="20"/>
                  <w:color w:val="0000ff"/>
                </w:rPr>
                <w:t xml:space="preserve">N 652</w:t>
              </w:r>
            </w:hyperlink>
            <w:r>
              <w:rPr>
                <w:sz w:val="20"/>
                <w:color w:val="392c69"/>
              </w:rPr>
              <w:t xml:space="preserve">,</w:t>
            </w:r>
          </w:p>
          <w:p>
            <w:pPr>
              <w:pStyle w:val="0"/>
              <w:jc w:val="center"/>
            </w:pPr>
            <w:r>
              <w:rPr>
                <w:sz w:val="20"/>
                <w:color w:val="392c69"/>
              </w:rPr>
              <w:t xml:space="preserve">от 12.08.2013 </w:t>
            </w:r>
            <w:hyperlink w:history="0" r:id="rId29" w:tooltip="Постановление Правительства РФ от 12.08.2013 N 691 (ред. от 10.03.2020) &quot;О внесении изменений в некоторые акты Правительства Российской Федерации по вопросам технологического присоединения к электрическим сетям&quot; {КонсультантПлюс}">
              <w:r>
                <w:rPr>
                  <w:sz w:val="20"/>
                  <w:color w:val="0000ff"/>
                </w:rPr>
                <w:t xml:space="preserve">N 691</w:t>
              </w:r>
            </w:hyperlink>
            <w:r>
              <w:rPr>
                <w:sz w:val="20"/>
                <w:color w:val="392c69"/>
              </w:rPr>
              <w:t xml:space="preserve">, от 26.08.2013 </w:t>
            </w:r>
            <w:hyperlink w:history="0" r:id="rId30" w:tooltip="Постановление Правительства РФ от 26.08.2013 N 737 (ред. от 10.03.2020) &quot;О внесении изменений в некоторые акты Правительства Российской Федерации по вопросу осуществления временного технологического присоединения к электрическим сетям&quot; {КонсультантПлюс}">
              <w:r>
                <w:rPr>
                  <w:sz w:val="20"/>
                  <w:color w:val="0000ff"/>
                </w:rPr>
                <w:t xml:space="preserve">N 737</w:t>
              </w:r>
            </w:hyperlink>
            <w:r>
              <w:rPr>
                <w:sz w:val="20"/>
                <w:color w:val="392c69"/>
              </w:rPr>
              <w:t xml:space="preserve">, от 12.10.2013 </w:t>
            </w:r>
            <w:hyperlink w:history="0" r:id="rId31" w:tooltip="Постановление Правительства РФ от 12.10.2013 N 915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915</w:t>
              </w:r>
            </w:hyperlink>
            <w:r>
              <w:rPr>
                <w:sz w:val="20"/>
                <w:color w:val="392c69"/>
              </w:rPr>
              <w:t xml:space="preserve">,</w:t>
            </w:r>
          </w:p>
          <w:p>
            <w:pPr>
              <w:pStyle w:val="0"/>
              <w:jc w:val="center"/>
            </w:pPr>
            <w:r>
              <w:rPr>
                <w:sz w:val="20"/>
                <w:color w:val="392c69"/>
              </w:rPr>
              <w:t xml:space="preserve">от 28.10.2013 </w:t>
            </w:r>
            <w:hyperlink w:history="0" r:id="rId32" w:tooltip="Постановление Правительства РФ от 28.10.2013 N 96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967</w:t>
              </w:r>
            </w:hyperlink>
            <w:r>
              <w:rPr>
                <w:sz w:val="20"/>
                <w:color w:val="392c69"/>
              </w:rPr>
              <w:t xml:space="preserve">, от 13.11.2013 </w:t>
            </w:r>
            <w:hyperlink w:history="0" r:id="rId33" w:tooltip="Постановление Правительства РФ от 13.11.2013 N 1019 (ред. от 20.10.2016) &quot;О внесении изменений в некоторые акты Правительства Российской Федерации в целях изменения порядка нормирования потерь электрической энергии на основе сравнительного анализа&quot; {КонсультантПлюс}">
              <w:r>
                <w:rPr>
                  <w:sz w:val="20"/>
                  <w:color w:val="0000ff"/>
                </w:rPr>
                <w:t xml:space="preserve">N 1019</w:t>
              </w:r>
            </w:hyperlink>
            <w:r>
              <w:rPr>
                <w:sz w:val="20"/>
                <w:color w:val="392c69"/>
              </w:rPr>
              <w:t xml:space="preserve">, от 21.11.2013 </w:t>
            </w:r>
            <w:hyperlink w:history="0" r:id="rId34" w:tooltip="Постановление Правительства РФ от 21.11.2013 N 1047 &quot;О внесении изменений в раздел VII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1047</w:t>
              </w:r>
            </w:hyperlink>
            <w:r>
              <w:rPr>
                <w:sz w:val="20"/>
                <w:color w:val="392c69"/>
              </w:rPr>
              <w:t xml:space="preserve">,</w:t>
            </w:r>
          </w:p>
          <w:p>
            <w:pPr>
              <w:pStyle w:val="0"/>
              <w:jc w:val="center"/>
            </w:pPr>
            <w:r>
              <w:rPr>
                <w:sz w:val="20"/>
                <w:color w:val="392c69"/>
              </w:rPr>
              <w:t xml:space="preserve">от 09.12.2013 </w:t>
            </w:r>
            <w:hyperlink w:history="0" r:id="rId35" w:tooltip="Постановление Правительства РФ от 09.12.2013 N 1131 (ред. от 10.03.2020) &quot;О внесении изменений в некоторые акты Правительства Российской Федерации по вопросам введения процедуры приема заявок на технологическое присоединение к электрической сети классом напряжения до 10 кВ включительно от лиц, мощность энергопринимающих устройств которых составляет до 150 кВт, через информационно-телекоммуникационную сеть &quot;Интернет&quot; с возможностью отслеживания исполнения заявки в режиме реального времени&quot; {КонсультантПлюс}">
              <w:r>
                <w:rPr>
                  <w:sz w:val="20"/>
                  <w:color w:val="0000ff"/>
                </w:rPr>
                <w:t xml:space="preserve">N 1131</w:t>
              </w:r>
            </w:hyperlink>
            <w:r>
              <w:rPr>
                <w:sz w:val="20"/>
                <w:color w:val="392c69"/>
              </w:rPr>
              <w:t xml:space="preserve">, от 10.02.2014 </w:t>
            </w:r>
            <w:hyperlink w:history="0" r:id="rId36" w:tooltip="Постановление Правительства РФ от 10.02.2014 N 95 &quot;О внесении изменений в акты Правительства Российской Федерации в части обязанности гарантирующих поставщиков заключить договор энергоснабжения (купли-продажи (поставки) электрической энергии (мощности)) с потребителям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N 95</w:t>
              </w:r>
            </w:hyperlink>
            <w:r>
              <w:rPr>
                <w:sz w:val="20"/>
                <w:color w:val="392c69"/>
              </w:rPr>
              <w:t xml:space="preserve">, от 20.02.2014 </w:t>
            </w:r>
            <w:hyperlink w:history="0" r:id="rId37"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sz w:val="20"/>
                  <w:color w:val="0000ff"/>
                </w:rPr>
                <w:t xml:space="preserve">N 130</w:t>
              </w:r>
            </w:hyperlink>
            <w:r>
              <w:rPr>
                <w:sz w:val="20"/>
                <w:color w:val="392c69"/>
              </w:rPr>
              <w:t xml:space="preserve">,</w:t>
            </w:r>
          </w:p>
          <w:p>
            <w:pPr>
              <w:pStyle w:val="0"/>
              <w:jc w:val="center"/>
            </w:pPr>
            <w:r>
              <w:rPr>
                <w:sz w:val="20"/>
                <w:color w:val="392c69"/>
              </w:rPr>
              <w:t xml:space="preserve">от 07.03.2014 </w:t>
            </w:r>
            <w:hyperlink w:history="0" r:id="rId38" w:tooltip="Постановление Правительства РФ от 07.03.2014 N 179 &quot;О внесении изменений в некоторые акты Правительства Российской Федерации по вопросам электроэнергетики&quot; {КонсультантПлюс}">
              <w:r>
                <w:rPr>
                  <w:sz w:val="20"/>
                  <w:color w:val="0000ff"/>
                </w:rPr>
                <w:t xml:space="preserve">N 179</w:t>
              </w:r>
            </w:hyperlink>
            <w:r>
              <w:rPr>
                <w:sz w:val="20"/>
                <w:color w:val="392c69"/>
              </w:rPr>
              <w:t xml:space="preserve">, от 11.06.2014 </w:t>
            </w:r>
            <w:hyperlink w:history="0" r:id="rId39" w:tooltip="Постановление Правительства РФ от 11.06.2014 N 542 &quot;О внесении изменений в некоторые акты Правительства Российской Федерации по вопросам компенсации сетевым организациям выпадающих доходов, связанных с технологическим присоединением к электрическим сетям, и принятии тарифных решений&quot; {КонсультантПлюс}">
              <w:r>
                <w:rPr>
                  <w:sz w:val="20"/>
                  <w:color w:val="0000ff"/>
                </w:rPr>
                <w:t xml:space="preserve">N 542</w:t>
              </w:r>
            </w:hyperlink>
            <w:r>
              <w:rPr>
                <w:sz w:val="20"/>
                <w:color w:val="392c69"/>
              </w:rPr>
              <w:t xml:space="preserve">, от 31.07.2014 </w:t>
            </w:r>
            <w:hyperlink w:history="0" r:id="rId40" w:tooltip="Постановление Правительства РФ от 31.07.2014 N 740 &quot;О внесении изменений в постановление Правительства Российской Федерации от 27 декабря 2004 г. N 861 в целях уточнения порядка определения объема услуг по передаче электрической энергии, оплачиваемых потребителями услуг&quot; {КонсультантПлюс}">
              <w:r>
                <w:rPr>
                  <w:sz w:val="20"/>
                  <w:color w:val="0000ff"/>
                </w:rPr>
                <w:t xml:space="preserve">N 740</w:t>
              </w:r>
            </w:hyperlink>
            <w:r>
              <w:rPr>
                <w:sz w:val="20"/>
                <w:color w:val="392c69"/>
              </w:rPr>
              <w:t xml:space="preserve">,</w:t>
            </w:r>
          </w:p>
          <w:p>
            <w:pPr>
              <w:pStyle w:val="0"/>
              <w:jc w:val="center"/>
            </w:pPr>
            <w:r>
              <w:rPr>
                <w:sz w:val="20"/>
                <w:color w:val="392c69"/>
              </w:rPr>
              <w:t xml:space="preserve">от 31.07.2014 </w:t>
            </w:r>
            <w:hyperlink w:history="0" r:id="rId41" w:tooltip="Постановление Правительства РФ от 31.07.2014 N 750 (ред. от 16.12.2021) &quot;О внесении изменений в некоторые акты Правительства Российской Федерации по вопросам снижения величины перекрестного субсидирования в электросетевом комплексе&quot; {КонсультантПлюс}">
              <w:r>
                <w:rPr>
                  <w:sz w:val="20"/>
                  <w:color w:val="0000ff"/>
                </w:rPr>
                <w:t xml:space="preserve">N 750</w:t>
              </w:r>
            </w:hyperlink>
            <w:r>
              <w:rPr>
                <w:sz w:val="20"/>
                <w:color w:val="392c69"/>
              </w:rPr>
              <w:t xml:space="preserve">, от 13.03.2015 </w:t>
            </w:r>
            <w:hyperlink w:history="0" r:id="rId42" w:tooltip="Постановление Правительства РФ от 13.03.2015 N 219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219</w:t>
              </w:r>
            </w:hyperlink>
            <w:r>
              <w:rPr>
                <w:sz w:val="20"/>
                <w:color w:val="392c69"/>
              </w:rPr>
              <w:t xml:space="preserve">, от 13.04.2015 </w:t>
            </w:r>
            <w:hyperlink w:history="0" r:id="rId43" w:tooltip="Постановление Правительства РФ от 13.04.2015 N 35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350</w:t>
              </w:r>
            </w:hyperlink>
            <w:r>
              <w:rPr>
                <w:sz w:val="20"/>
                <w:color w:val="392c69"/>
              </w:rPr>
              <w:t xml:space="preserve">,</w:t>
            </w:r>
          </w:p>
          <w:p>
            <w:pPr>
              <w:pStyle w:val="0"/>
              <w:jc w:val="center"/>
            </w:pPr>
            <w:r>
              <w:rPr>
                <w:sz w:val="20"/>
                <w:color w:val="392c69"/>
              </w:rPr>
              <w:t xml:space="preserve">от 11.05.2015 </w:t>
            </w:r>
            <w:hyperlink w:history="0" r:id="rId44" w:tooltip="Постановление Правительства РФ от 11.05.2015 N 458 (ред. от 04.09.2015) &quot;Об утверждении изменений, которые вносятся в некоторые акты Правительства Российской Федерации в целях совершенствования порядка определения объемов покупки мощности на оптовом рынке для поставки населению и приравненным к нему категориям потребителей и объемов покупки мощности организацией по управлению единой национальной (общероссийской) электрической сетью&quot; {КонсультантПлюс}">
              <w:r>
                <w:rPr>
                  <w:sz w:val="20"/>
                  <w:color w:val="0000ff"/>
                </w:rPr>
                <w:t xml:space="preserve">N 458</w:t>
              </w:r>
            </w:hyperlink>
            <w:r>
              <w:rPr>
                <w:sz w:val="20"/>
                <w:color w:val="392c69"/>
              </w:rPr>
              <w:t xml:space="preserve">, от 11.06.2015 </w:t>
            </w:r>
            <w:hyperlink w:history="0" r:id="rId45" w:tooltip="Постановление Правительства РФ от 11.06.2015 N 588 (ред. от 10.03.2020, с изм. от 30.06.2022) &quot;О внесении изменений в постановление Правительства Российской Федерации от 27 декабря 2004 г. N 861&quot; {КонсультантПлюс}">
              <w:r>
                <w:rPr>
                  <w:sz w:val="20"/>
                  <w:color w:val="0000ff"/>
                </w:rPr>
                <w:t xml:space="preserve">N 588</w:t>
              </w:r>
            </w:hyperlink>
            <w:r>
              <w:rPr>
                <w:sz w:val="20"/>
                <w:color w:val="392c69"/>
              </w:rPr>
              <w:t xml:space="preserve">, от 07.07.2015 </w:t>
            </w:r>
            <w:hyperlink w:history="0" r:id="rId46" w:tooltip="Постановление Правительства РФ от 07.07.2015 N 679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679</w:t>
              </w:r>
            </w:hyperlink>
            <w:r>
              <w:rPr>
                <w:sz w:val="20"/>
                <w:color w:val="392c69"/>
              </w:rPr>
              <w:t xml:space="preserve">,</w:t>
            </w:r>
          </w:p>
          <w:p>
            <w:pPr>
              <w:pStyle w:val="0"/>
              <w:jc w:val="center"/>
            </w:pPr>
            <w:r>
              <w:rPr>
                <w:sz w:val="20"/>
                <w:color w:val="392c69"/>
              </w:rPr>
              <w:t xml:space="preserve">от 07.07.2015 </w:t>
            </w:r>
            <w:hyperlink w:history="0" r:id="rId47" w:tooltip="Постановление Правительства РФ от 07.07.2015 N 680 &quot;О внесении изменений в некоторые акты Правительства Российской Федерации по вопросам оплаты услуг по передаче электрической энергии отдельными категориями потребителей&quot; {КонсультантПлюс}">
              <w:r>
                <w:rPr>
                  <w:sz w:val="20"/>
                  <w:color w:val="0000ff"/>
                </w:rPr>
                <w:t xml:space="preserve">N 680</w:t>
              </w:r>
            </w:hyperlink>
            <w:r>
              <w:rPr>
                <w:sz w:val="20"/>
                <w:color w:val="392c69"/>
              </w:rPr>
              <w:t xml:space="preserve">, от 04.09.2015 </w:t>
            </w:r>
            <w:hyperlink w:history="0" r:id="rId48" w:tooltip="Постановление Правительства РФ от 04.09.2015 N 941 (ред. от 25.12.2021) &quot;О внесении изменений,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едеральной антимонопольной службой решений об определении (установлении) цен (тарифов) и (или) их предельных уровней в сфере деятельности субъектов естественных монополий и иных регулируемых организаций&quot; {КонсультантПлюс}">
              <w:r>
                <w:rPr>
                  <w:sz w:val="20"/>
                  <w:color w:val="0000ff"/>
                </w:rPr>
                <w:t xml:space="preserve">N 941</w:t>
              </w:r>
            </w:hyperlink>
            <w:r>
              <w:rPr>
                <w:sz w:val="20"/>
                <w:color w:val="392c69"/>
              </w:rPr>
              <w:t xml:space="preserve">,</w:t>
            </w:r>
          </w:p>
          <w:p>
            <w:pPr>
              <w:pStyle w:val="0"/>
              <w:jc w:val="center"/>
            </w:pPr>
            <w:r>
              <w:rPr>
                <w:sz w:val="20"/>
                <w:color w:val="392c69"/>
              </w:rPr>
              <w:t xml:space="preserve">от 30.09.2015 </w:t>
            </w:r>
            <w:hyperlink w:history="0" r:id="rId49"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1044</w:t>
              </w:r>
            </w:hyperlink>
            <w:r>
              <w:rPr>
                <w:sz w:val="20"/>
                <w:color w:val="392c69"/>
              </w:rPr>
              <w:t xml:space="preserve"> (ред. 07.05.2017),</w:t>
            </w:r>
          </w:p>
          <w:p>
            <w:pPr>
              <w:pStyle w:val="0"/>
              <w:jc w:val="center"/>
            </w:pPr>
            <w:r>
              <w:rPr>
                <w:sz w:val="20"/>
                <w:color w:val="392c69"/>
              </w:rPr>
              <w:t xml:space="preserve">от 22.02.2016 </w:t>
            </w:r>
            <w:hyperlink w:history="0" r:id="rId50" w:tooltip="Постановление Правительства РФ от 22.02.2016 N 128 &quot;О внесении изменений в некоторые акты Правительства Российской Федерации по вопросам взаимодействия субъектов розничных рынков электрической энергии при заключении договоров энергоснабжения (купли-продажи (поставки) электрической энергии (мощности) с потребителям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N 128</w:t>
              </w:r>
            </w:hyperlink>
            <w:r>
              <w:rPr>
                <w:sz w:val="20"/>
                <w:color w:val="392c69"/>
              </w:rPr>
              <w:t xml:space="preserve">, от 09.08.2016 </w:t>
            </w:r>
            <w:hyperlink w:history="0" r:id="rId51" w:tooltip="Постановление Правительства РФ от 09.08.2016 N 759 &quot;Об уточнении порядка осуществления технологического присоединения к объектам электросетевого хозяйства, принадлежащим организации по управлению единой национальной (общероссийской) электрической сетью&quot; {КонсультантПлюс}">
              <w:r>
                <w:rPr>
                  <w:sz w:val="20"/>
                  <w:color w:val="0000ff"/>
                </w:rPr>
                <w:t xml:space="preserve">N 759</w:t>
              </w:r>
            </w:hyperlink>
            <w:r>
              <w:rPr>
                <w:sz w:val="20"/>
                <w:color w:val="392c69"/>
              </w:rPr>
              <w:t xml:space="preserve">, от 23.09.2016 </w:t>
            </w:r>
            <w:hyperlink w:history="0" r:id="rId52" w:tooltip="Постановление Правительства РФ от 23.09.2016 N 95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953</w:t>
              </w:r>
            </w:hyperlink>
            <w:r>
              <w:rPr>
                <w:sz w:val="20"/>
                <w:color w:val="392c69"/>
              </w:rPr>
              <w:t xml:space="preserve">,</w:t>
            </w:r>
          </w:p>
          <w:p>
            <w:pPr>
              <w:pStyle w:val="0"/>
              <w:jc w:val="center"/>
            </w:pPr>
            <w:r>
              <w:rPr>
                <w:sz w:val="20"/>
                <w:color w:val="392c69"/>
              </w:rPr>
              <w:t xml:space="preserve">от 05.10.2016 </w:t>
            </w:r>
            <w:hyperlink w:history="0" r:id="rId53" w:tooltip="Постановление Правительства РФ от 05.10.2016 N 999 (с изм. от 30.06.2022) &quot;О внесении изменений в акты Правительства Российской Федерации по вопросам формирования мер ответственности за несоблюдение сроков осуществления мероприятий по технологическому присоединению&quot; {КонсультантПлюс}">
              <w:r>
                <w:rPr>
                  <w:sz w:val="20"/>
                  <w:color w:val="0000ff"/>
                </w:rPr>
                <w:t xml:space="preserve">N 999</w:t>
              </w:r>
            </w:hyperlink>
            <w:r>
              <w:rPr>
                <w:sz w:val="20"/>
                <w:color w:val="392c69"/>
              </w:rPr>
              <w:t xml:space="preserve">, от 30.11.2016 </w:t>
            </w:r>
            <w:hyperlink w:history="0" r:id="rId54" w:tooltip="Постановление Правительства РФ от 30.11.2016 N 1265 &quot;О порядке установления платы за технологическое присоединение вновь вводимых в эксплуатацию объектов по производству электрической энергии атомных станций и гидроэлектростанций (в том числе гидроаккумулирующих электростанций) к объектам единой национальной (общероссийской) электрической сети&quot; {КонсультантПлюс}">
              <w:r>
                <w:rPr>
                  <w:sz w:val="20"/>
                  <w:color w:val="0000ff"/>
                </w:rPr>
                <w:t xml:space="preserve">N 1265</w:t>
              </w:r>
            </w:hyperlink>
            <w:r>
              <w:rPr>
                <w:sz w:val="20"/>
                <w:color w:val="392c69"/>
              </w:rPr>
              <w:t xml:space="preserve">, от 08.12.2016 </w:t>
            </w:r>
            <w:hyperlink w:history="0" r:id="rId55" w:tooltip="Постановление Правительства РФ от 08.12.2016 N 1319 &quot;О внесении изменений в некоторые акты Правительства Российской Федерации по вопросам обмена документами, подписанными электронной подписью, в ходе осуществления мероприятий по технологическому присоединению энергопринимающих устройств потребителей электрической энергии&quot; {КонсультантПлюс}">
              <w:r>
                <w:rPr>
                  <w:sz w:val="20"/>
                  <w:color w:val="0000ff"/>
                </w:rPr>
                <w:t xml:space="preserve">N 1319</w:t>
              </w:r>
            </w:hyperlink>
            <w:r>
              <w:rPr>
                <w:sz w:val="20"/>
                <w:color w:val="392c69"/>
              </w:rPr>
              <w:t xml:space="preserve">,</w:t>
            </w:r>
          </w:p>
          <w:p>
            <w:pPr>
              <w:pStyle w:val="0"/>
              <w:jc w:val="center"/>
            </w:pPr>
            <w:r>
              <w:rPr>
                <w:sz w:val="20"/>
                <w:color w:val="392c69"/>
              </w:rPr>
              <w:t xml:space="preserve">от 21.12.2016 </w:t>
            </w:r>
            <w:hyperlink w:history="0" r:id="rId56" w:tooltip="Постановление Правительства РФ от 21.12.2016 N 1419 &quot;О внесении изменений в Правила недискриминационного доступа к услугам по передаче электрической энергии и оказания этих услуг по вопросам синхронизации расчетов за услуги по передаче электрической энергии&quot; {КонсультантПлюс}">
              <w:r>
                <w:rPr>
                  <w:sz w:val="20"/>
                  <w:color w:val="0000ff"/>
                </w:rPr>
                <w:t xml:space="preserve">N 1419</w:t>
              </w:r>
            </w:hyperlink>
            <w:r>
              <w:rPr>
                <w:sz w:val="20"/>
                <w:color w:val="392c69"/>
              </w:rPr>
              <w:t xml:space="preserve">, от 23.12.2016 </w:t>
            </w:r>
            <w:hyperlink w:history="0" r:id="rId57" w:tooltip="Постановление Правительства РФ от 23.12.2016 N 1446 (ред. от 23.12.2021) &quot;Об отнесении территорий Республики Крым и г. Севастополя к территориям, которые объединены в первую ценовую зону оптового рынка, а также об изменении и о признании утратившими силу некоторых актов Правительства Российской Федерации&quot; {КонсультантПлюс}">
              <w:r>
                <w:rPr>
                  <w:sz w:val="20"/>
                  <w:color w:val="0000ff"/>
                </w:rPr>
                <w:t xml:space="preserve">N 1446</w:t>
              </w:r>
            </w:hyperlink>
            <w:r>
              <w:rPr>
                <w:sz w:val="20"/>
                <w:color w:val="392c69"/>
              </w:rPr>
              <w:t xml:space="preserve">, от 24.12.2016 </w:t>
            </w:r>
            <w:hyperlink w:history="0" r:id="rId58" w:tooltip="Постановление Правительства РФ от 24.12.2016 N 1476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 связи с установлением стандартизированных тарифных ставок за технологическое присоединение, единых для всех террит {КонсультантПлюс}">
              <w:r>
                <w:rPr>
                  <w:sz w:val="20"/>
                  <w:color w:val="0000ff"/>
                </w:rPr>
                <w:t xml:space="preserve">N 1476</w:t>
              </w:r>
            </w:hyperlink>
            <w:r>
              <w:rPr>
                <w:sz w:val="20"/>
                <w:color w:val="392c69"/>
              </w:rPr>
              <w:t xml:space="preserve">,</w:t>
            </w:r>
          </w:p>
          <w:p>
            <w:pPr>
              <w:pStyle w:val="0"/>
              <w:jc w:val="center"/>
            </w:pPr>
            <w:r>
              <w:rPr>
                <w:sz w:val="20"/>
                <w:color w:val="392c69"/>
              </w:rPr>
              <w:t xml:space="preserve">от 04.02.2017 </w:t>
            </w:r>
            <w:hyperlink w:history="0" r:id="rId59" w:tooltip="Постановление Правительства РФ от 04.02.2017 N 139 &quot;О внесении изменений в некоторые акты Правительства Российской Федерации по вопросам обеспечения исполнения обязательств по оплате энергоресурсов&quot; {КонсультантПлюс}">
              <w:r>
                <w:rPr>
                  <w:sz w:val="20"/>
                  <w:color w:val="0000ff"/>
                </w:rPr>
                <w:t xml:space="preserve">N 139</w:t>
              </w:r>
            </w:hyperlink>
            <w:r>
              <w:rPr>
                <w:sz w:val="20"/>
                <w:color w:val="392c69"/>
              </w:rPr>
              <w:t xml:space="preserve">, от 14.03.2017 </w:t>
            </w:r>
            <w:hyperlink w:history="0" r:id="rId60" w:tooltip="Постановление Правительства РФ от 14.03.2017 N 290 &quot;О внесении изменений в пункт 55(1) Правил недискриминационного доступа к услугам по передаче электрической энергии и оказания этих услуг&quot; {КонсультантПлюс}">
              <w:r>
                <w:rPr>
                  <w:sz w:val="20"/>
                  <w:color w:val="0000ff"/>
                </w:rPr>
                <w:t xml:space="preserve">N 290</w:t>
              </w:r>
            </w:hyperlink>
            <w:r>
              <w:rPr>
                <w:sz w:val="20"/>
                <w:color w:val="392c69"/>
              </w:rPr>
              <w:t xml:space="preserve">, от 07.05.2017 </w:t>
            </w:r>
            <w:hyperlink w:history="0" r:id="rId61"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N 542</w:t>
              </w:r>
            </w:hyperlink>
            <w:r>
              <w:rPr>
                <w:sz w:val="20"/>
                <w:color w:val="392c69"/>
              </w:rPr>
              <w:t xml:space="preserve">,</w:t>
            </w:r>
          </w:p>
          <w:p>
            <w:pPr>
              <w:pStyle w:val="0"/>
              <w:jc w:val="center"/>
            </w:pPr>
            <w:r>
              <w:rPr>
                <w:sz w:val="20"/>
                <w:color w:val="392c69"/>
              </w:rPr>
              <w:t xml:space="preserve">от 11.05.2017 </w:t>
            </w:r>
            <w:hyperlink w:history="0" r:id="rId62"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N 557</w:t>
              </w:r>
            </w:hyperlink>
            <w:r>
              <w:rPr>
                <w:sz w:val="20"/>
                <w:color w:val="392c69"/>
              </w:rPr>
              <w:t xml:space="preserve">, от 24.05.2017 </w:t>
            </w:r>
            <w:hyperlink w:history="0" r:id="rId63" w:tooltip="Постановление Правительства РФ от 24.05.2017 N 624 &quot;О внесении изменений в некоторые акты Правительства Российской Федерации по вопросам введения полного и (или) частичного ограничения режима потребления электрической энергии, а также применения печатей хозяйственных обществ&quot; {КонсультантПлюс}">
              <w:r>
                <w:rPr>
                  <w:sz w:val="20"/>
                  <w:color w:val="0000ff"/>
                </w:rPr>
                <w:t xml:space="preserve">N 624</w:t>
              </w:r>
            </w:hyperlink>
            <w:r>
              <w:rPr>
                <w:sz w:val="20"/>
                <w:color w:val="392c69"/>
              </w:rPr>
              <w:t xml:space="preserve">, от 07.07.2017 </w:t>
            </w:r>
            <w:hyperlink w:history="0" r:id="rId64" w:tooltip="Постановление Правительства РФ от 07.07.2017 N 810 &quot;О внесении изменений в некоторые акты Правительства Российской Федерации по вопросам оплаты потерь электрической энергии на оптовом рынке электрической энергии и мощности и розничных рынках электрической энергии, а также получения статуса субъекта оптового рынка электрической энергии и мощности&quot; {КонсультантПлюс}">
              <w:r>
                <w:rPr>
                  <w:sz w:val="20"/>
                  <w:color w:val="0000ff"/>
                </w:rPr>
                <w:t xml:space="preserve">N 810</w:t>
              </w:r>
            </w:hyperlink>
            <w:r>
              <w:rPr>
                <w:sz w:val="20"/>
                <w:color w:val="392c69"/>
              </w:rPr>
              <w:t xml:space="preserve">,</w:t>
            </w:r>
          </w:p>
          <w:p>
            <w:pPr>
              <w:pStyle w:val="0"/>
              <w:jc w:val="center"/>
            </w:pPr>
            <w:r>
              <w:rPr>
                <w:sz w:val="20"/>
                <w:color w:val="392c69"/>
              </w:rPr>
              <w:t xml:space="preserve">от 28.07.2017 </w:t>
            </w:r>
            <w:hyperlink w:history="0" r:id="rId65" w:tooltip="Постановление Правительства РФ от 28.07.2017 N 895 (ред. от 16.12.2021) &quot;О достижении на территориях Дальневосточного федерального округа базовых уровней цен (тарифов) на электрическую энергию (мощность)&quot; (вместе с &quot;Правилами определения и примен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на территориях Дальневосточного федерального округа планируемых на следующий период регулир {КонсультантПлюс}">
              <w:r>
                <w:rPr>
                  <w:sz w:val="20"/>
                  <w:color w:val="0000ff"/>
                </w:rPr>
                <w:t xml:space="preserve">N 895</w:t>
              </w:r>
            </w:hyperlink>
            <w:r>
              <w:rPr>
                <w:sz w:val="20"/>
                <w:color w:val="392c69"/>
              </w:rPr>
              <w:t xml:space="preserve">, от 10.11.2017 </w:t>
            </w:r>
            <w:hyperlink w:history="0" r:id="rId66" w:tooltip="Постановление Правительства РФ от 10.11.2017 N 1351 (ред. от 09.10.2021) &quot;О внесении изменений в некоторые акты Правительства Российской Федерации по вопросам повышения доступности энергетической инфраструктуры в отношении отдельных групп потребителей&quot; {КонсультантПлюс}">
              <w:r>
                <w:rPr>
                  <w:sz w:val="20"/>
                  <w:color w:val="0000ff"/>
                </w:rPr>
                <w:t xml:space="preserve">N 1351</w:t>
              </w:r>
            </w:hyperlink>
            <w:r>
              <w:rPr>
                <w:sz w:val="20"/>
                <w:color w:val="392c69"/>
              </w:rPr>
              <w:t xml:space="preserve">, от 04.12.2017 </w:t>
            </w:r>
            <w:hyperlink w:history="0" r:id="rId67" w:tooltip="Постановление Правительства РФ от 04.12.2017 N 1468 &quot;О внесении изменений в некоторые акты Правительства Российской Федерации по вопросу установления регулируемых цен (тарифов) в электроэнергетике&quot; {КонсультантПлюс}">
              <w:r>
                <w:rPr>
                  <w:sz w:val="20"/>
                  <w:color w:val="0000ff"/>
                </w:rPr>
                <w:t xml:space="preserve">N 1468</w:t>
              </w:r>
            </w:hyperlink>
            <w:r>
              <w:rPr>
                <w:sz w:val="20"/>
                <w:color w:val="392c69"/>
              </w:rPr>
              <w:t xml:space="preserve">,</w:t>
            </w:r>
          </w:p>
          <w:p>
            <w:pPr>
              <w:pStyle w:val="0"/>
              <w:jc w:val="center"/>
            </w:pPr>
            <w:r>
              <w:rPr>
                <w:sz w:val="20"/>
                <w:color w:val="392c69"/>
              </w:rPr>
              <w:t xml:space="preserve">от 27.12.2017 </w:t>
            </w:r>
            <w:hyperlink w:history="0" r:id="rId68"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1661</w:t>
              </w:r>
            </w:hyperlink>
            <w:r>
              <w:rPr>
                <w:sz w:val="20"/>
                <w:color w:val="392c69"/>
              </w:rPr>
              <w:t xml:space="preserve">, от 12.04.2018 </w:t>
            </w:r>
            <w:hyperlink w:history="0" r:id="rId69" w:tooltip="Постановление Правительства РФ от 12.04.2018 N 448 (ред. от 30.11.2021) &quot;О внесении изменений в некоторые акты Правительства Российской Федерации&quot; {КонсультантПлюс}">
              <w:r>
                <w:rPr>
                  <w:sz w:val="20"/>
                  <w:color w:val="0000ff"/>
                </w:rPr>
                <w:t xml:space="preserve">N 448</w:t>
              </w:r>
            </w:hyperlink>
            <w:r>
              <w:rPr>
                <w:sz w:val="20"/>
                <w:color w:val="392c69"/>
              </w:rPr>
              <w:t xml:space="preserve">, от 18.04.2018 </w:t>
            </w:r>
            <w:hyperlink w:history="0" r:id="rId70" w:tooltip="Постановление Правительства РФ от 18.04.2018 N 463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463</w:t>
              </w:r>
            </w:hyperlink>
            <w:r>
              <w:rPr>
                <w:sz w:val="20"/>
                <w:color w:val="392c69"/>
              </w:rPr>
              <w:t xml:space="preserve">,</w:t>
            </w:r>
          </w:p>
          <w:p>
            <w:pPr>
              <w:pStyle w:val="0"/>
              <w:jc w:val="center"/>
            </w:pPr>
            <w:r>
              <w:rPr>
                <w:sz w:val="20"/>
                <w:color w:val="392c69"/>
              </w:rPr>
              <w:t xml:space="preserve">от 13.08.2018 </w:t>
            </w:r>
            <w:hyperlink w:history="0" r:id="rId71"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N 937</w:t>
              </w:r>
            </w:hyperlink>
            <w:r>
              <w:rPr>
                <w:sz w:val="20"/>
                <w:color w:val="392c69"/>
              </w:rPr>
              <w:t xml:space="preserve">, от 17.09.2018 </w:t>
            </w:r>
            <w:hyperlink w:history="0" r:id="rId72" w:tooltip="Постановление Правительства РФ от 17.09.2018 N 1096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sz w:val="20"/>
                  <w:color w:val="0000ff"/>
                </w:rPr>
                <w:t xml:space="preserve">N 1096</w:t>
              </w:r>
            </w:hyperlink>
            <w:r>
              <w:rPr>
                <w:sz w:val="20"/>
                <w:color w:val="392c69"/>
              </w:rPr>
              <w:t xml:space="preserve">, от 21.12.2018 </w:t>
            </w:r>
            <w:hyperlink w:history="0" r:id="rId73"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sz w:val="20"/>
                  <w:color w:val="0000ff"/>
                </w:rPr>
                <w:t xml:space="preserve">N 1622</w:t>
              </w:r>
            </w:hyperlink>
            <w:r>
              <w:rPr>
                <w:sz w:val="20"/>
                <w:color w:val="392c69"/>
              </w:rPr>
              <w:t xml:space="preserve">,</w:t>
            </w:r>
          </w:p>
          <w:p>
            <w:pPr>
              <w:pStyle w:val="0"/>
              <w:jc w:val="center"/>
            </w:pPr>
            <w:r>
              <w:rPr>
                <w:sz w:val="20"/>
                <w:color w:val="392c69"/>
              </w:rPr>
              <w:t xml:space="preserve">от 30.01.2019 </w:t>
            </w:r>
            <w:hyperlink w:history="0" r:id="rId74" w:tooltip="Постановление Правительства РФ от 30.01.2019 N 64 &quot;О внесении изменений в некоторые акты Правительства Российской Федерации по вопросам регулирования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 признании утратившими силу некоторых актов Правит {КонсультантПлюс}">
              <w:r>
                <w:rPr>
                  <w:sz w:val="20"/>
                  <w:color w:val="0000ff"/>
                </w:rPr>
                <w:t xml:space="preserve">N 64</w:t>
              </w:r>
            </w:hyperlink>
            <w:r>
              <w:rPr>
                <w:sz w:val="20"/>
                <w:color w:val="392c69"/>
              </w:rPr>
              <w:t xml:space="preserve">, от 19.04.2019 </w:t>
            </w:r>
            <w:hyperlink w:history="0" r:id="rId75" w:tooltip="Постановление Правительства РФ от 19.04.2019 N 47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470</w:t>
              </w:r>
            </w:hyperlink>
            <w:r>
              <w:rPr>
                <w:sz w:val="20"/>
                <w:color w:val="392c69"/>
              </w:rPr>
              <w:t xml:space="preserve">, от 29.05.2019 </w:t>
            </w:r>
            <w:hyperlink w:history="0" r:id="rId76" w:tooltip="Постановление Правительства РФ от 29.05.2019 N 682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технологического присоединения к электрическим сетям&quot; {КонсультантПлюс}">
              <w:r>
                <w:rPr>
                  <w:sz w:val="20"/>
                  <w:color w:val="0000ff"/>
                </w:rPr>
                <w:t xml:space="preserve">N 682</w:t>
              </w:r>
            </w:hyperlink>
            <w:r>
              <w:rPr>
                <w:sz w:val="20"/>
                <w:color w:val="392c69"/>
              </w:rPr>
              <w:t xml:space="preserve">,</w:t>
            </w:r>
          </w:p>
          <w:p>
            <w:pPr>
              <w:pStyle w:val="0"/>
              <w:jc w:val="center"/>
            </w:pPr>
            <w:r>
              <w:rPr>
                <w:sz w:val="20"/>
                <w:color w:val="392c69"/>
              </w:rPr>
              <w:t xml:space="preserve">от 22.06.2019 </w:t>
            </w:r>
            <w:hyperlink w:history="0" r:id="rId77" w:tooltip="Постановление Правительства РФ от 22.06.2019 N 800 &quot;О внесении изменений в некоторые акты Правительства Российской Федерации&quot; {КонсультантПлюс}">
              <w:r>
                <w:rPr>
                  <w:sz w:val="20"/>
                  <w:color w:val="0000ff"/>
                </w:rPr>
                <w:t xml:space="preserve">N 800</w:t>
              </w:r>
            </w:hyperlink>
            <w:r>
              <w:rPr>
                <w:sz w:val="20"/>
                <w:color w:val="392c69"/>
              </w:rPr>
              <w:t xml:space="preserve">, от 26.12.2019 </w:t>
            </w:r>
            <w:hyperlink w:history="0" r:id="rId78" w:tooltip="Постановление Правительства РФ от 26.12.2019 N 1857 &quot;О внесении изменений в некоторые акты Правительства Российской Федерации по вопросам компенсации расходов на приобретение электрической энергии (мощности) в целях компенсации потерь электрической энергии собственникам или иным законным владельцам объектов электросетевого хозяйства, понесенных ими в связи с обеспечением перетока электрической энергии в энергопринимающие устройства потребителей электрической энергии&quot; {КонсультантПлюс}">
              <w:r>
                <w:rPr>
                  <w:sz w:val="20"/>
                  <w:color w:val="0000ff"/>
                </w:rPr>
                <w:t xml:space="preserve">N 1857</w:t>
              </w:r>
            </w:hyperlink>
            <w:r>
              <w:rPr>
                <w:sz w:val="20"/>
                <w:color w:val="392c69"/>
              </w:rPr>
              <w:t xml:space="preserve">, от 27.12.2019 </w:t>
            </w:r>
            <w:hyperlink w:history="0" r:id="rId79" w:tooltip="Постановление Правительства РФ от 27.12.2019 N 1892 (ред. от 16.12.2021) &quot;О внесении изменений в некоторые акты Правительства Российской Федерации по вопросам государственного регулирования цен (тарифов)&quot; {КонсультантПлюс}">
              <w:r>
                <w:rPr>
                  <w:sz w:val="20"/>
                  <w:color w:val="0000ff"/>
                </w:rPr>
                <w:t xml:space="preserve">N 1892</w:t>
              </w:r>
            </w:hyperlink>
            <w:r>
              <w:rPr>
                <w:sz w:val="20"/>
                <w:color w:val="392c69"/>
              </w:rPr>
              <w:t xml:space="preserve">,</w:t>
            </w:r>
          </w:p>
          <w:p>
            <w:pPr>
              <w:pStyle w:val="0"/>
              <w:jc w:val="center"/>
            </w:pPr>
            <w:r>
              <w:rPr>
                <w:sz w:val="20"/>
                <w:color w:val="392c69"/>
              </w:rPr>
              <w:t xml:space="preserve">от 10.03.2020 </w:t>
            </w:r>
            <w:hyperlink w:history="0" r:id="rId80" w:tooltip="Постановление Правительства РФ от 10.03.2020 N 262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262</w:t>
              </w:r>
            </w:hyperlink>
            <w:r>
              <w:rPr>
                <w:sz w:val="20"/>
                <w:color w:val="392c69"/>
              </w:rPr>
              <w:t xml:space="preserve">, от 21.03.2020 </w:t>
            </w:r>
            <w:hyperlink w:history="0" r:id="rId81" w:tooltip="Постановление Правительства РФ от 21.03.2020 N 320 &quot;О внесении изменений в некоторые акты Правительства Российской Федерации по вопросам функционирования активных энергетических комплексов&quot; {КонсультантПлюс}">
              <w:r>
                <w:rPr>
                  <w:sz w:val="20"/>
                  <w:color w:val="0000ff"/>
                </w:rPr>
                <w:t xml:space="preserve">N 320</w:t>
              </w:r>
            </w:hyperlink>
            <w:r>
              <w:rPr>
                <w:sz w:val="20"/>
                <w:color w:val="392c69"/>
              </w:rPr>
              <w:t xml:space="preserve">, от 01.04.2020 </w:t>
            </w:r>
            <w:hyperlink w:history="0" r:id="rId82"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N 403</w:t>
              </w:r>
            </w:hyperlink>
            <w:r>
              <w:rPr>
                <w:sz w:val="20"/>
                <w:color w:val="392c69"/>
              </w:rPr>
              <w:t xml:space="preserve">,</w:t>
            </w:r>
          </w:p>
          <w:p>
            <w:pPr>
              <w:pStyle w:val="0"/>
              <w:jc w:val="center"/>
            </w:pPr>
            <w:r>
              <w:rPr>
                <w:sz w:val="20"/>
                <w:color w:val="392c69"/>
              </w:rPr>
              <w:t xml:space="preserve">от 18.04.2020 </w:t>
            </w:r>
            <w:hyperlink w:history="0" r:id="rId83" w:tooltip="Постановление Правительства РФ от 18.04.2020 N 55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554</w:t>
              </w:r>
            </w:hyperlink>
            <w:r>
              <w:rPr>
                <w:sz w:val="20"/>
                <w:color w:val="392c69"/>
              </w:rPr>
              <w:t xml:space="preserve">, от 30.04.2020 </w:t>
            </w:r>
            <w:hyperlink w:history="0" r:id="rId84" w:tooltip="Постановление Правительства РФ от 30.04.2020 N 628 &quot;О внесении изменений в некоторые акты Правительства Российской Федерации в связи с введением мер по недопущению распространения новой коронавирусной инфекции на территории Российской Федерации&quot; {КонсультантПлюс}">
              <w:r>
                <w:rPr>
                  <w:sz w:val="20"/>
                  <w:color w:val="0000ff"/>
                </w:rPr>
                <w:t xml:space="preserve">N 628</w:t>
              </w:r>
            </w:hyperlink>
            <w:r>
              <w:rPr>
                <w:sz w:val="20"/>
                <w:color w:val="392c69"/>
              </w:rPr>
              <w:t xml:space="preserve">, от 29.06.2020 </w:t>
            </w:r>
            <w:hyperlink w:history="0" r:id="rId85"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950</w:t>
              </w:r>
            </w:hyperlink>
            <w:r>
              <w:rPr>
                <w:sz w:val="20"/>
                <w:color w:val="392c69"/>
              </w:rPr>
              <w:t xml:space="preserve">,</w:t>
            </w:r>
          </w:p>
          <w:p>
            <w:pPr>
              <w:pStyle w:val="0"/>
              <w:jc w:val="center"/>
            </w:pPr>
            <w:r>
              <w:rPr>
                <w:sz w:val="20"/>
                <w:color w:val="392c69"/>
              </w:rPr>
              <w:t xml:space="preserve">от 03.12.2020 </w:t>
            </w:r>
            <w:hyperlink w:history="0" r:id="rId86" w:tooltip="Постановление Правительства РФ от 03.12.2020 N 2005 &quot;О внесении изменений в некоторые акты Правительства Российской Федерации по вопросам совершенствования регулирования отношений с участием владельцев объектов электросетевого хозяйства, входящих в единую национальную (общероссийскую) электрическую сеть&quot; {КонсультантПлюс}">
              <w:r>
                <w:rPr>
                  <w:sz w:val="20"/>
                  <w:color w:val="0000ff"/>
                </w:rPr>
                <w:t xml:space="preserve">N 2005</w:t>
              </w:r>
            </w:hyperlink>
            <w:r>
              <w:rPr>
                <w:sz w:val="20"/>
                <w:color w:val="392c69"/>
              </w:rPr>
              <w:t xml:space="preserve">, от 21.12.2020 </w:t>
            </w:r>
            <w:hyperlink w:history="0" r:id="rId87" w:tooltip="Постановление Правительства РФ от 21.12.2020 N 2184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N 2184</w:t>
              </w:r>
            </w:hyperlink>
            <w:r>
              <w:rPr>
                <w:sz w:val="20"/>
                <w:color w:val="392c69"/>
              </w:rPr>
              <w:t xml:space="preserve">, от 30.01.2021 </w:t>
            </w:r>
            <w:hyperlink w:history="0" r:id="rId88" w:tooltip="Постановление Правительства РФ от 30.01.2021 N 85 (ред. от 25.12.2021) &quot;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quot; {КонсультантПлюс}">
              <w:r>
                <w:rPr>
                  <w:sz w:val="20"/>
                  <w:color w:val="0000ff"/>
                </w:rPr>
                <w:t xml:space="preserve">N 85</w:t>
              </w:r>
            </w:hyperlink>
            <w:r>
              <w:rPr>
                <w:sz w:val="20"/>
                <w:color w:val="392c69"/>
              </w:rPr>
              <w:t xml:space="preserve">,</w:t>
            </w:r>
          </w:p>
          <w:p>
            <w:pPr>
              <w:pStyle w:val="0"/>
              <w:jc w:val="center"/>
            </w:pPr>
            <w:r>
              <w:rPr>
                <w:sz w:val="20"/>
                <w:color w:val="392c69"/>
              </w:rPr>
              <w:t xml:space="preserve">от 30.01.2021 </w:t>
            </w:r>
            <w:hyperlink w:history="0" r:id="rId89"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N 86</w:t>
              </w:r>
            </w:hyperlink>
            <w:r>
              <w:rPr>
                <w:sz w:val="20"/>
                <w:color w:val="392c69"/>
              </w:rPr>
              <w:t xml:space="preserve">, от 02.03.2021 </w:t>
            </w:r>
            <w:hyperlink w:history="0" r:id="rId90"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N 299</w:t>
              </w:r>
            </w:hyperlink>
            <w:r>
              <w:rPr>
                <w:sz w:val="20"/>
                <w:color w:val="392c69"/>
              </w:rPr>
              <w:t xml:space="preserve">, от 31.03.2021 </w:t>
            </w:r>
            <w:hyperlink w:history="0" r:id="rId91" w:tooltip="Постановление Правительства РФ от 31.03.2021 N 496 &quot;О внесении изменений в Правила недискриминационного доступа к услугам по передаче электрической энергии и оказания этих услуг и признании утратившим силу подпункта &quot;б&quot; пункта 2 изменений, которые вносятся в акты Правительства Российской Федерации по вопросу отнесения территорий Республики Крым и г. Севастополя к территориям, которые объединены в первую ценовую зону оптового рынка, утвержденных постановлением Правительства Российской Федерации от 23 декабря {КонсультантПлюс}">
              <w:r>
                <w:rPr>
                  <w:sz w:val="20"/>
                  <w:color w:val="0000ff"/>
                </w:rPr>
                <w:t xml:space="preserve">N 496</w:t>
              </w:r>
            </w:hyperlink>
            <w:r>
              <w:rPr>
                <w:sz w:val="20"/>
                <w:color w:val="392c69"/>
              </w:rPr>
              <w:t xml:space="preserve">,</w:t>
            </w:r>
          </w:p>
          <w:p>
            <w:pPr>
              <w:pStyle w:val="0"/>
              <w:jc w:val="center"/>
            </w:pPr>
            <w:r>
              <w:rPr>
                <w:sz w:val="20"/>
                <w:color w:val="392c69"/>
              </w:rPr>
              <w:t xml:space="preserve">от 26.04.2021 </w:t>
            </w:r>
            <w:hyperlink w:history="0" r:id="rId92" w:tooltip="Постановление Правительства РФ от 26.04.2021 N 639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639</w:t>
              </w:r>
            </w:hyperlink>
            <w:r>
              <w:rPr>
                <w:sz w:val="20"/>
                <w:color w:val="392c69"/>
              </w:rPr>
              <w:t xml:space="preserve">, от 30.06.2021 </w:t>
            </w:r>
            <w:hyperlink w:history="0" r:id="rId93" w:tooltip="Постановление Правительства РФ от 30.06.2021 N 1071 &quot;О внесении изменений в пункт 196(1) Правил оптового рынка электрической энергии и мощност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1071</w:t>
              </w:r>
            </w:hyperlink>
            <w:r>
              <w:rPr>
                <w:sz w:val="20"/>
                <w:color w:val="392c69"/>
              </w:rPr>
              <w:t xml:space="preserve">, от 11.08.2021 </w:t>
            </w:r>
            <w:hyperlink w:history="0" r:id="rId94" w:tooltip="Постановление Правительства РФ от 11.08.2021 N 1332 &quot;О внесении изменений в пункт 16(1)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1332</w:t>
              </w:r>
            </w:hyperlink>
            <w:r>
              <w:rPr>
                <w:sz w:val="20"/>
                <w:color w:val="392c69"/>
              </w:rPr>
              <w:t xml:space="preserve">,</w:t>
            </w:r>
          </w:p>
          <w:p>
            <w:pPr>
              <w:pStyle w:val="0"/>
              <w:jc w:val="center"/>
            </w:pPr>
            <w:r>
              <w:rPr>
                <w:sz w:val="20"/>
                <w:color w:val="392c69"/>
              </w:rPr>
              <w:t xml:space="preserve">от 09.10.2021 </w:t>
            </w:r>
            <w:hyperlink w:history="0" r:id="rId95" w:tooltip="Постановление Правительства РФ от 09.10.2021 N 1711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1711</w:t>
              </w:r>
            </w:hyperlink>
            <w:r>
              <w:rPr>
                <w:sz w:val="20"/>
                <w:color w:val="392c69"/>
              </w:rPr>
              <w:t xml:space="preserve">, от 29.10.2021 </w:t>
            </w:r>
            <w:hyperlink w:history="0" r:id="rId96" w:tooltip="Постановление Правительства РФ от 29.10.2021 N 1852 &quot;О внесении изменений в некоторые акты Правительства Российской Федерации&quot; {КонсультантПлюс}">
              <w:r>
                <w:rPr>
                  <w:sz w:val="20"/>
                  <w:color w:val="0000ff"/>
                </w:rPr>
                <w:t xml:space="preserve">N 1852</w:t>
              </w:r>
            </w:hyperlink>
            <w:r>
              <w:rPr>
                <w:sz w:val="20"/>
                <w:color w:val="392c69"/>
              </w:rPr>
              <w:t xml:space="preserve">, от 29.12.2021 </w:t>
            </w:r>
            <w:hyperlink w:history="0" r:id="rId97"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2566</w:t>
              </w:r>
            </w:hyperlink>
            <w:r>
              <w:rPr>
                <w:sz w:val="20"/>
                <w:color w:val="392c69"/>
              </w:rPr>
              <w:t xml:space="preserve">,</w:t>
            </w:r>
          </w:p>
          <w:p>
            <w:pPr>
              <w:pStyle w:val="0"/>
              <w:jc w:val="center"/>
            </w:pPr>
            <w:r>
              <w:rPr>
                <w:sz w:val="20"/>
                <w:color w:val="392c69"/>
              </w:rPr>
              <w:t xml:space="preserve">от 14.03.2022 </w:t>
            </w:r>
            <w:hyperlink w:history="0" r:id="rId98"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360</w:t>
              </w:r>
            </w:hyperlink>
            <w:r>
              <w:rPr>
                <w:sz w:val="20"/>
                <w:color w:val="392c69"/>
              </w:rPr>
              <w:t xml:space="preserve">, от 30.06.2022 </w:t>
            </w:r>
            <w:hyperlink w:history="0" r:id="rId99"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1178</w:t>
              </w:r>
            </w:hyperlink>
            <w:r>
              <w:rPr>
                <w:sz w:val="20"/>
                <w:color w:val="392c69"/>
              </w:rPr>
              <w:t xml:space="preserve">,</w:t>
            </w:r>
          </w:p>
          <w:p>
            <w:pPr>
              <w:pStyle w:val="0"/>
              <w:jc w:val="center"/>
            </w:pPr>
            <w:r>
              <w:rPr>
                <w:sz w:val="20"/>
                <w:color w:val="392c69"/>
              </w:rPr>
              <w:t xml:space="preserve">с изм., внесенными </w:t>
            </w:r>
            <w:hyperlink w:history="0" r:id="rId100" w:tooltip="Постановление Конституционного Суда РФ от 25.04.2019 N 19-П &quot;По делу о проверке конституционности пункта 6 Правил недискриминационного доступа к услугам по передаче электрической энергии и оказания этих услуг в связи с жалобой акционерного общества &quot;Верхневолгоэлектромонтаж-НН&quot; {КонсультантПлюс}">
              <w:r>
                <w:rPr>
                  <w:sz w:val="20"/>
                  <w:color w:val="0000ff"/>
                </w:rPr>
                <w:t xml:space="preserve">Постановлением</w:t>
              </w:r>
            </w:hyperlink>
            <w:r>
              <w:rPr>
                <w:sz w:val="20"/>
                <w:color w:val="392c69"/>
              </w:rPr>
              <w:t xml:space="preserve"> Конституционного Суда РФ</w:t>
            </w:r>
          </w:p>
          <w:p>
            <w:pPr>
              <w:pStyle w:val="0"/>
              <w:jc w:val="center"/>
            </w:pPr>
            <w:r>
              <w:rPr>
                <w:sz w:val="20"/>
                <w:color w:val="392c69"/>
              </w:rPr>
              <w:t xml:space="preserve">от 25.04.2019 N 19-П)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целях содействия развитию конкуренции на рынке производства и сбыта электрической энергии, защиты прав потребителей электрической энергии и в соответствии со </w:t>
      </w:r>
      <w:hyperlink w:history="0" r:id="rId101" w:tooltip="Федеральный закон от 26.03.2003 N 35-ФЗ (ред. от 11.06.2022) &quot;Об электроэнергетике&quot; (с изм. и доп., вступ. в силу с 01.07.2022) {КонсультантПлюс}">
        <w:r>
          <w:rPr>
            <w:sz w:val="20"/>
            <w:color w:val="0000ff"/>
          </w:rPr>
          <w:t xml:space="preserve">статьями 20</w:t>
        </w:r>
      </w:hyperlink>
      <w:r>
        <w:rPr>
          <w:sz w:val="20"/>
        </w:rPr>
        <w:t xml:space="preserve">, </w:t>
      </w:r>
      <w:r>
        <w:rPr>
          <w:sz w:val="20"/>
        </w:rPr>
        <w:t xml:space="preserve">21</w:t>
      </w:r>
      <w:r>
        <w:rPr>
          <w:sz w:val="20"/>
        </w:rPr>
        <w:t xml:space="preserve">, </w:t>
      </w:r>
      <w:hyperlink w:history="0" r:id="rId102" w:tooltip="Федеральный закон от 26.03.2003 N 35-ФЗ (ред. от 11.06.2022) &quot;Об электроэнергетике&quot; (с изм. и доп., вступ. в силу с 01.07.2022) {КонсультантПлюс}">
        <w:r>
          <w:rPr>
            <w:sz w:val="20"/>
            <w:color w:val="0000ff"/>
          </w:rPr>
          <w:t xml:space="preserve">25</w:t>
        </w:r>
      </w:hyperlink>
      <w:r>
        <w:rPr>
          <w:sz w:val="20"/>
        </w:rPr>
        <w:t xml:space="preserve"> и </w:t>
      </w:r>
      <w:r>
        <w:rPr>
          <w:sz w:val="20"/>
        </w:rPr>
        <w:t xml:space="preserve">26</w:t>
      </w:r>
      <w:r>
        <w:rPr>
          <w:sz w:val="20"/>
        </w:rPr>
        <w:t xml:space="preserve"> Федерального закона "Об электроэнергетике"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w:t>
      </w:r>
    </w:p>
    <w:p>
      <w:pPr>
        <w:pStyle w:val="0"/>
        <w:spacing w:before="200" w:line-rule="auto"/>
        <w:ind w:firstLine="540"/>
        <w:jc w:val="both"/>
      </w:pPr>
      <w:hyperlink w:history="0" w:anchor="P86" w:tooltip="ПРАВИЛА">
        <w:r>
          <w:rPr>
            <w:sz w:val="20"/>
            <w:color w:val="0000ff"/>
          </w:rPr>
          <w:t xml:space="preserve">Правила</w:t>
        </w:r>
      </w:hyperlink>
      <w:r>
        <w:rPr>
          <w:sz w:val="20"/>
        </w:rPr>
        <w:t xml:space="preserve"> недискриминационного доступа к услугам по передаче электрической энергии и оказания этих услуг;</w:t>
      </w:r>
    </w:p>
    <w:p>
      <w:pPr>
        <w:pStyle w:val="0"/>
        <w:spacing w:before="200" w:line-rule="auto"/>
        <w:ind w:firstLine="540"/>
        <w:jc w:val="both"/>
      </w:pPr>
      <w:hyperlink w:history="0" w:anchor="P699" w:tooltip="ПРАВИЛА">
        <w:r>
          <w:rPr>
            <w:sz w:val="20"/>
            <w:color w:val="0000ff"/>
          </w:rPr>
          <w:t xml:space="preserve">Правила</w:t>
        </w:r>
      </w:hyperlink>
      <w:r>
        <w:rPr>
          <w:sz w:val="20"/>
        </w:rPr>
        <w:t xml:space="preserve"> недискриминационного доступа к услугам по оперативно-диспетчерскому управлению в электроэнергетике и оказания этих услуг;</w:t>
      </w:r>
    </w:p>
    <w:p>
      <w:pPr>
        <w:pStyle w:val="0"/>
        <w:spacing w:before="200" w:line-rule="auto"/>
        <w:ind w:firstLine="540"/>
        <w:jc w:val="both"/>
      </w:pPr>
      <w:hyperlink w:history="0" w:anchor="P763" w:tooltip="ПРАВИЛА">
        <w:r>
          <w:rPr>
            <w:sz w:val="20"/>
            <w:color w:val="0000ff"/>
          </w:rPr>
          <w:t xml:space="preserve">Правила</w:t>
        </w:r>
      </w:hyperlink>
      <w:r>
        <w:rPr>
          <w:sz w:val="20"/>
        </w:rPr>
        <w:t xml:space="preserve"> недискриминационного доступа к услугам администратора торговой системы оптового рынка и оказания этих услуг;</w:t>
      </w:r>
    </w:p>
    <w:p>
      <w:pPr>
        <w:pStyle w:val="0"/>
        <w:spacing w:before="200" w:line-rule="auto"/>
        <w:ind w:firstLine="540"/>
        <w:jc w:val="both"/>
      </w:pPr>
      <w:hyperlink w:history="0" w:anchor="P835" w:tooltip="ПРАВИЛА">
        <w:r>
          <w:rPr>
            <w:sz w:val="20"/>
            <w:color w:val="0000ff"/>
          </w:rPr>
          <w:t xml:space="preserve">Правила</w:t>
        </w:r>
      </w:hyperlink>
      <w:r>
        <w:rPr>
          <w:sz w:val="20"/>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pStyle w:val="0"/>
        <w:jc w:val="both"/>
      </w:pPr>
      <w:r>
        <w:rPr>
          <w:sz w:val="20"/>
        </w:rPr>
        <w:t xml:space="preserve">(в ред. </w:t>
      </w:r>
      <w:hyperlink w:history="0" r:id="rId103"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антПлюс}">
        <w:r>
          <w:rPr>
            <w:sz w:val="20"/>
            <w:color w:val="0000ff"/>
          </w:rPr>
          <w:t xml:space="preserve">Постановления</w:t>
        </w:r>
      </w:hyperlink>
      <w:r>
        <w:rPr>
          <w:sz w:val="20"/>
        </w:rPr>
        <w:t xml:space="preserve"> Правительства РФ от 21.04.2009 N 334)</w:t>
      </w:r>
    </w:p>
    <w:p>
      <w:pPr>
        <w:pStyle w:val="0"/>
        <w:spacing w:before="200" w:line-rule="auto"/>
        <w:ind w:firstLine="540"/>
        <w:jc w:val="both"/>
      </w:pPr>
      <w:r>
        <w:rPr>
          <w:sz w:val="20"/>
        </w:rPr>
        <w:t xml:space="preserve">2. Определить Федеральную антимонопольную службу уполномоченным федеральным органом исполнительной власти по обеспечению государственного контроля за соблюдением правил недискриминационного доступа к услугам </w:t>
      </w:r>
      <w:hyperlink w:history="0" w:anchor="P86" w:tooltip="ПРАВИЛА">
        <w:r>
          <w:rPr>
            <w:sz w:val="20"/>
            <w:color w:val="0000ff"/>
          </w:rPr>
          <w:t xml:space="preserve">по передаче</w:t>
        </w:r>
      </w:hyperlink>
      <w:r>
        <w:rPr>
          <w:sz w:val="20"/>
        </w:rPr>
        <w:t xml:space="preserve"> электрической энергии, услугам </w:t>
      </w:r>
      <w:hyperlink w:history="0" w:anchor="P699" w:tooltip="ПРАВИЛА">
        <w:r>
          <w:rPr>
            <w:sz w:val="20"/>
            <w:color w:val="0000ff"/>
          </w:rPr>
          <w:t xml:space="preserve">по оперативно-диспетчерскому управлению</w:t>
        </w:r>
      </w:hyperlink>
      <w:r>
        <w:rPr>
          <w:sz w:val="20"/>
        </w:rPr>
        <w:t xml:space="preserve"> в электроэнергетике и услугам </w:t>
      </w:r>
      <w:hyperlink w:history="0" w:anchor="P763" w:tooltip="ПРАВИЛА">
        <w:r>
          <w:rPr>
            <w:sz w:val="20"/>
            <w:color w:val="0000ff"/>
          </w:rPr>
          <w:t xml:space="preserve">администратора</w:t>
        </w:r>
      </w:hyperlink>
      <w:r>
        <w:rPr>
          <w:sz w:val="20"/>
        </w:rPr>
        <w:t xml:space="preserve"> торговой системы.</w:t>
      </w:r>
    </w:p>
    <w:p>
      <w:pPr>
        <w:pStyle w:val="0"/>
        <w:spacing w:before="200" w:line-rule="auto"/>
        <w:ind w:firstLine="540"/>
        <w:jc w:val="both"/>
      </w:pPr>
      <w:r>
        <w:rPr>
          <w:sz w:val="20"/>
        </w:rPr>
        <w:t xml:space="preserve">Определить Федеральную антимонопольную службу уполномоченным федеральным органом исполнительной власти по обеспечению контроля за соблюдением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pStyle w:val="0"/>
        <w:jc w:val="both"/>
      </w:pPr>
      <w:r>
        <w:rPr>
          <w:sz w:val="20"/>
        </w:rPr>
        <w:t xml:space="preserve">(абзац введен </w:t>
      </w:r>
      <w:hyperlink w:history="0" r:id="rId104"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антПлюс}">
        <w:r>
          <w:rPr>
            <w:sz w:val="20"/>
            <w:color w:val="0000ff"/>
          </w:rPr>
          <w:t xml:space="preserve">Постановлением</w:t>
        </w:r>
      </w:hyperlink>
      <w:r>
        <w:rPr>
          <w:sz w:val="20"/>
        </w:rPr>
        <w:t xml:space="preserve"> Правительства РФ от 21.04.2009 N 334; в ред. </w:t>
      </w:r>
      <w:hyperlink w:history="0" r:id="rId105" w:tooltip="Постановление Правительства РФ от 04.09.2015 N 941 (ред. от 25.12.2021) &quot;О внесении изменений,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едеральной антимонопольной службой решений об определении (установлении) цен (тарифов) и (или) их предельных уровней в сфере деятельности субъектов естественных монополий и иных регулируемых организаций&quot; {КонсультантПлюс}">
        <w:r>
          <w:rPr>
            <w:sz w:val="20"/>
            <w:color w:val="0000ff"/>
          </w:rPr>
          <w:t xml:space="preserve">Постановления</w:t>
        </w:r>
      </w:hyperlink>
      <w:r>
        <w:rPr>
          <w:sz w:val="20"/>
        </w:rPr>
        <w:t xml:space="preserve"> Правительства РФ от 04.09.2015 N 941)</w:t>
      </w:r>
    </w:p>
    <w:p>
      <w:pPr>
        <w:pStyle w:val="0"/>
        <w:spacing w:before="200" w:line-rule="auto"/>
        <w:ind w:firstLine="540"/>
        <w:jc w:val="both"/>
      </w:pPr>
      <w:r>
        <w:rPr>
          <w:sz w:val="20"/>
        </w:rPr>
        <w:t xml:space="preserve">3. Министерству промышленности и энергетики Российской Федерации в 3-месячный срок разработать и утвердить </w:t>
      </w:r>
      <w:r>
        <w:rPr>
          <w:sz w:val="20"/>
        </w:rPr>
        <w:t xml:space="preserve">методику</w:t>
      </w:r>
      <w:r>
        <w:rPr>
          <w:sz w:val="20"/>
        </w:rPr>
        <w:t xml:space="preserve"> определения нормативных и фактических потерь электрической энергии в электрических сетях.</w:t>
      </w:r>
    </w:p>
    <w:p>
      <w:pPr>
        <w:pStyle w:val="0"/>
        <w:spacing w:before="200" w:line-rule="auto"/>
        <w:ind w:firstLine="540"/>
        <w:jc w:val="both"/>
      </w:pPr>
      <w:r>
        <w:rPr>
          <w:sz w:val="20"/>
        </w:rPr>
        <w:t xml:space="preserve">4. Утвержденные настоящим Постановлением </w:t>
      </w:r>
      <w:hyperlink w:history="0" w:anchor="P86" w:tooltip="ПРАВИЛА">
        <w:r>
          <w:rPr>
            <w:sz w:val="20"/>
            <w:color w:val="0000ff"/>
          </w:rPr>
          <w:t xml:space="preserve">Правила</w:t>
        </w:r>
      </w:hyperlink>
      <w:r>
        <w:rPr>
          <w:sz w:val="20"/>
        </w:rPr>
        <w:t xml:space="preserve"> недискриминационного доступа к услугам по передаче электрической энергии и оказания этих услуг и </w:t>
      </w:r>
      <w:hyperlink w:history="0" w:anchor="P835" w:tooltip="ПРАВИЛА">
        <w:r>
          <w:rPr>
            <w:sz w:val="20"/>
            <w:color w:val="0000ff"/>
          </w:rPr>
          <w:t xml:space="preserve">Правила</w:t>
        </w:r>
      </w:hyperlink>
      <w:r>
        <w:rPr>
          <w:sz w:val="20"/>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применяются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с учетом особенностей, установленных </w:t>
      </w:r>
      <w:hyperlink w:history="0" r:id="rId106" w:tooltip="Постановление Правительства РФ от 15.05.2010 N 341 (ред. от 30.11.2021) &quot;Об утверждении Положения об особенностях предоставления технических условий, определения платы за технологическое присоединение и особенностях технологического присоединения к объектам электросетевого хозяйства энергопринимающих устройств потребителей электрической энергии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и о {КонсультантПлюс}">
        <w:r>
          <w:rPr>
            <w:sz w:val="20"/>
            <w:color w:val="0000ff"/>
          </w:rPr>
          <w:t xml:space="preserve">Постановлением</w:t>
        </w:r>
      </w:hyperlink>
      <w:r>
        <w:rPr>
          <w:sz w:val="20"/>
        </w:rPr>
        <w:t xml:space="preserve"> Правительства Российской Федерации от 15 мая 2010 г. N 341 "Об утверждении Положения об особенностях предоставления технических условий, определения платы за технологическое присоединение и особенностях технологического присоединения к объектам электросетевого хозяйства энергопринимающих устройств потребителей электрической энергии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и о внесении изменений в некоторые акты Правительства Российской Федерации.</w:t>
      </w:r>
    </w:p>
    <w:p>
      <w:pPr>
        <w:pStyle w:val="0"/>
        <w:jc w:val="both"/>
      </w:pPr>
      <w:r>
        <w:rPr>
          <w:sz w:val="20"/>
        </w:rPr>
        <w:t xml:space="preserve">(п. 4 введен </w:t>
      </w:r>
      <w:hyperlink w:history="0" r:id="rId107" w:tooltip="Постановление Правительства РФ от 15.05.2010 N 341 (ред. от 30.11.2021) &quot;Об утверждении Положения об особенностях предоставления технических условий, определения платы за технологическое присоединение и особенностях технологического присоединения к объектам электросетевого хозяйства энергопринимающих устройств потребителей электрической энергии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и о {КонсультантПлюс}">
        <w:r>
          <w:rPr>
            <w:sz w:val="20"/>
            <w:color w:val="0000ff"/>
          </w:rPr>
          <w:t xml:space="preserve">Постановлением</w:t>
        </w:r>
      </w:hyperlink>
      <w:r>
        <w:rPr>
          <w:sz w:val="20"/>
        </w:rPr>
        <w:t xml:space="preserve"> Правительства РФ от 15.05.2010 N 341)</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М.ФРАДКОВ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27 декабря 2004 г. N 861</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24.09.2020 по 31.12.2030 </w:t>
            </w:r>
            <w:hyperlink w:history="0" w:anchor="P86" w:tooltip="ПРАВИЛА">
              <w:r>
                <w:rPr>
                  <w:sz w:val="20"/>
                  <w:color w:val="0000ff"/>
                </w:rPr>
                <w:t xml:space="preserve">Правила</w:t>
              </w:r>
            </w:hyperlink>
            <w:r>
              <w:rPr>
                <w:sz w:val="20"/>
                <w:color w:val="392c69"/>
              </w:rPr>
              <w:t xml:space="preserve"> недискриминационного доступа, утв. данным документом, </w:t>
            </w:r>
            <w:hyperlink w:history="0" w:anchor="P111" w:tooltip="Со дня вступления в силу постановления Правительства Российской Федерации от 21 марта 2020 г. N 320 &quot;О внесении изменений в некоторые акты Правительства Российской Федерации по вопросам функционирования активных энергетических комплексов&quot; по 31 декабря 2030 г. настоящие Правила применяются, если иное не установлено приложением N 5 к Основным положениям функционирования розничных рынков электрической энергии, утвержденным постановлением Правительства Российской Федерации от 4 мая 2012 г. N 442 &quot;О функцион...">
              <w:r>
                <w:rPr>
                  <w:sz w:val="20"/>
                  <w:color w:val="0000ff"/>
                </w:rPr>
                <w:t xml:space="preserve">применяются</w:t>
              </w:r>
            </w:hyperlink>
            <w:r>
              <w:rPr>
                <w:sz w:val="20"/>
                <w:color w:val="392c69"/>
              </w:rPr>
              <w:t xml:space="preserve">, если иное не установлено </w:t>
            </w:r>
            <w:hyperlink w:history="0" r:id="rId108"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приложением N 5</w:t>
              </w:r>
            </w:hyperlink>
            <w:r>
              <w:rPr>
                <w:sz w:val="20"/>
                <w:color w:val="392c69"/>
              </w:rPr>
              <w:t xml:space="preserve"> к Основным положениям функционирования розничных рынков электрической энергии, утв. Постановлением Правительства РФ от 04.05.2012 N 442.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6" w:name="P86"/>
    <w:bookmarkEnd w:id="86"/>
    <w:p>
      <w:pPr>
        <w:pStyle w:val="2"/>
        <w:spacing w:before="260" w:line-rule="auto"/>
        <w:jc w:val="center"/>
      </w:pPr>
      <w:r>
        <w:rPr>
          <w:sz w:val="20"/>
        </w:rPr>
        <w:t xml:space="preserve">ПРАВИЛА</w:t>
      </w:r>
    </w:p>
    <w:p>
      <w:pPr>
        <w:pStyle w:val="2"/>
        <w:jc w:val="center"/>
      </w:pPr>
      <w:r>
        <w:rPr>
          <w:sz w:val="20"/>
        </w:rPr>
        <w:t xml:space="preserve">НЕДИСКРИМИНАЦИОННОГО ДОСТУПА К УСЛУГАМ ПО ПЕРЕДАЧЕ</w:t>
      </w:r>
    </w:p>
    <w:p>
      <w:pPr>
        <w:pStyle w:val="2"/>
        <w:jc w:val="center"/>
      </w:pPr>
      <w:r>
        <w:rPr>
          <w:sz w:val="20"/>
        </w:rPr>
        <w:t xml:space="preserve">ЭЛЕКТРИЧЕСКОЙ ЭНЕРГИИ И ОКАЗАНИЯ ЭТИХ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21.03.2007 </w:t>
            </w:r>
            <w:hyperlink w:history="0" r:id="rId109" w:tooltip="Постановление Правительства РФ от 21.03.2007 N 168 (ред. от 22.10.2012) &quot;О внесении изменений в некоторые Постановления Правительства Российской Федерации по вопросам электроэнергетики&quot; {КонсультантПлюс}">
              <w:r>
                <w:rPr>
                  <w:sz w:val="20"/>
                  <w:color w:val="0000ff"/>
                </w:rPr>
                <w:t xml:space="preserve">N 168</w:t>
              </w:r>
            </w:hyperlink>
            <w:r>
              <w:rPr>
                <w:sz w:val="20"/>
                <w:color w:val="392c69"/>
              </w:rPr>
              <w:t xml:space="preserve">,</w:t>
            </w:r>
          </w:p>
          <w:p>
            <w:pPr>
              <w:pStyle w:val="0"/>
              <w:jc w:val="center"/>
            </w:pPr>
            <w:r>
              <w:rPr>
                <w:sz w:val="20"/>
                <w:color w:val="392c69"/>
              </w:rPr>
              <w:t xml:space="preserve">от 26.07.2007 </w:t>
            </w:r>
            <w:hyperlink w:history="0" r:id="rId110" w:tooltip="Постановление Правительства РФ от 26.07.2007 N 484 (ред. от 05.09.2018) &quot;О выводе объектов электроэнергетики в ремонт и из эксплуатации&quot; ------------ Утратил силу или отменен {КонсультантПлюс}">
              <w:r>
                <w:rPr>
                  <w:sz w:val="20"/>
                  <w:color w:val="0000ff"/>
                </w:rPr>
                <w:t xml:space="preserve">N 484</w:t>
              </w:r>
            </w:hyperlink>
            <w:r>
              <w:rPr>
                <w:sz w:val="20"/>
                <w:color w:val="392c69"/>
              </w:rPr>
              <w:t xml:space="preserve">, от 15.06.2009 </w:t>
            </w:r>
            <w:hyperlink w:history="0" r:id="rId111" w:tooltip="Постановление Правительства РФ от 15.06.2009 N 492 (ред. от 22.10.2012) &quot;О существенных условиях и порядке разрешения разногласий о праве заключения договоров в отношении объектов электросетевого хозяйства, входящих в единую национальную (общероссийскую) электрическую сеть&quot; (вместе с &quot;Правилами разрешения разногласий о праве заключения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ли иным законным владел {КонсультантПлюс}">
              <w:r>
                <w:rPr>
                  <w:sz w:val="20"/>
                  <w:color w:val="0000ff"/>
                </w:rPr>
                <w:t xml:space="preserve">N 492</w:t>
              </w:r>
            </w:hyperlink>
            <w:r>
              <w:rPr>
                <w:sz w:val="20"/>
                <w:color w:val="392c69"/>
              </w:rPr>
              <w:t xml:space="preserve">, от 02.10.2009 </w:t>
            </w:r>
            <w:hyperlink w:history="0" r:id="rId112" w:tooltip="Постановление Правительства РФ от 02.10.2009 N 785 (ред. от 04.05.201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N 785</w:t>
              </w:r>
            </w:hyperlink>
            <w:r>
              <w:rPr>
                <w:sz w:val="20"/>
                <w:color w:val="392c69"/>
              </w:rPr>
              <w:t xml:space="preserve">,</w:t>
            </w:r>
          </w:p>
          <w:p>
            <w:pPr>
              <w:pStyle w:val="0"/>
              <w:jc w:val="center"/>
            </w:pPr>
            <w:r>
              <w:rPr>
                <w:sz w:val="20"/>
                <w:color w:val="392c69"/>
              </w:rPr>
              <w:t xml:space="preserve">от 03.03.2010 </w:t>
            </w:r>
            <w:hyperlink w:history="0" r:id="rId113" w:tooltip="Постановление Правительства РФ от 03.03.2010 N 117 (ред. от 27.12.2021) &quot;О порядке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а также об утверждении изменений, которые вносятся в акты Правительства Российской Федерации по вопросам оказания услуг по обеспечению системной надежности&quot; (вместе с &quot;Правилами отбора субъектов электроэнергетики и потребителей электрической энергии, оказывающих услуги по обе {КонсультантПлюс}">
              <w:r>
                <w:rPr>
                  <w:sz w:val="20"/>
                  <w:color w:val="0000ff"/>
                </w:rPr>
                <w:t xml:space="preserve">N 117</w:t>
              </w:r>
            </w:hyperlink>
            <w:r>
              <w:rPr>
                <w:sz w:val="20"/>
                <w:color w:val="392c69"/>
              </w:rPr>
              <w:t xml:space="preserve">, от 09.06.2010 </w:t>
            </w:r>
            <w:hyperlink w:history="0" r:id="rId114" w:tooltip="Постановление Правительства РФ от 09.06.2010 N 416 (ред. от 28.07.2017) &quot;О внесении изменений в некоторые акты Правительства Российской Федерации по вопросу определения особенностей расположения точек поставки для единого хозяйствующего субъекта на железнодорожном транспорте на оптовом и розничном рынках электрической энергии (мощности)&quot; {КонсультантПлюс}">
              <w:r>
                <w:rPr>
                  <w:sz w:val="20"/>
                  <w:color w:val="0000ff"/>
                </w:rPr>
                <w:t xml:space="preserve">N 416</w:t>
              </w:r>
            </w:hyperlink>
            <w:r>
              <w:rPr>
                <w:sz w:val="20"/>
                <w:color w:val="392c69"/>
              </w:rPr>
              <w:t xml:space="preserve">, от 04.05.2012 </w:t>
            </w:r>
            <w:hyperlink w:history="0" r:id="rId115"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N 442</w:t>
              </w:r>
            </w:hyperlink>
            <w:r>
              <w:rPr>
                <w:sz w:val="20"/>
                <w:color w:val="392c69"/>
              </w:rPr>
              <w:t xml:space="preserve">,</w:t>
            </w:r>
          </w:p>
          <w:p>
            <w:pPr>
              <w:pStyle w:val="0"/>
              <w:jc w:val="center"/>
            </w:pPr>
            <w:r>
              <w:rPr>
                <w:sz w:val="20"/>
                <w:color w:val="392c69"/>
              </w:rPr>
              <w:t xml:space="preserve">от 20.07.2013 </w:t>
            </w:r>
            <w:hyperlink w:history="0" r:id="rId116" w:tooltip="Постановление Правительства РФ от 20.07.2013 N 610 (ред. от 30.06.2021) &quot;О федеральном государственном энергетическом надзоре&quot; {КонсультантПлюс}">
              <w:r>
                <w:rPr>
                  <w:sz w:val="20"/>
                  <w:color w:val="0000ff"/>
                </w:rPr>
                <w:t xml:space="preserve">N 610</w:t>
              </w:r>
            </w:hyperlink>
            <w:r>
              <w:rPr>
                <w:sz w:val="20"/>
                <w:color w:val="392c69"/>
              </w:rPr>
              <w:t xml:space="preserve">, от 26.07.2013 </w:t>
            </w:r>
            <w:hyperlink w:history="0" r:id="rId117" w:tooltip="Постановление Правительства РФ от 26.07.2013 N 630 &quot;О внесении изменений в некоторые акты Правительства Российской Федерации в целях повышения доступности энергетической инфраструктуры&quot; {КонсультантПлюс}">
              <w:r>
                <w:rPr>
                  <w:sz w:val="20"/>
                  <w:color w:val="0000ff"/>
                </w:rPr>
                <w:t xml:space="preserve">N 630</w:t>
              </w:r>
            </w:hyperlink>
            <w:r>
              <w:rPr>
                <w:sz w:val="20"/>
                <w:color w:val="392c69"/>
              </w:rPr>
              <w:t xml:space="preserve">, от 31.07.2013 </w:t>
            </w:r>
            <w:hyperlink w:history="0" r:id="rId118" w:tooltip="Постановление Правительства РФ от 31.07.2013 N 652 &quot;О внесении изменений в некоторые акты Правительства Российской Федерации в части уточнения порядка определения максимальной мощности совокупности энергопринимающих устройств потребителей&quot; {КонсультантПлюс}">
              <w:r>
                <w:rPr>
                  <w:sz w:val="20"/>
                  <w:color w:val="0000ff"/>
                </w:rPr>
                <w:t xml:space="preserve">N 652</w:t>
              </w:r>
            </w:hyperlink>
            <w:r>
              <w:rPr>
                <w:sz w:val="20"/>
                <w:color w:val="392c69"/>
              </w:rPr>
              <w:t xml:space="preserve">,</w:t>
            </w:r>
          </w:p>
          <w:p>
            <w:pPr>
              <w:pStyle w:val="0"/>
              <w:jc w:val="center"/>
            </w:pPr>
            <w:r>
              <w:rPr>
                <w:sz w:val="20"/>
                <w:color w:val="392c69"/>
              </w:rPr>
              <w:t xml:space="preserve">от 26.08.2013 </w:t>
            </w:r>
            <w:hyperlink w:history="0" r:id="rId119" w:tooltip="Постановление Правительства РФ от 26.08.2013 N 737 (ред. от 10.03.2020) &quot;О внесении изменений в некоторые акты Правительства Российской Федерации по вопросу осуществления временного технологического присоединения к электрическим сетям&quot; {КонсультантПлюс}">
              <w:r>
                <w:rPr>
                  <w:sz w:val="20"/>
                  <w:color w:val="0000ff"/>
                </w:rPr>
                <w:t xml:space="preserve">N 737</w:t>
              </w:r>
            </w:hyperlink>
            <w:r>
              <w:rPr>
                <w:sz w:val="20"/>
                <w:color w:val="392c69"/>
              </w:rPr>
              <w:t xml:space="preserve">, от 13.11.2013 </w:t>
            </w:r>
            <w:hyperlink w:history="0" r:id="rId120" w:tooltip="Постановление Правительства РФ от 13.11.2013 N 1019 (ред. от 20.10.2016) &quot;О внесении изменений в некоторые акты Правительства Российской Федерации в целях изменения порядка нормирования потерь электрической энергии на основе сравнительного анализа&quot; {КонсультантПлюс}">
              <w:r>
                <w:rPr>
                  <w:sz w:val="20"/>
                  <w:color w:val="0000ff"/>
                </w:rPr>
                <w:t xml:space="preserve">N 1019</w:t>
              </w:r>
            </w:hyperlink>
            <w:r>
              <w:rPr>
                <w:sz w:val="20"/>
                <w:color w:val="392c69"/>
              </w:rPr>
              <w:t xml:space="preserve">, от 10.02.2014 </w:t>
            </w:r>
            <w:hyperlink w:history="0" r:id="rId121" w:tooltip="Постановление Правительства РФ от 10.02.2014 N 95 &quot;О внесении изменений в акты Правительства Российской Федерации в части обязанности гарантирующих поставщиков заключить договор энергоснабжения (купли-продажи (поставки) электрической энергии (мощности)) с потребителям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N 95</w:t>
              </w:r>
            </w:hyperlink>
            <w:r>
              <w:rPr>
                <w:sz w:val="20"/>
                <w:color w:val="392c69"/>
              </w:rPr>
              <w:t xml:space="preserve">,</w:t>
            </w:r>
          </w:p>
          <w:p>
            <w:pPr>
              <w:pStyle w:val="0"/>
              <w:jc w:val="center"/>
            </w:pPr>
            <w:r>
              <w:rPr>
                <w:sz w:val="20"/>
                <w:color w:val="392c69"/>
              </w:rPr>
              <w:t xml:space="preserve">от 20.02.2014 </w:t>
            </w:r>
            <w:hyperlink w:history="0" r:id="rId122"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sz w:val="20"/>
                  <w:color w:val="0000ff"/>
                </w:rPr>
                <w:t xml:space="preserve">N 130</w:t>
              </w:r>
            </w:hyperlink>
            <w:r>
              <w:rPr>
                <w:sz w:val="20"/>
                <w:color w:val="392c69"/>
              </w:rPr>
              <w:t xml:space="preserve">, от 07.03.2014 </w:t>
            </w:r>
            <w:hyperlink w:history="0" r:id="rId123" w:tooltip="Постановление Правительства РФ от 07.03.2014 N 179 &quot;О внесении изменений в некоторые акты Правительства Российской Федерации по вопросам электроэнергетики&quot; {КонсультантПлюс}">
              <w:r>
                <w:rPr>
                  <w:sz w:val="20"/>
                  <w:color w:val="0000ff"/>
                </w:rPr>
                <w:t xml:space="preserve">N 179</w:t>
              </w:r>
            </w:hyperlink>
            <w:r>
              <w:rPr>
                <w:sz w:val="20"/>
                <w:color w:val="392c69"/>
              </w:rPr>
              <w:t xml:space="preserve">, от 31.07.2014 </w:t>
            </w:r>
            <w:hyperlink w:history="0" r:id="rId124" w:tooltip="Постановление Правительства РФ от 31.07.2014 N 740 &quot;О внесении изменений в постановление Правительства Российской Федерации от 27 декабря 2004 г. N 861 в целях уточнения порядка определения объема услуг по передаче электрической энергии, оплачиваемых потребителями услуг&quot; {КонсультантПлюс}">
              <w:r>
                <w:rPr>
                  <w:sz w:val="20"/>
                  <w:color w:val="0000ff"/>
                </w:rPr>
                <w:t xml:space="preserve">N 740</w:t>
              </w:r>
            </w:hyperlink>
            <w:r>
              <w:rPr>
                <w:sz w:val="20"/>
                <w:color w:val="392c69"/>
              </w:rPr>
              <w:t xml:space="preserve">,</w:t>
            </w:r>
          </w:p>
          <w:p>
            <w:pPr>
              <w:pStyle w:val="0"/>
              <w:jc w:val="center"/>
            </w:pPr>
            <w:r>
              <w:rPr>
                <w:sz w:val="20"/>
                <w:color w:val="392c69"/>
              </w:rPr>
              <w:t xml:space="preserve">от 31.07.2014 </w:t>
            </w:r>
            <w:hyperlink w:history="0" r:id="rId125" w:tooltip="Постановление Правительства РФ от 31.07.2014 N 750 (ред. от 16.12.2021) &quot;О внесении изменений в некоторые акты Правительства Российской Федерации по вопросам снижения величины перекрестного субсидирования в электросетевом комплексе&quot; {КонсультантПлюс}">
              <w:r>
                <w:rPr>
                  <w:sz w:val="20"/>
                  <w:color w:val="0000ff"/>
                </w:rPr>
                <w:t xml:space="preserve">N 750</w:t>
              </w:r>
            </w:hyperlink>
            <w:r>
              <w:rPr>
                <w:sz w:val="20"/>
                <w:color w:val="392c69"/>
              </w:rPr>
              <w:t xml:space="preserve">, от 11.05.2015 </w:t>
            </w:r>
            <w:hyperlink w:history="0" r:id="rId126" w:tooltip="Постановление Правительства РФ от 11.05.2015 N 458 (ред. от 04.09.2015) &quot;Об утверждении изменений, которые вносятся в некоторые акты Правительства Российской Федерации в целях совершенствования порядка определения объемов покупки мощности на оптовом рынке для поставки населению и приравненным к нему категориям потребителей и объемов покупки мощности организацией по управлению единой национальной (общероссийской) электрической сетью&quot; {КонсультантПлюс}">
              <w:r>
                <w:rPr>
                  <w:sz w:val="20"/>
                  <w:color w:val="0000ff"/>
                </w:rPr>
                <w:t xml:space="preserve">N 458</w:t>
              </w:r>
            </w:hyperlink>
            <w:r>
              <w:rPr>
                <w:sz w:val="20"/>
                <w:color w:val="392c69"/>
              </w:rPr>
              <w:t xml:space="preserve">, от 11.06.2015 </w:t>
            </w:r>
            <w:hyperlink w:history="0" r:id="rId127" w:tooltip="Постановление Правительства РФ от 11.06.2015 N 588 (ред. от 10.03.2020, с изм. от 30.06.2022) &quot;О внесении изменений в постановление Правительства Российской Федерации от 27 декабря 2004 г. N 861&quot; {КонсультантПлюс}">
              <w:r>
                <w:rPr>
                  <w:sz w:val="20"/>
                  <w:color w:val="0000ff"/>
                </w:rPr>
                <w:t xml:space="preserve">N 588</w:t>
              </w:r>
            </w:hyperlink>
            <w:r>
              <w:rPr>
                <w:sz w:val="20"/>
                <w:color w:val="392c69"/>
              </w:rPr>
              <w:t xml:space="preserve">,</w:t>
            </w:r>
          </w:p>
          <w:p>
            <w:pPr>
              <w:pStyle w:val="0"/>
              <w:jc w:val="center"/>
            </w:pPr>
            <w:r>
              <w:rPr>
                <w:sz w:val="20"/>
                <w:color w:val="392c69"/>
              </w:rPr>
              <w:t xml:space="preserve">от 07.07.2015 </w:t>
            </w:r>
            <w:hyperlink w:history="0" r:id="rId128" w:tooltip="Постановление Правительства РФ от 07.07.2015 N 680 &quot;О внесении изменений в некоторые акты Правительства Российской Федерации по вопросам оплаты услуг по передаче электрической энергии отдельными категориями потребителей&quot; {КонсультантПлюс}">
              <w:r>
                <w:rPr>
                  <w:sz w:val="20"/>
                  <w:color w:val="0000ff"/>
                </w:rPr>
                <w:t xml:space="preserve">N 680</w:t>
              </w:r>
            </w:hyperlink>
            <w:r>
              <w:rPr>
                <w:sz w:val="20"/>
                <w:color w:val="392c69"/>
              </w:rPr>
              <w:t xml:space="preserve">, от 04.09.2015 </w:t>
            </w:r>
            <w:hyperlink w:history="0" r:id="rId129" w:tooltip="Постановление Правительства РФ от 04.09.2015 N 941 (ред. от 25.12.2021) &quot;О внесении изменений,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едеральной антимонопольной службой решений об определении (установлении) цен (тарифов) и (или) их предельных уровней в сфере деятельности субъектов естественных монополий и иных регулируемых организаций&quot; {КонсультантПлюс}">
              <w:r>
                <w:rPr>
                  <w:sz w:val="20"/>
                  <w:color w:val="0000ff"/>
                </w:rPr>
                <w:t xml:space="preserve">N 941</w:t>
              </w:r>
            </w:hyperlink>
            <w:r>
              <w:rPr>
                <w:sz w:val="20"/>
                <w:color w:val="392c69"/>
              </w:rPr>
              <w:t xml:space="preserve">, от 05.10.2016 </w:t>
            </w:r>
            <w:hyperlink w:history="0" r:id="rId130" w:tooltip="Постановление Правительства РФ от 05.10.2016 N 999 (с изм. от 30.06.2022) &quot;О внесении изменений в акты Правительства Российской Федерации по вопросам формирования мер ответственности за несоблюдение сроков осуществления мероприятий по технологическому присоединению&quot; {КонсультантПлюс}">
              <w:r>
                <w:rPr>
                  <w:sz w:val="20"/>
                  <w:color w:val="0000ff"/>
                </w:rPr>
                <w:t xml:space="preserve">N 999</w:t>
              </w:r>
            </w:hyperlink>
            <w:r>
              <w:rPr>
                <w:sz w:val="20"/>
                <w:color w:val="392c69"/>
              </w:rPr>
              <w:t xml:space="preserve">,</w:t>
            </w:r>
          </w:p>
          <w:p>
            <w:pPr>
              <w:pStyle w:val="0"/>
              <w:jc w:val="center"/>
            </w:pPr>
            <w:r>
              <w:rPr>
                <w:sz w:val="20"/>
                <w:color w:val="392c69"/>
              </w:rPr>
              <w:t xml:space="preserve">от 21.12.2016 </w:t>
            </w:r>
            <w:hyperlink w:history="0" r:id="rId131" w:tooltip="Постановление Правительства РФ от 21.12.2016 N 1419 &quot;О внесении изменений в Правила недискриминационного доступа к услугам по передаче электрической энергии и оказания этих услуг по вопросам синхронизации расчетов за услуги по передаче электрической энергии&quot; {КонсультантПлюс}">
              <w:r>
                <w:rPr>
                  <w:sz w:val="20"/>
                  <w:color w:val="0000ff"/>
                </w:rPr>
                <w:t xml:space="preserve">N 1419</w:t>
              </w:r>
            </w:hyperlink>
            <w:r>
              <w:rPr>
                <w:sz w:val="20"/>
                <w:color w:val="392c69"/>
              </w:rPr>
              <w:t xml:space="preserve">, от 23.12.2016 </w:t>
            </w:r>
            <w:hyperlink w:history="0" r:id="rId132" w:tooltip="Постановление Правительства РФ от 23.12.2016 N 1446 (ред. от 23.12.2021) &quot;Об отнесении территорий Республики Крым и г. Севастополя к территориям, которые объединены в первую ценовую зону оптового рынка, а также об изменении и о признании утратившими силу некоторых актов Правительства Российской Федерации&quot; {КонсультантПлюс}">
              <w:r>
                <w:rPr>
                  <w:sz w:val="20"/>
                  <w:color w:val="0000ff"/>
                </w:rPr>
                <w:t xml:space="preserve">N 1446</w:t>
              </w:r>
            </w:hyperlink>
            <w:r>
              <w:rPr>
                <w:sz w:val="20"/>
                <w:color w:val="392c69"/>
              </w:rPr>
              <w:t xml:space="preserve">, от 04.02.2017 </w:t>
            </w:r>
            <w:hyperlink w:history="0" r:id="rId133" w:tooltip="Постановление Правительства РФ от 04.02.2017 N 139 &quot;О внесении изменений в некоторые акты Правительства Российской Федерации по вопросам обеспечения исполнения обязательств по оплате энергоресурсов&quot; {КонсультантПлюс}">
              <w:r>
                <w:rPr>
                  <w:sz w:val="20"/>
                  <w:color w:val="0000ff"/>
                </w:rPr>
                <w:t xml:space="preserve">N 139</w:t>
              </w:r>
            </w:hyperlink>
            <w:r>
              <w:rPr>
                <w:sz w:val="20"/>
                <w:color w:val="392c69"/>
              </w:rPr>
              <w:t xml:space="preserve">,</w:t>
            </w:r>
          </w:p>
          <w:p>
            <w:pPr>
              <w:pStyle w:val="0"/>
              <w:jc w:val="center"/>
            </w:pPr>
            <w:r>
              <w:rPr>
                <w:sz w:val="20"/>
                <w:color w:val="392c69"/>
              </w:rPr>
              <w:t xml:space="preserve">от 14.03.2017 </w:t>
            </w:r>
            <w:hyperlink w:history="0" r:id="rId134" w:tooltip="Постановление Правительства РФ от 14.03.2017 N 290 &quot;О внесении изменений в пункт 55(1) Правил недискриминационного доступа к услугам по передаче электрической энергии и оказания этих услуг&quot; {КонсультантПлюс}">
              <w:r>
                <w:rPr>
                  <w:sz w:val="20"/>
                  <w:color w:val="0000ff"/>
                </w:rPr>
                <w:t xml:space="preserve">N 290</w:t>
              </w:r>
            </w:hyperlink>
            <w:r>
              <w:rPr>
                <w:sz w:val="20"/>
                <w:color w:val="392c69"/>
              </w:rPr>
              <w:t xml:space="preserve">, от 07.05.2017 </w:t>
            </w:r>
            <w:hyperlink w:history="0" r:id="rId135"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N 542</w:t>
              </w:r>
            </w:hyperlink>
            <w:r>
              <w:rPr>
                <w:sz w:val="20"/>
                <w:color w:val="392c69"/>
              </w:rPr>
              <w:t xml:space="preserve">, от 24.05.2017 </w:t>
            </w:r>
            <w:hyperlink w:history="0" r:id="rId136" w:tooltip="Постановление Правительства РФ от 24.05.2017 N 624 &quot;О внесении изменений в некоторые акты Правительства Российской Федерации по вопросам введения полного и (или) частичного ограничения режима потребления электрической энергии, а также применения печатей хозяйственных обществ&quot; {КонсультантПлюс}">
              <w:r>
                <w:rPr>
                  <w:sz w:val="20"/>
                  <w:color w:val="0000ff"/>
                </w:rPr>
                <w:t xml:space="preserve">N 624</w:t>
              </w:r>
            </w:hyperlink>
            <w:r>
              <w:rPr>
                <w:sz w:val="20"/>
                <w:color w:val="392c69"/>
              </w:rPr>
              <w:t xml:space="preserve">,</w:t>
            </w:r>
          </w:p>
          <w:p>
            <w:pPr>
              <w:pStyle w:val="0"/>
              <w:jc w:val="center"/>
            </w:pPr>
            <w:r>
              <w:rPr>
                <w:sz w:val="20"/>
                <w:color w:val="392c69"/>
              </w:rPr>
              <w:t xml:space="preserve">от 07.07.2017 </w:t>
            </w:r>
            <w:hyperlink w:history="0" r:id="rId137" w:tooltip="Постановление Правительства РФ от 07.07.2017 N 810 &quot;О внесении изменений в некоторые акты Правительства Российской Федерации по вопросам оплаты потерь электрической энергии на оптовом рынке электрической энергии и мощности и розничных рынках электрической энергии, а также получения статуса субъекта оптового рынка электрической энергии и мощности&quot; {КонсультантПлюс}">
              <w:r>
                <w:rPr>
                  <w:sz w:val="20"/>
                  <w:color w:val="0000ff"/>
                </w:rPr>
                <w:t xml:space="preserve">N 810</w:t>
              </w:r>
            </w:hyperlink>
            <w:r>
              <w:rPr>
                <w:sz w:val="20"/>
                <w:color w:val="392c69"/>
              </w:rPr>
              <w:t xml:space="preserve">, от 10.11.2017 </w:t>
            </w:r>
            <w:hyperlink w:history="0" r:id="rId138" w:tooltip="Постановление Правительства РФ от 10.11.2017 N 1351 (ред. от 09.10.2021) &quot;О внесении изменений в некоторые акты Правительства Российской Федерации по вопросам повышения доступности энергетической инфраструктуры в отношении отдельных групп потребителей&quot; {КонсультантПлюс}">
              <w:r>
                <w:rPr>
                  <w:sz w:val="20"/>
                  <w:color w:val="0000ff"/>
                </w:rPr>
                <w:t xml:space="preserve">N 1351</w:t>
              </w:r>
            </w:hyperlink>
            <w:r>
              <w:rPr>
                <w:sz w:val="20"/>
                <w:color w:val="392c69"/>
              </w:rPr>
              <w:t xml:space="preserve">, от 04.12.2017 </w:t>
            </w:r>
            <w:hyperlink w:history="0" r:id="rId139" w:tooltip="Постановление Правительства РФ от 04.12.2017 N 1468 &quot;О внесении изменений в некоторые акты Правительства Российской Федерации по вопросу установления регулируемых цен (тарифов) в электроэнергетике&quot; {КонсультантПлюс}">
              <w:r>
                <w:rPr>
                  <w:sz w:val="20"/>
                  <w:color w:val="0000ff"/>
                </w:rPr>
                <w:t xml:space="preserve">N 1468</w:t>
              </w:r>
            </w:hyperlink>
            <w:r>
              <w:rPr>
                <w:sz w:val="20"/>
                <w:color w:val="392c69"/>
              </w:rPr>
              <w:t xml:space="preserve">,</w:t>
            </w:r>
          </w:p>
          <w:p>
            <w:pPr>
              <w:pStyle w:val="0"/>
              <w:jc w:val="center"/>
            </w:pPr>
            <w:r>
              <w:rPr>
                <w:sz w:val="20"/>
                <w:color w:val="392c69"/>
              </w:rPr>
              <w:t xml:space="preserve">от 13.08.2018 </w:t>
            </w:r>
            <w:hyperlink w:history="0" r:id="rId140"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N 937</w:t>
              </w:r>
            </w:hyperlink>
            <w:r>
              <w:rPr>
                <w:sz w:val="20"/>
                <w:color w:val="392c69"/>
              </w:rPr>
              <w:t xml:space="preserve">, от 17.09.2018 </w:t>
            </w:r>
            <w:hyperlink w:history="0" r:id="rId141" w:tooltip="Постановление Правительства РФ от 17.09.2018 N 1096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sz w:val="20"/>
                  <w:color w:val="0000ff"/>
                </w:rPr>
                <w:t xml:space="preserve">N 1096</w:t>
              </w:r>
            </w:hyperlink>
            <w:r>
              <w:rPr>
                <w:sz w:val="20"/>
                <w:color w:val="392c69"/>
              </w:rPr>
              <w:t xml:space="preserve">, от 21.12.2018 </w:t>
            </w:r>
            <w:hyperlink w:history="0" r:id="rId142"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sz w:val="20"/>
                  <w:color w:val="0000ff"/>
                </w:rPr>
                <w:t xml:space="preserve">N 1622</w:t>
              </w:r>
            </w:hyperlink>
            <w:r>
              <w:rPr>
                <w:sz w:val="20"/>
                <w:color w:val="392c69"/>
              </w:rPr>
              <w:t xml:space="preserve">,</w:t>
            </w:r>
          </w:p>
          <w:p>
            <w:pPr>
              <w:pStyle w:val="0"/>
              <w:jc w:val="center"/>
            </w:pPr>
            <w:r>
              <w:rPr>
                <w:sz w:val="20"/>
                <w:color w:val="392c69"/>
              </w:rPr>
              <w:t xml:space="preserve">от 30.01.2019 </w:t>
            </w:r>
            <w:hyperlink w:history="0" r:id="rId143" w:tooltip="Постановление Правительства РФ от 30.01.2019 N 64 &quot;О внесении изменений в некоторые акты Правительства Российской Федерации по вопросам регулирования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 признании утратившими силу некоторых актов Правит {КонсультантПлюс}">
              <w:r>
                <w:rPr>
                  <w:sz w:val="20"/>
                  <w:color w:val="0000ff"/>
                </w:rPr>
                <w:t xml:space="preserve">N 64</w:t>
              </w:r>
            </w:hyperlink>
            <w:r>
              <w:rPr>
                <w:sz w:val="20"/>
                <w:color w:val="392c69"/>
              </w:rPr>
              <w:t xml:space="preserve">, от 22.06.2019 </w:t>
            </w:r>
            <w:hyperlink w:history="0" r:id="rId144" w:tooltip="Постановление Правительства РФ от 22.06.2019 N 800 &quot;О внесении изменений в некоторые акты Правительства Российской Федерации&quot; {КонсультантПлюс}">
              <w:r>
                <w:rPr>
                  <w:sz w:val="20"/>
                  <w:color w:val="0000ff"/>
                </w:rPr>
                <w:t xml:space="preserve">N 800</w:t>
              </w:r>
            </w:hyperlink>
            <w:r>
              <w:rPr>
                <w:sz w:val="20"/>
                <w:color w:val="392c69"/>
              </w:rPr>
              <w:t xml:space="preserve">, от 26.12.2019 </w:t>
            </w:r>
            <w:hyperlink w:history="0" r:id="rId145" w:tooltip="Постановление Правительства РФ от 26.12.2019 N 1857 &quot;О внесении изменений в некоторые акты Правительства Российской Федерации по вопросам компенсации расходов на приобретение электрической энергии (мощности) в целях компенсации потерь электрической энергии собственникам или иным законным владельцам объектов электросетевого хозяйства, понесенных ими в связи с обеспечением перетока электрической энергии в энергопринимающие устройства потребителей электрической энергии&quot; {КонсультантПлюс}">
              <w:r>
                <w:rPr>
                  <w:sz w:val="20"/>
                  <w:color w:val="0000ff"/>
                </w:rPr>
                <w:t xml:space="preserve">N 1857</w:t>
              </w:r>
            </w:hyperlink>
            <w:r>
              <w:rPr>
                <w:sz w:val="20"/>
                <w:color w:val="392c69"/>
              </w:rPr>
              <w:t xml:space="preserve">,</w:t>
            </w:r>
          </w:p>
          <w:p>
            <w:pPr>
              <w:pStyle w:val="0"/>
              <w:jc w:val="center"/>
            </w:pPr>
            <w:r>
              <w:rPr>
                <w:sz w:val="20"/>
                <w:color w:val="392c69"/>
              </w:rPr>
              <w:t xml:space="preserve">от 27.12.2019 </w:t>
            </w:r>
            <w:hyperlink w:history="0" r:id="rId146" w:tooltip="Постановление Правительства РФ от 27.12.2019 N 1892 (ред. от 16.12.2021) &quot;О внесении изменений в некоторые акты Правительства Российской Федерации по вопросам государственного регулирования цен (тарифов)&quot; {КонсультантПлюс}">
              <w:r>
                <w:rPr>
                  <w:sz w:val="20"/>
                  <w:color w:val="0000ff"/>
                </w:rPr>
                <w:t xml:space="preserve">N 1892</w:t>
              </w:r>
            </w:hyperlink>
            <w:r>
              <w:rPr>
                <w:sz w:val="20"/>
                <w:color w:val="392c69"/>
              </w:rPr>
              <w:t xml:space="preserve">, от 21.03.2020 </w:t>
            </w:r>
            <w:hyperlink w:history="0" r:id="rId147" w:tooltip="Постановление Правительства РФ от 21.03.2020 N 320 &quot;О внесении изменений в некоторые акты Правительства Российской Федерации по вопросам функционирования активных энергетических комплексов&quot; {КонсультантПлюс}">
              <w:r>
                <w:rPr>
                  <w:sz w:val="20"/>
                  <w:color w:val="0000ff"/>
                </w:rPr>
                <w:t xml:space="preserve">N 320</w:t>
              </w:r>
            </w:hyperlink>
            <w:r>
              <w:rPr>
                <w:sz w:val="20"/>
                <w:color w:val="392c69"/>
              </w:rPr>
              <w:t xml:space="preserve">, от 18.04.2020 </w:t>
            </w:r>
            <w:hyperlink w:history="0" r:id="rId148" w:tooltip="Постановление Правительства РФ от 18.04.2020 N 55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554</w:t>
              </w:r>
            </w:hyperlink>
            <w:r>
              <w:rPr>
                <w:sz w:val="20"/>
                <w:color w:val="392c69"/>
              </w:rPr>
              <w:t xml:space="preserve">,</w:t>
            </w:r>
          </w:p>
          <w:p>
            <w:pPr>
              <w:pStyle w:val="0"/>
              <w:jc w:val="center"/>
            </w:pPr>
            <w:r>
              <w:rPr>
                <w:sz w:val="20"/>
                <w:color w:val="392c69"/>
              </w:rPr>
              <w:t xml:space="preserve">от 30.04.2020 </w:t>
            </w:r>
            <w:hyperlink w:history="0" r:id="rId149" w:tooltip="Постановление Правительства РФ от 30.04.2020 N 628 &quot;О внесении изменений в некоторые акты Правительства Российской Федерации в связи с введением мер по недопущению распространения новой коронавирусной инфекции на территории Российской Федерации&quot; {КонсультантПлюс}">
              <w:r>
                <w:rPr>
                  <w:sz w:val="20"/>
                  <w:color w:val="0000ff"/>
                </w:rPr>
                <w:t xml:space="preserve">N 628</w:t>
              </w:r>
            </w:hyperlink>
            <w:r>
              <w:rPr>
                <w:sz w:val="20"/>
                <w:color w:val="392c69"/>
              </w:rPr>
              <w:t xml:space="preserve">, от 29.06.2020 </w:t>
            </w:r>
            <w:hyperlink w:history="0" r:id="rId150"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950</w:t>
              </w:r>
            </w:hyperlink>
            <w:r>
              <w:rPr>
                <w:sz w:val="20"/>
                <w:color w:val="392c69"/>
              </w:rPr>
              <w:t xml:space="preserve">, от 03.12.2020 </w:t>
            </w:r>
            <w:hyperlink w:history="0" r:id="rId151" w:tooltip="Постановление Правительства РФ от 03.12.2020 N 2005 &quot;О внесении изменений в некоторые акты Правительства Российской Федерации по вопросам совершенствования регулирования отношений с участием владельцев объектов электросетевого хозяйства, входящих в единую национальную (общероссийскую) электрическую сеть&quot; {КонсультантПлюс}">
              <w:r>
                <w:rPr>
                  <w:sz w:val="20"/>
                  <w:color w:val="0000ff"/>
                </w:rPr>
                <w:t xml:space="preserve">N 2005</w:t>
              </w:r>
            </w:hyperlink>
            <w:r>
              <w:rPr>
                <w:sz w:val="20"/>
                <w:color w:val="392c69"/>
              </w:rPr>
              <w:t xml:space="preserve">,</w:t>
            </w:r>
          </w:p>
          <w:p>
            <w:pPr>
              <w:pStyle w:val="0"/>
              <w:jc w:val="center"/>
            </w:pPr>
            <w:r>
              <w:rPr>
                <w:sz w:val="20"/>
                <w:color w:val="392c69"/>
              </w:rPr>
              <w:t xml:space="preserve">от 21.12.2020 </w:t>
            </w:r>
            <w:hyperlink w:history="0" r:id="rId152" w:tooltip="Постановление Правительства РФ от 21.12.2020 N 2184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N 2184</w:t>
              </w:r>
            </w:hyperlink>
            <w:r>
              <w:rPr>
                <w:sz w:val="20"/>
                <w:color w:val="392c69"/>
              </w:rPr>
              <w:t xml:space="preserve">, от 30.01.2021 </w:t>
            </w:r>
            <w:hyperlink w:history="0" r:id="rId153"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N 86</w:t>
              </w:r>
            </w:hyperlink>
            <w:r>
              <w:rPr>
                <w:sz w:val="20"/>
                <w:color w:val="392c69"/>
              </w:rPr>
              <w:t xml:space="preserve">, от 31.03.2021 </w:t>
            </w:r>
            <w:hyperlink w:history="0" r:id="rId154" w:tooltip="Постановление Правительства РФ от 31.03.2021 N 496 &quot;О внесении изменений в Правила недискриминационного доступа к услугам по передаче электрической энергии и оказания этих услуг и признании утратившим силу подпункта &quot;б&quot; пункта 2 изменений, которые вносятся в акты Правительства Российской Федерации по вопросу отнесения территорий Республики Крым и г. Севастополя к территориям, которые объединены в первую ценовую зону оптового рынка, утвержденных постановлением Правительства Российской Федерации от 23 декабря {КонсультантПлюс}">
              <w:r>
                <w:rPr>
                  <w:sz w:val="20"/>
                  <w:color w:val="0000ff"/>
                </w:rPr>
                <w:t xml:space="preserve">N 496</w:t>
              </w:r>
            </w:hyperlink>
            <w:r>
              <w:rPr>
                <w:sz w:val="20"/>
                <w:color w:val="392c69"/>
              </w:rPr>
              <w:t xml:space="preserve">,</w:t>
            </w:r>
          </w:p>
          <w:p>
            <w:pPr>
              <w:pStyle w:val="0"/>
              <w:jc w:val="center"/>
            </w:pPr>
            <w:r>
              <w:rPr>
                <w:sz w:val="20"/>
                <w:color w:val="392c69"/>
              </w:rPr>
              <w:t xml:space="preserve">от 30.06.2021 </w:t>
            </w:r>
            <w:hyperlink w:history="0" r:id="rId155" w:tooltip="Постановление Правительства РФ от 30.06.2021 N 1071 &quot;О внесении изменений в пункт 196(1) Правил оптового рынка электрической энергии и мощност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1071</w:t>
              </w:r>
            </w:hyperlink>
            <w:r>
              <w:rPr>
                <w:sz w:val="20"/>
                <w:color w:val="392c69"/>
              </w:rPr>
              <w:t xml:space="preserve">, от 29.10.2021 </w:t>
            </w:r>
            <w:hyperlink w:history="0" r:id="rId156" w:tooltip="Постановление Правительства РФ от 29.10.2021 N 1852 &quot;О внесении изменений в некоторые акты Правительства Российской Федерации&quot; {КонсультантПлюс}">
              <w:r>
                <w:rPr>
                  <w:sz w:val="20"/>
                  <w:color w:val="0000ff"/>
                </w:rPr>
                <w:t xml:space="preserve">N 1852</w:t>
              </w:r>
            </w:hyperlink>
            <w:r>
              <w:rPr>
                <w:sz w:val="20"/>
                <w:color w:val="392c69"/>
              </w:rPr>
              <w:t xml:space="preserve">, от 30.06.2022 </w:t>
            </w:r>
            <w:hyperlink w:history="0" r:id="rId157"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1178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bookmarkStart w:id="108" w:name="P108"/>
    <w:bookmarkEnd w:id="108"/>
    <w:p>
      <w:pPr>
        <w:pStyle w:val="2"/>
        <w:outlineLvl w:val="1"/>
        <w:jc w:val="center"/>
      </w:pPr>
      <w:r>
        <w:rPr>
          <w:sz w:val="20"/>
        </w:rPr>
        <w:t xml:space="preserve">I. Общие положения</w:t>
      </w:r>
    </w:p>
    <w:p>
      <w:pPr>
        <w:pStyle w:val="0"/>
        <w:ind w:firstLine="540"/>
        <w:jc w:val="both"/>
      </w:pPr>
      <w:r>
        <w:rPr>
          <w:sz w:val="20"/>
        </w:rPr>
      </w:r>
    </w:p>
    <w:p>
      <w:pPr>
        <w:pStyle w:val="0"/>
        <w:ind w:firstLine="540"/>
        <w:jc w:val="both"/>
      </w:pPr>
      <w:r>
        <w:rPr>
          <w:sz w:val="20"/>
        </w:rPr>
        <w:t xml:space="preserve">1. Настоящие Правила определяют общие принципы и порядок обеспечения недискриминационного доступа к услугам по передаче электрической энергии, а также оказания этих услуг.</w:t>
      </w:r>
    </w:p>
    <w:bookmarkStart w:id="111" w:name="P111"/>
    <w:bookmarkEnd w:id="111"/>
    <w:p>
      <w:pPr>
        <w:pStyle w:val="0"/>
        <w:spacing w:before="200" w:line-rule="auto"/>
        <w:ind w:firstLine="540"/>
        <w:jc w:val="both"/>
      </w:pPr>
      <w:r>
        <w:rPr>
          <w:sz w:val="20"/>
        </w:rPr>
        <w:t xml:space="preserve">Со дня вступления в силу </w:t>
      </w:r>
      <w:hyperlink w:history="0" r:id="rId158" w:tooltip="Постановление Правительства РФ от 21.03.2020 N 320 &quot;О внесении изменений в некоторые акты Правительства Российской Федерации по вопросам функционирования активных энергетических комплексов&quot; {КонсультантПлюс}">
        <w:r>
          <w:rPr>
            <w:sz w:val="20"/>
            <w:color w:val="0000ff"/>
          </w:rPr>
          <w:t xml:space="preserve">постановления</w:t>
        </w:r>
      </w:hyperlink>
      <w:r>
        <w:rPr>
          <w:sz w:val="20"/>
        </w:rPr>
        <w:t xml:space="preserve"> Правительства Российской Федерации от 21 марта 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 настоящие Правила применяются, если иное не установлено </w:t>
      </w:r>
      <w:hyperlink w:history="0" r:id="rId159"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приложением N 5</w:t>
        </w:r>
      </w:hyperlink>
      <w:r>
        <w:rPr>
          <w:sz w:val="20"/>
        </w:rPr>
        <w:t xml:space="preserve"> к Основным положениям функционирования розничных рынков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pPr>
        <w:pStyle w:val="0"/>
        <w:jc w:val="both"/>
      </w:pPr>
      <w:r>
        <w:rPr>
          <w:sz w:val="20"/>
        </w:rPr>
        <w:t xml:space="preserve">(абзац введен </w:t>
      </w:r>
      <w:hyperlink w:history="0" r:id="rId160" w:tooltip="Постановление Правительства РФ от 21.03.2020 N 320 &quot;О внесении изменений в некоторые акты Правительства Российской Федерации по вопросам функционирования активных энергетических комплексов&quot; {КонсультантПлюс}">
        <w:r>
          <w:rPr>
            <w:sz w:val="20"/>
            <w:color w:val="0000ff"/>
          </w:rPr>
          <w:t xml:space="preserve">Постановлением</w:t>
        </w:r>
      </w:hyperlink>
      <w:r>
        <w:rPr>
          <w:sz w:val="20"/>
        </w:rPr>
        <w:t xml:space="preserve"> Правительства РФ от 21.03.2020 N 320)</w:t>
      </w:r>
    </w:p>
    <w:p>
      <w:pPr>
        <w:pStyle w:val="0"/>
        <w:spacing w:before="200" w:line-rule="auto"/>
        <w:ind w:firstLine="540"/>
        <w:jc w:val="both"/>
      </w:pPr>
      <w:r>
        <w:rPr>
          <w:sz w:val="20"/>
        </w:rPr>
        <w:t xml:space="preserve">2. Понятия, используемые в настоящих Правилах, означают следующее:</w:t>
      </w:r>
    </w:p>
    <w:p>
      <w:pPr>
        <w:pStyle w:val="0"/>
        <w:spacing w:before="200" w:line-rule="auto"/>
        <w:ind w:firstLine="540"/>
        <w:jc w:val="both"/>
      </w:pPr>
      <w:r>
        <w:rPr>
          <w:sz w:val="20"/>
        </w:rPr>
        <w:t xml:space="preserve">"акт об осуществлении технологического присоединения (акт о технологическом присоединении)" - документ, составленный по окончании процедуры технологического присоединения энергопринимающих устройств к электрическим сетям и подтверждающий технологическое присоединение в установленном порядке, в котором определены технические характеристики технологического присоединения, в том числе величина максимальной мощности, границы балансовой принадлежности объектов электроэнергетики (энергопринимающих устройств) сторон и границы ответственности сторон за эксплуатацию соответствующих объектов электроэнергетики (энергопринимающих устройств) и (или) объектов электросетевого хозяйства;</w:t>
      </w:r>
    </w:p>
    <w:p>
      <w:pPr>
        <w:pStyle w:val="0"/>
        <w:jc w:val="both"/>
      </w:pPr>
      <w:r>
        <w:rPr>
          <w:sz w:val="20"/>
        </w:rPr>
        <w:t xml:space="preserve">(абзац введен </w:t>
      </w:r>
      <w:hyperlink w:history="0" r:id="rId161"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Постановлением</w:t>
        </w:r>
      </w:hyperlink>
      <w:r>
        <w:rPr>
          <w:sz w:val="20"/>
        </w:rPr>
        <w:t xml:space="preserve"> Правительства РФ от 07.05.2017 N 542)</w:t>
      </w:r>
    </w:p>
    <w:p>
      <w:pPr>
        <w:pStyle w:val="0"/>
        <w:spacing w:before="200" w:line-rule="auto"/>
        <w:ind w:firstLine="540"/>
        <w:jc w:val="both"/>
      </w:pPr>
      <w:r>
        <w:rPr>
          <w:sz w:val="20"/>
        </w:rPr>
        <w:t xml:space="preserve">"акт разграничения балансовой принадлежности электросетей (акт разграничения границ балансовой принадлежности сторон, акт разграничения балансовой принадлежности электрических сетей)" - документ, составленный собственниками объектов электроэнергетики (энергопринимающих устройств), определяющий границы балансовой принадлежности;</w:t>
      </w:r>
    </w:p>
    <w:p>
      <w:pPr>
        <w:pStyle w:val="0"/>
        <w:jc w:val="both"/>
      </w:pPr>
      <w:r>
        <w:rPr>
          <w:sz w:val="20"/>
        </w:rPr>
        <w:t xml:space="preserve">(в ред. </w:t>
      </w:r>
      <w:hyperlink w:history="0" r:id="rId162"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Постановления</w:t>
        </w:r>
      </w:hyperlink>
      <w:r>
        <w:rPr>
          <w:sz w:val="20"/>
        </w:rPr>
        <w:t xml:space="preserve"> Правительства РФ от 07.05.2017 N 542)</w:t>
      </w:r>
    </w:p>
    <w:p>
      <w:pPr>
        <w:pStyle w:val="0"/>
        <w:spacing w:before="200" w:line-rule="auto"/>
        <w:ind w:firstLine="540"/>
        <w:jc w:val="both"/>
      </w:pPr>
      <w:r>
        <w:rPr>
          <w:sz w:val="20"/>
        </w:rPr>
        <w:t xml:space="preserve">"акт разграничения эксплуатационной ответственности сторон" - документ, составленный собственниками объектов электроэнергетики (энергопринимающих устройств), определяющий границы ответственности сторон за эксплуатацию соответствующих объектов электроэнергетики (энергопринимающих устройств);</w:t>
      </w:r>
    </w:p>
    <w:p>
      <w:pPr>
        <w:pStyle w:val="0"/>
        <w:jc w:val="both"/>
      </w:pPr>
      <w:r>
        <w:rPr>
          <w:sz w:val="20"/>
        </w:rPr>
        <w:t xml:space="preserve">(в ред. </w:t>
      </w:r>
      <w:hyperlink w:history="0" r:id="rId163"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Постановления</w:t>
        </w:r>
      </w:hyperlink>
      <w:r>
        <w:rPr>
          <w:sz w:val="20"/>
        </w:rPr>
        <w:t xml:space="preserve"> Правительства РФ от 07.05.2017 N 542)</w:t>
      </w:r>
    </w:p>
    <w:p>
      <w:pPr>
        <w:pStyle w:val="0"/>
        <w:spacing w:before="200" w:line-rule="auto"/>
        <w:ind w:firstLine="540"/>
        <w:jc w:val="both"/>
      </w:pPr>
      <w:r>
        <w:rPr>
          <w:sz w:val="20"/>
        </w:rPr>
        <w:t xml:space="preserve">"величина технологической брони" - величина максимальной мощности энергопринимающих устройств потребителя электрической энергии (мощности) и продолжительность времени, устанавливаемые на основании проектной документации (при отсутствии проектной документации - на основании соглашения сетевой организации и потребителя электрической энергии (мощности), необходимые для завершения в указанное время технологического процесса, цикла производства потребителя, использующего в производственном цикле непрерывные технологические процессы, внезапное прекращение которых вызывает необратимое нарушение технологического процесса и (или) опасность для жизни и здоровья людей, окружающей среды, после чего может быть произведено отключение соответствующих энергопринимающих устройств, и согласованные сетевой организацией в порядке, предусмотренном настоящими Правилами и </w:t>
      </w:r>
      <w:hyperlink w:history="0" w:anchor="P835" w:tooltip="ПРАВИЛА">
        <w:r>
          <w:rPr>
            <w:sz w:val="20"/>
            <w:color w:val="0000ff"/>
          </w:rPr>
          <w:t xml:space="preserve">Правилами</w:t>
        </w:r>
      </w:hyperlink>
      <w:r>
        <w:rPr>
          <w:sz w:val="20"/>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pStyle w:val="0"/>
        <w:jc w:val="both"/>
      </w:pPr>
      <w:r>
        <w:rPr>
          <w:sz w:val="20"/>
        </w:rPr>
        <w:t xml:space="preserve">(абзац введен </w:t>
      </w:r>
      <w:hyperlink w:history="0" r:id="rId164" w:tooltip="Постановление Правительства РФ от 17.09.2018 N 1096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sz w:val="20"/>
            <w:color w:val="0000ff"/>
          </w:rPr>
          <w:t xml:space="preserve">Постановлением</w:t>
        </w:r>
      </w:hyperlink>
      <w:r>
        <w:rPr>
          <w:sz w:val="20"/>
        </w:rPr>
        <w:t xml:space="preserve"> Правительства РФ от 17.09.2018 N 1096)</w:t>
      </w:r>
    </w:p>
    <w:p>
      <w:pPr>
        <w:pStyle w:val="0"/>
        <w:spacing w:before="200" w:line-rule="auto"/>
        <w:ind w:firstLine="540"/>
        <w:jc w:val="both"/>
      </w:pPr>
      <w:r>
        <w:rPr>
          <w:sz w:val="20"/>
        </w:rPr>
        <w:t xml:space="preserve">"величина аварийной брони" - величина максимальной мощности энергопринимающих устройств потребителя электрической энергии (мощности) с полностью остановленным технологическим процессом, обеспечивающая его безопасное для жизни и здоровья людей и окружающей среды состояние, устанавливаемая на основании проектной документации (при отсутствии проектной документации - на основании соглашения сетевой организации и потребителя электрической энергии (мощности) и равная величине максимальной мощности энергопринимающих устройств дежурного и охранного освещения, охранной и пожарной сигнализации, насосов пожаротушения, связи, аварийной вентиляции таких объектов, согласованной сетевой организацией в порядке, предусмотренном настоящими Правилами и </w:t>
      </w:r>
      <w:hyperlink w:history="0" w:anchor="P835" w:tooltip="ПРАВИЛА">
        <w:r>
          <w:rPr>
            <w:sz w:val="20"/>
            <w:color w:val="0000ff"/>
          </w:rPr>
          <w:t xml:space="preserve">Правилами</w:t>
        </w:r>
      </w:hyperlink>
      <w:r>
        <w:rPr>
          <w:sz w:val="20"/>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pStyle w:val="0"/>
        <w:jc w:val="both"/>
      </w:pPr>
      <w:r>
        <w:rPr>
          <w:sz w:val="20"/>
        </w:rPr>
        <w:t xml:space="preserve">(абзац введен </w:t>
      </w:r>
      <w:hyperlink w:history="0" r:id="rId165" w:tooltip="Постановление Правительства РФ от 17.09.2018 N 1096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sz w:val="20"/>
            <w:color w:val="0000ff"/>
          </w:rPr>
          <w:t xml:space="preserve">Постановлением</w:t>
        </w:r>
      </w:hyperlink>
      <w:r>
        <w:rPr>
          <w:sz w:val="20"/>
        </w:rPr>
        <w:t xml:space="preserve"> Правительства РФ от 17.09.2018 N 1096)</w:t>
      </w:r>
    </w:p>
    <w:p>
      <w:pPr>
        <w:pStyle w:val="0"/>
        <w:spacing w:before="200" w:line-rule="auto"/>
        <w:ind w:firstLine="540"/>
        <w:jc w:val="both"/>
      </w:pPr>
      <w:r>
        <w:rPr>
          <w:sz w:val="20"/>
        </w:rPr>
        <w:t xml:space="preserve">"граница балансовой принадлежности" - линия раздела объектов электроэнергетики между владельцами по признаку собственности или владения на ином предусмотренном федеральными законами основании, определяющая границу эксплуатационной ответственности между сетевой организацией и потребителем услуг по передаче электрической энергии (потребителем электрической энергии, в интересах которого заключается договор об оказании услуг по передаче электрической энергии) за состояние и обслуживание электроустановок;</w:t>
      </w:r>
    </w:p>
    <w:p>
      <w:pPr>
        <w:pStyle w:val="0"/>
        <w:spacing w:before="200" w:line-rule="auto"/>
        <w:ind w:firstLine="540"/>
        <w:jc w:val="both"/>
      </w:pPr>
      <w:r>
        <w:rPr>
          <w:sz w:val="20"/>
        </w:rPr>
        <w:t xml:space="preserve">"документы о технологическом присоединении" - документы, составляемые (составленные) в процессе технологического присоединения (после завершения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p>
      <w:pPr>
        <w:pStyle w:val="0"/>
        <w:jc w:val="both"/>
      </w:pPr>
      <w:r>
        <w:rPr>
          <w:sz w:val="20"/>
        </w:rPr>
        <w:t xml:space="preserve">(в ред. </w:t>
      </w:r>
      <w:hyperlink w:history="0" r:id="rId166"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Постановления</w:t>
        </w:r>
      </w:hyperlink>
      <w:r>
        <w:rPr>
          <w:sz w:val="20"/>
        </w:rPr>
        <w:t xml:space="preserve"> Правительства РФ от 07.05.2017 N 542)</w:t>
      </w:r>
    </w:p>
    <w:p>
      <w:pPr>
        <w:pStyle w:val="0"/>
        <w:spacing w:before="200" w:line-rule="auto"/>
        <w:ind w:firstLine="540"/>
        <w:jc w:val="both"/>
      </w:pPr>
      <w:r>
        <w:rPr>
          <w:sz w:val="20"/>
        </w:rPr>
        <w:t xml:space="preserve">"заявленная мощность" - величина мощности, планируемой к использованию в предстоящем расчетном периоде регулирования, применяемая в целях установления тарифов на услуги по передаче электрической энергии и исчисляемая в мегаваттах;</w:t>
      </w:r>
    </w:p>
    <w:p>
      <w:pPr>
        <w:pStyle w:val="0"/>
        <w:jc w:val="both"/>
      </w:pPr>
      <w:r>
        <w:rPr>
          <w:sz w:val="20"/>
        </w:rPr>
        <w:t xml:space="preserve">(в ред. </w:t>
      </w:r>
      <w:hyperlink w:history="0" r:id="rId167"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spacing w:before="200" w:line-rule="auto"/>
        <w:ind w:firstLine="540"/>
        <w:jc w:val="both"/>
      </w:pPr>
      <w:r>
        <w:rPr>
          <w:sz w:val="20"/>
        </w:rPr>
        <w:t xml:space="preserve">"максимальная мощность" - наибольшая величина мощности, определенная к одномоментному использованию энергопринимающими устройствами (объектами электросетевого хозяйства)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 в пределах которой сетевая организация принимает на себя обязательства обеспечить передачу электрической энергии, исчисляемая в мегаваттах;</w:t>
      </w:r>
    </w:p>
    <w:p>
      <w:pPr>
        <w:pStyle w:val="0"/>
        <w:jc w:val="both"/>
      </w:pPr>
      <w:r>
        <w:rPr>
          <w:sz w:val="20"/>
        </w:rPr>
        <w:t xml:space="preserve">(в ред. </w:t>
      </w:r>
      <w:hyperlink w:history="0" r:id="rId168"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spacing w:before="200" w:line-rule="auto"/>
        <w:ind w:firstLine="540"/>
        <w:jc w:val="both"/>
      </w:pPr>
      <w:r>
        <w:rPr>
          <w:sz w:val="20"/>
        </w:rPr>
        <w:t xml:space="preserve">"пропускная способность электрической сети" - технологически максимально допустимая величина мощности, которая может быть передана с учетом условий эксплуатации и параметров надежности функционирования электроэнергетических систем;</w:t>
      </w:r>
    </w:p>
    <w:p>
      <w:pPr>
        <w:pStyle w:val="0"/>
        <w:spacing w:before="200" w:line-rule="auto"/>
        <w:ind w:firstLine="540"/>
        <w:jc w:val="both"/>
      </w:pPr>
      <w:r>
        <w:rPr>
          <w:sz w:val="20"/>
        </w:rPr>
        <w:t xml:space="preserve">"сетевые организации" - организации, владеющие на праве собственности или на ином установленном федеральными законами основании объектами электросетевого хозяйства, с использованием которых такие организации оказывают услуги по передаче электрической энергии и осуществляют в установленном </w:t>
      </w:r>
      <w:hyperlink w:history="0" w:anchor="P835" w:tooltip="ПРАВИЛА">
        <w:r>
          <w:rPr>
            <w:sz w:val="20"/>
            <w:color w:val="0000ff"/>
          </w:rPr>
          <w:t xml:space="preserve">порядке</w:t>
        </w:r>
      </w:hyperlink>
      <w:r>
        <w:rPr>
          <w:sz w:val="20"/>
        </w:rPr>
        <w:t xml:space="preserve"> технологическое присоединение энергопринимающих устройств (энергетических установок) юридических и физических лиц к электрическим сетям, а также осуществляющие право заключения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 иным законным владельцам и входящих в единую национальную (общероссийскую) электрическую сеть;</w:t>
      </w:r>
    </w:p>
    <w:p>
      <w:pPr>
        <w:pStyle w:val="0"/>
        <w:jc w:val="both"/>
      </w:pPr>
      <w:r>
        <w:rPr>
          <w:sz w:val="20"/>
        </w:rPr>
        <w:t xml:space="preserve">(в ред. </w:t>
      </w:r>
      <w:hyperlink w:history="0" r:id="rId169" w:tooltip="Постановление Правительства РФ от 15.06.2009 N 492 (ред. от 22.10.2012) &quot;О существенных условиях и порядке разрешения разногласий о праве заключения договоров в отношении объектов электросетевого хозяйства, входящих в единую национальную (общероссийскую) электрическую сеть&quot; (вместе с &quot;Правилами разрешения разногласий о праве заключения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ли иным законным владел {КонсультантПлюс}">
        <w:r>
          <w:rPr>
            <w:sz w:val="20"/>
            <w:color w:val="0000ff"/>
          </w:rPr>
          <w:t xml:space="preserve">Постановления</w:t>
        </w:r>
      </w:hyperlink>
      <w:r>
        <w:rPr>
          <w:sz w:val="20"/>
        </w:rPr>
        <w:t xml:space="preserve"> Правительства РФ от 15.06.2009 N 492)</w:t>
      </w:r>
    </w:p>
    <w:p>
      <w:pPr>
        <w:pStyle w:val="0"/>
        <w:spacing w:before="200" w:line-rule="auto"/>
        <w:ind w:firstLine="540"/>
        <w:jc w:val="both"/>
      </w:pPr>
      <w:r>
        <w:rPr>
          <w:sz w:val="20"/>
        </w:rPr>
        <w:t xml:space="preserve">"территориальная распределительная сеть" - комплекс не входящих в состав единой национальной (общероссийской) электрической сети линий электропередачи и оборудования, используемых для предоставления услуг по передаче электрической энергии;</w:t>
      </w:r>
    </w:p>
    <w:p>
      <w:pPr>
        <w:pStyle w:val="0"/>
        <w:spacing w:before="200" w:line-rule="auto"/>
        <w:ind w:firstLine="540"/>
        <w:jc w:val="both"/>
      </w:pPr>
      <w:r>
        <w:rPr>
          <w:sz w:val="20"/>
        </w:rPr>
        <w:t xml:space="preserve">"точка поставки" - место исполнения обязательств по договору об оказании услуг по передаче электрической энергии, используемое для определения объема взаимных обязательств сторон по договору, расположенное на границе балансовой принадлежности энергопринимающих устройств, определенной в документах о технологическом присоединении, а до составления в установленном порядке документов о технологическом присоединении - в точке присоединения энергопринимающего устройства (объекта электроэнергетики);</w:t>
      </w:r>
    </w:p>
    <w:p>
      <w:pPr>
        <w:pStyle w:val="0"/>
        <w:jc w:val="both"/>
      </w:pPr>
      <w:r>
        <w:rPr>
          <w:sz w:val="20"/>
        </w:rPr>
        <w:t xml:space="preserve">(абзац введен </w:t>
      </w:r>
      <w:hyperlink w:history="0" r:id="rId170"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Постановлением</w:t>
        </w:r>
      </w:hyperlink>
      <w:r>
        <w:rPr>
          <w:sz w:val="20"/>
        </w:rPr>
        <w:t xml:space="preserve"> Правительства РФ от 04.05.2012 N 442; в ред. </w:t>
      </w:r>
      <w:hyperlink w:history="0" r:id="rId171"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Постановления</w:t>
        </w:r>
      </w:hyperlink>
      <w:r>
        <w:rPr>
          <w:sz w:val="20"/>
        </w:rPr>
        <w:t xml:space="preserve"> Правительства РФ от 07.05.2017 N 542)</w:t>
      </w:r>
    </w:p>
    <w:p>
      <w:pPr>
        <w:pStyle w:val="0"/>
        <w:spacing w:before="200" w:line-rule="auto"/>
        <w:ind w:firstLine="540"/>
        <w:jc w:val="both"/>
      </w:pPr>
      <w:r>
        <w:rPr>
          <w:sz w:val="20"/>
        </w:rPr>
        <w:t xml:space="preserve">"точка присоединения к электрической сети" - место физического соединения энергопринимающего устройства (энергетической установки) потребителя услуг по передаче электрической энергии (потребителя электрической энергии, в интересах которого заключается договор об оказании услуг по передаче электрической энергии) с электрической сетью сетевой организации;</w:t>
      </w:r>
    </w:p>
    <w:p>
      <w:pPr>
        <w:pStyle w:val="0"/>
        <w:spacing w:before="200" w:line-rule="auto"/>
        <w:ind w:firstLine="540"/>
        <w:jc w:val="both"/>
      </w:pPr>
      <w:r>
        <w:rPr>
          <w:sz w:val="20"/>
        </w:rPr>
        <w:t xml:space="preserve">"уведомление об обеспечении сетевой организацией возможности присоединения к электрическим сетям" - документ, составленный по окончании процедуры технологического присоединения к электрическим сетям энергопринимающих устройств заявителей,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технологическое присоединение энергопринимающих устройств которых осуществляется на уровне напряжения 0,4 кВ и ниже, и подтверждающий технологическое присоединение к электрическим сетям в установленном порядке, в котором определены технические характеристики технологического присоединения, в том числе величина максимальной мощности, границы балансовой принадлежности объектов электроэнергетики (энергопринимающих устройств) сторон и границы ответственности сторон за эксплуатацию соответствующих объектов электроэнергетики (энергопринимающих устройств) и (или) объектов электросетевого хозяйства;</w:t>
      </w:r>
    </w:p>
    <w:p>
      <w:pPr>
        <w:pStyle w:val="0"/>
        <w:jc w:val="both"/>
      </w:pPr>
      <w:r>
        <w:rPr>
          <w:sz w:val="20"/>
        </w:rPr>
        <w:t xml:space="preserve">(абзац введен </w:t>
      </w:r>
      <w:hyperlink w:history="0" r:id="rId172"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30.06.2022 N 1178)</w:t>
      </w:r>
    </w:p>
    <w:p>
      <w:pPr>
        <w:pStyle w:val="0"/>
        <w:spacing w:before="200" w:line-rule="auto"/>
        <w:ind w:firstLine="540"/>
        <w:jc w:val="both"/>
      </w:pPr>
      <w:r>
        <w:rPr>
          <w:sz w:val="20"/>
        </w:rPr>
        <w:t xml:space="preserve">"энергопринимающие устройства потребителя" - находящиеся у потребителя аппараты, агрегаты, механизмы, устройства и иное оборудование (или их комплекс), предназначенные для преобразования электрической энергии в другой вид энергии в целях использования (потребления) и имеющие между собой электрические связи.</w:t>
      </w:r>
    </w:p>
    <w:p>
      <w:pPr>
        <w:pStyle w:val="0"/>
        <w:jc w:val="both"/>
      </w:pPr>
      <w:r>
        <w:rPr>
          <w:sz w:val="20"/>
        </w:rPr>
        <w:t xml:space="preserve">(абзац введен </w:t>
      </w:r>
      <w:hyperlink w:history="0" r:id="rId173" w:tooltip="Постановление Правительства РФ от 11.06.2015 N 588 (ред. от 10.03.2020, с изм. от 30.06.2022) &quot;О внесении изменений в постановление Правительства Российской Федерации от 27 декабря 2004 г. N 861&quot; {КонсультантПлюс}">
        <w:r>
          <w:rPr>
            <w:sz w:val="20"/>
            <w:color w:val="0000ff"/>
          </w:rPr>
          <w:t xml:space="preserve">Постановлением</w:t>
        </w:r>
      </w:hyperlink>
      <w:r>
        <w:rPr>
          <w:sz w:val="20"/>
        </w:rPr>
        <w:t xml:space="preserve"> Правительства РФ от 11.06.2015 N 588)</w:t>
      </w:r>
    </w:p>
    <w:p>
      <w:pPr>
        <w:pStyle w:val="0"/>
        <w:spacing w:before="200" w:line-rule="auto"/>
        <w:ind w:firstLine="540"/>
        <w:jc w:val="both"/>
      </w:pPr>
      <w:r>
        <w:rPr>
          <w:sz w:val="20"/>
        </w:rPr>
        <w:t xml:space="preserve">Понятие "измерительный комплекс", используемое в настоящем документе, соответствует понятию "измерительный комплекс", определенному </w:t>
      </w:r>
      <w:hyperlink w:history="0" r:id="rId174"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разделом X</w:t>
        </w:r>
      </w:hyperlink>
      <w:r>
        <w:rPr>
          <w:sz w:val="20"/>
        </w:rPr>
        <w:t xml:space="preserve"> Основных положений функционирования розничных рынков электрической энергии.</w:t>
      </w:r>
    </w:p>
    <w:p>
      <w:pPr>
        <w:pStyle w:val="0"/>
        <w:jc w:val="both"/>
      </w:pPr>
      <w:r>
        <w:rPr>
          <w:sz w:val="20"/>
        </w:rPr>
        <w:t xml:space="preserve">(абзац введен </w:t>
      </w:r>
      <w:hyperlink w:history="0" r:id="rId175" w:tooltip="Постановление Правительства РФ от 18.04.2020 N 55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18.04.2020 N 554)</w:t>
      </w:r>
    </w:p>
    <w:p>
      <w:pPr>
        <w:pStyle w:val="0"/>
        <w:spacing w:before="200" w:line-rule="auto"/>
        <w:ind w:firstLine="540"/>
        <w:jc w:val="both"/>
      </w:pPr>
      <w:r>
        <w:rPr>
          <w:sz w:val="20"/>
        </w:rPr>
        <w:t xml:space="preserve">2(1). В настоящих Правилах:</w:t>
      </w:r>
    </w:p>
    <w:p>
      <w:pPr>
        <w:pStyle w:val="0"/>
        <w:spacing w:before="200" w:line-rule="auto"/>
        <w:ind w:firstLine="540"/>
        <w:jc w:val="both"/>
      </w:pPr>
      <w:r>
        <w:rPr>
          <w:sz w:val="20"/>
        </w:rPr>
        <w:t xml:space="preserve">а) отдельными частями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w:history="0" r:id="rId176"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приложением N 3</w:t>
        </w:r>
      </w:hyperlink>
      <w:r>
        <w:rPr>
          <w:sz w:val="20"/>
        </w:rP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pPr>
        <w:pStyle w:val="0"/>
        <w:spacing w:before="200" w:line-rule="auto"/>
        <w:ind w:firstLine="540"/>
        <w:jc w:val="both"/>
      </w:pPr>
      <w:r>
        <w:rPr>
          <w:sz w:val="20"/>
        </w:rPr>
        <w:t xml:space="preserve">б) отдельными частями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w:history="0" r:id="rId177"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приложением N 4</w:t>
        </w:r>
      </w:hyperlink>
      <w:r>
        <w:rPr>
          <w:sz w:val="20"/>
        </w:rP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pPr>
        <w:pStyle w:val="0"/>
        <w:jc w:val="both"/>
      </w:pPr>
      <w:r>
        <w:rPr>
          <w:sz w:val="20"/>
        </w:rPr>
        <w:t xml:space="preserve">(п. 2(1) введен </w:t>
      </w:r>
      <w:hyperlink w:history="0" r:id="rId178" w:tooltip="Постановление Правительства РФ от 23.12.2016 N 1446 (ред. от 23.12.2021) &quot;Об отнесении территорий Республики Крым и г. Севастополя к территориям, которые объединены в первую ценовую зону оптового рынка, а также об изменении и о признании утратившими силу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23.12.2016 N 1446)</w:t>
      </w:r>
    </w:p>
    <w:p>
      <w:pPr>
        <w:pStyle w:val="0"/>
        <w:spacing w:before="200" w:line-rule="auto"/>
        <w:ind w:firstLine="540"/>
        <w:jc w:val="both"/>
      </w:pPr>
      <w:r>
        <w:rPr>
          <w:sz w:val="20"/>
        </w:rPr>
        <w:t xml:space="preserve">3. Недискриминационный доступ к услугам по передаче электрической энергии предусматривает обеспечение равных условий предоставления указанных услуг их потребителям независимо от организационно-правовой формы и правовых отношений с лицом, оказывающим эти услуги.</w:t>
      </w:r>
    </w:p>
    <w:p>
      <w:pPr>
        <w:pStyle w:val="0"/>
        <w:spacing w:before="200" w:line-rule="auto"/>
        <w:ind w:firstLine="540"/>
        <w:jc w:val="both"/>
      </w:pPr>
      <w:r>
        <w:rPr>
          <w:sz w:val="20"/>
        </w:rPr>
        <w:t xml:space="preserve">Сетевая организация при оказании услуг по передаче электрической энергии обязана соблюдать </w:t>
      </w:r>
      <w:hyperlink w:history="0" r:id="rId179" w:tooltip="Приказ Минэнерго России от 15.04.2014 N 186 (ред. от 07.07.2021) &quot;О Единых стандартах качества обслуживания сетевыми организациями потребителей услуг сетевых организаций&quot; (Зарегистрировано в Минюсте России 18.06.2014 N 32761) {КонсультантПлюс}">
        <w:r>
          <w:rPr>
            <w:sz w:val="20"/>
            <w:color w:val="0000ff"/>
          </w:rPr>
          <w:t xml:space="preserve">единые стандарты</w:t>
        </w:r>
      </w:hyperlink>
      <w:r>
        <w:rPr>
          <w:sz w:val="20"/>
        </w:rPr>
        <w:t xml:space="preserve"> качества обслуживания сетевыми организациями потребителей услуг сетевых организаций,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pPr>
        <w:pStyle w:val="0"/>
        <w:jc w:val="both"/>
      </w:pPr>
      <w:r>
        <w:rPr>
          <w:sz w:val="20"/>
        </w:rPr>
        <w:t xml:space="preserve">(абзац введен </w:t>
      </w:r>
      <w:hyperlink w:history="0" r:id="rId180" w:tooltip="Постановление Правительства РФ от 26.07.2013 N 630 &quot;О внесении изменений в некоторые акты Правительства Российской Федерации в целях повышения доступности энергетической инфраструктуры&quot; {КонсультантПлюс}">
        <w:r>
          <w:rPr>
            <w:sz w:val="20"/>
            <w:color w:val="0000ff"/>
          </w:rPr>
          <w:t xml:space="preserve">Постановлением</w:t>
        </w:r>
      </w:hyperlink>
      <w:r>
        <w:rPr>
          <w:sz w:val="20"/>
        </w:rPr>
        <w:t xml:space="preserve"> Правительства РФ от 26.07.2013 N 630)</w:t>
      </w:r>
    </w:p>
    <w:p>
      <w:pPr>
        <w:pStyle w:val="0"/>
        <w:spacing w:before="200" w:line-rule="auto"/>
        <w:ind w:firstLine="540"/>
        <w:jc w:val="both"/>
      </w:pPr>
      <w:r>
        <w:rPr>
          <w:sz w:val="20"/>
        </w:rPr>
        <w:t xml:space="preserve">4. Потребителями услуг по передаче электрической энергии являются лица, владеющие на праве собственности или на ином законном основании энергопринимающими устройствами и (или) объектами электроэнергетики, технологически присоединенные в установленном порядке к электрической сети (в том числе опосредованно) субъекты оптового рынка электрической энергии, осуществляющие экспорт (импорт) электрической энергии, а также энергосбытовые организации и гарантирующие поставщики в интересах обслуживаемых ими потребителей электрической энергии (с 1 января 2013 г. - на условиях определения обязательств по оказанию услуг по передаче электрической энергии в отношении точек поставки каждого потребителя электрической энергии, обслуживаемого энергосбытовой организацией и гарантирующим поставщиком). Услуги по передаче электрической энергии предоставляются сетевой организацией на основании договора о возмездном оказании услуг по передаче электрической энергии (далее - договор).</w:t>
      </w:r>
    </w:p>
    <w:p>
      <w:pPr>
        <w:pStyle w:val="0"/>
        <w:jc w:val="both"/>
      </w:pPr>
      <w:r>
        <w:rPr>
          <w:sz w:val="20"/>
        </w:rPr>
        <w:t xml:space="preserve">(в ред. </w:t>
      </w:r>
      <w:hyperlink w:history="0" r:id="rId181"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spacing w:before="200" w:line-rule="auto"/>
        <w:ind w:firstLine="540"/>
        <w:jc w:val="both"/>
      </w:pPr>
      <w:r>
        <w:rPr>
          <w:sz w:val="20"/>
        </w:rPr>
        <w:t xml:space="preserve">5. В случае если энергопринимающие устройства потребителя электрической энергии присоединены к электрическим сетям сетевой организации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бесхозяйные объекты электросетевого хозяйства, которые имеют непосредственное присоединение к сетям сетевых организаций (далее - опосредованное присоединение к электрической сети), такой потребитель заключает договор с той сетевой организацией, к сетям которой присоединены энергетические установки производителей электрической энергии, бесхозяйные объекты электросетевого хозяйства или энергопринимающие устройства (объекты электросетевого хозяйства) лиц, не оказывающих услуги по передаче электрической энергии, к которым непосредственно присоединено его энергопринимающее устройство.</w:t>
      </w:r>
    </w:p>
    <w:p>
      <w:pPr>
        <w:pStyle w:val="0"/>
        <w:spacing w:before="200" w:line-rule="auto"/>
        <w:ind w:firstLine="540"/>
        <w:jc w:val="both"/>
      </w:pPr>
      <w:r>
        <w:rPr>
          <w:sz w:val="20"/>
        </w:rPr>
        <w:t xml:space="preserve">При этом точкой поставки по договору будет являться точка присоединения энергопринимаемого устройства потребителя электроэнергии к объекту электросетевого хозяйства лица, не оказывающего услуг по передаче электрической энергии.</w:t>
      </w:r>
    </w:p>
    <w:p>
      <w:pPr>
        <w:pStyle w:val="0"/>
        <w:jc w:val="both"/>
      </w:pPr>
      <w:r>
        <w:rPr>
          <w:sz w:val="20"/>
        </w:rPr>
        <w:t xml:space="preserve">(в ред. </w:t>
      </w:r>
      <w:hyperlink w:history="0" r:id="rId182"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spacing w:before="200" w:line-rule="auto"/>
        <w:ind w:firstLine="540"/>
        <w:jc w:val="both"/>
      </w:pPr>
      <w:r>
        <w:rPr>
          <w:sz w:val="20"/>
        </w:rPr>
        <w:t xml:space="preserve">В случае когда собственник или иной законный владелец объектов электросетевого хозяйства, входящих в единую национальную (общероссийскую) электрическую сеть, ограничен в соответствии с Федеральным </w:t>
      </w:r>
      <w:hyperlink w:history="0" r:id="rId183" w:tooltip="Федеральный закон от 26.03.2003 N 35-ФЗ (ред. от 11.06.2022) &quot;Об электроэнергетике&quot; (с изм. и доп., вступ. в силу с 01.07.2022) {КонсультантПлюс}">
        <w:r>
          <w:rPr>
            <w:sz w:val="20"/>
            <w:color w:val="0000ff"/>
          </w:rPr>
          <w:t xml:space="preserve">законом</w:t>
        </w:r>
      </w:hyperlink>
      <w:r>
        <w:rPr>
          <w:sz w:val="20"/>
        </w:rP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потребитель, энергопринимающие устройства которого присоединены к таким объектам электросетевого хозяйства, заключает договор с организацией по управлению единой национальной (общероссийской) электрической сетью.</w:t>
      </w:r>
    </w:p>
    <w:p>
      <w:pPr>
        <w:pStyle w:val="0"/>
        <w:jc w:val="both"/>
      </w:pPr>
      <w:r>
        <w:rPr>
          <w:sz w:val="20"/>
        </w:rPr>
        <w:t xml:space="preserve">(абзац введен </w:t>
      </w:r>
      <w:hyperlink w:history="0" r:id="rId184" w:tooltip="Постановление Правительства РФ от 15.06.2009 N 492 (ред. от 22.10.2012) &quot;О существенных условиях и порядке разрешения разногласий о праве заключения договоров в отношении объектов электросетевого хозяйства, входящих в единую национальную (общероссийскую) электрическую сеть&quot; (вместе с &quot;Правилами разрешения разногласий о праве заключения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ли иным законным владел {КонсультантПлюс}">
        <w:r>
          <w:rPr>
            <w:sz w:val="20"/>
            <w:color w:val="0000ff"/>
          </w:rPr>
          <w:t xml:space="preserve">Постановлением</w:t>
        </w:r>
      </w:hyperlink>
      <w:r>
        <w:rPr>
          <w:sz w:val="20"/>
        </w:rPr>
        <w:t xml:space="preserve"> Правительства РФ от 15.06.2009 N 492)</w:t>
      </w:r>
    </w:p>
    <w:bookmarkStart w:id="158" w:name="P158"/>
    <w:bookmarkEnd w:id="158"/>
    <w:p>
      <w:pPr>
        <w:pStyle w:val="0"/>
        <w:spacing w:before="200" w:line-rule="auto"/>
        <w:ind w:firstLine="540"/>
        <w:jc w:val="both"/>
      </w:pPr>
      <w:r>
        <w:rPr>
          <w:sz w:val="20"/>
        </w:rPr>
        <w:t xml:space="preserve">6. Собственники и иные законные владельцы объектов электросетевого хозяйства, через которые опосредованно присоединено к электрическим сетям сетевой организации энергопринимающее устройство потребителя, не вправе препятствовать перетоку через их объекты электрической энергии для такого потребителя и требовать за это оплату.</w:t>
      </w:r>
    </w:p>
    <w:p>
      <w:pPr>
        <w:pStyle w:val="0"/>
        <w:spacing w:before="200" w:line-rule="auto"/>
        <w:ind w:firstLine="540"/>
        <w:jc w:val="both"/>
      </w:pPr>
      <w:r>
        <w:rPr>
          <w:sz w:val="20"/>
        </w:rPr>
        <w:t xml:space="preserve">Указанные собственники и иные законные владельцы объектов электросетевого хозяйства, через которые опосредованно присоединено к электрическим сетям сетевой организации энергопринимающее устройство потребителя, вправе оказывать услуги по передаче электрической энергии с использованием принадлежащих им объектов электросетевого хозяйства после установления для них тарифа на услуги по передаче электрической энергии. В этом случае к их отношениям по передаче электрической энергии применяются положения настоящих Правил, предусмотренные для сетевых организаций.</w:t>
      </w:r>
    </w:p>
    <w:p>
      <w:pPr>
        <w:pStyle w:val="0"/>
        <w:spacing w:before="200" w:line-rule="auto"/>
        <w:ind w:firstLine="540"/>
        <w:jc w:val="both"/>
      </w:pPr>
      <w:r>
        <w:rPr>
          <w:sz w:val="20"/>
        </w:rPr>
        <w:t xml:space="preserve">Потребители услуг, опосредованно присоединенные к электрическим сетям, оплачивают услуги по передаче электрической энергии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pPr>
        <w:pStyle w:val="0"/>
        <w:spacing w:before="200" w:line-rule="auto"/>
        <w:ind w:firstLine="540"/>
        <w:jc w:val="both"/>
      </w:pPr>
      <w:r>
        <w:rPr>
          <w:sz w:val="20"/>
        </w:rPr>
        <w:t xml:space="preserve">Начиная с 1 января 2020 г. фактические расходы собственника или иного законного владельца объектов электросетевого хозяйства, не оказывающего услуги по передаче электрической энергии на территории соответствующего субъекта Российской Федерации,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его объектах электросетевого хозяйства в связи с обеспечением перетока электрической энергии в энергопринимающие устройства потребителей электрической энергии, которые присоединены к таким объектам электросетевого хозяйства на основании договора об осуществлении технологического присоединения, заключенного такими собственниками или иными законными владельцами объектов электросетевого хозяйства в соответствии с </w:t>
      </w:r>
      <w:hyperlink w:history="0" w:anchor="P835" w:tooltip="ПРАВИЛА">
        <w:r>
          <w:rPr>
            <w:sz w:val="20"/>
            <w:color w:val="0000ff"/>
          </w:rPr>
          <w:t xml:space="preserve">Правилами</w:t>
        </w:r>
      </w:hyperlink>
      <w:r>
        <w:rPr>
          <w:sz w:val="20"/>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 период, в котором указанный собственник или иной законный владелец объектов электросетевого хозяйства оказывал с их использованием услуги по передаче электрической энергии на территории соответствующего субъекта Российской Федерации (далее - объекты электросетевого хозяйства, с использованием которых осуществляется переток электрической энергии), подлежат компенсации территориальной сетевой организацией, к электрическим сетям которой присоединены такие объекты электросетевого хозяйства, по заявлению указанного собственника или иного законного владельца объектов электросетевого хозяйства.</w:t>
      </w:r>
    </w:p>
    <w:p>
      <w:pPr>
        <w:pStyle w:val="0"/>
        <w:jc w:val="both"/>
      </w:pPr>
      <w:r>
        <w:rPr>
          <w:sz w:val="20"/>
        </w:rPr>
        <w:t xml:space="preserve">(абзац введен </w:t>
      </w:r>
      <w:hyperlink w:history="0" r:id="rId185" w:tooltip="Постановление Правительства РФ от 26.12.2019 N 1857 &quot;О внесении изменений в некоторые акты Правительства Российской Федерации по вопросам компенсации расходов на приобретение электрической энергии (мощности) в целях компенсации потерь электрической энергии собственникам или иным законным владельцам объектов электросетевого хозяйства, понесенных ими в связи с обеспечением перетока электрической энергии в энергопринимающие устройства потребителей электрической энергии&quot; {КонсультантПлюс}">
        <w:r>
          <w:rPr>
            <w:sz w:val="20"/>
            <w:color w:val="0000ff"/>
          </w:rPr>
          <w:t xml:space="preserve">Постановлением</w:t>
        </w:r>
      </w:hyperlink>
      <w:r>
        <w:rPr>
          <w:sz w:val="20"/>
        </w:rPr>
        <w:t xml:space="preserve"> Правительства РФ от 26.12.2019 N 1857)</w:t>
      </w:r>
    </w:p>
    <w:p>
      <w:pPr>
        <w:pStyle w:val="0"/>
        <w:spacing w:before="200" w:line-rule="auto"/>
        <w:ind w:firstLine="540"/>
        <w:jc w:val="both"/>
      </w:pPr>
      <w:r>
        <w:rPr>
          <w:sz w:val="20"/>
        </w:rPr>
        <w:t xml:space="preserve">В случае если объекты электросетевого хозяйства, с использованием которых осуществляется переток электрической энергии, присоединены к электрическим сетям двух и более территориальных сетевых организаций, расходы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таких объектах электросетевого хозяйства, подлежат компенсации каждой территориальной сетевой организацией пропорционально отпущенному объему электрической энергии в объекты электросетевого хозяйства, с использованием которых осуществляется переток электрической энергии.</w:t>
      </w:r>
    </w:p>
    <w:p>
      <w:pPr>
        <w:pStyle w:val="0"/>
        <w:jc w:val="both"/>
      </w:pPr>
      <w:r>
        <w:rPr>
          <w:sz w:val="20"/>
        </w:rPr>
        <w:t xml:space="preserve">(абзац введен </w:t>
      </w:r>
      <w:hyperlink w:history="0" r:id="rId186" w:tooltip="Постановление Правительства РФ от 26.12.2019 N 1857 &quot;О внесении изменений в некоторые акты Правительства Российской Федерации по вопросам компенсации расходов на приобретение электрической энергии (мощности) в целях компенсации потерь электрической энергии собственникам или иным законным владельцам объектов электросетевого хозяйства, понесенных ими в связи с обеспечением перетока электрической энергии в энергопринимающие устройства потребителей электрической энергии&quot; {КонсультантПлюс}">
        <w:r>
          <w:rPr>
            <w:sz w:val="20"/>
            <w:color w:val="0000ff"/>
          </w:rPr>
          <w:t xml:space="preserve">Постановлением</w:t>
        </w:r>
      </w:hyperlink>
      <w:r>
        <w:rPr>
          <w:sz w:val="20"/>
        </w:rPr>
        <w:t xml:space="preserve"> Правительства РФ от 26.12.2019 N 1857)</w:t>
      </w:r>
    </w:p>
    <w:p>
      <w:pPr>
        <w:pStyle w:val="0"/>
        <w:spacing w:before="200" w:line-rule="auto"/>
        <w:ind w:firstLine="540"/>
        <w:jc w:val="both"/>
      </w:pPr>
      <w:r>
        <w:rPr>
          <w:sz w:val="20"/>
        </w:rPr>
        <w:t xml:space="preserve">Не подлежат компенсации расходы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указанных в </w:t>
      </w:r>
      <w:hyperlink w:history="0" r:id="rId187"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пунктах 81.6</w:t>
        </w:r>
      </w:hyperlink>
      <w:r>
        <w:rPr>
          <w:sz w:val="20"/>
        </w:rPr>
        <w:t xml:space="preserve"> и </w:t>
      </w:r>
      <w:hyperlink w:history="0" r:id="rId188"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81.7</w:t>
        </w:r>
      </w:hyperlink>
      <w:r>
        <w:rPr>
          <w:sz w:val="20"/>
        </w:rPr>
        <w:t xml:space="preserve"> Основ ценообразования в области регулируемых цен (тарифов) в электроэнергетике.</w:t>
      </w:r>
    </w:p>
    <w:p>
      <w:pPr>
        <w:pStyle w:val="0"/>
        <w:jc w:val="both"/>
      </w:pPr>
      <w:r>
        <w:rPr>
          <w:sz w:val="20"/>
        </w:rPr>
        <w:t xml:space="preserve">(абзац введен </w:t>
      </w:r>
      <w:hyperlink w:history="0" r:id="rId189" w:tooltip="Постановление Правительства РФ от 26.12.2019 N 1857 &quot;О внесении изменений в некоторые акты Правительства Российской Федерации по вопросам компенсации расходов на приобретение электрической энергии (мощности) в целях компенсации потерь электрической энергии собственникам или иным законным владельцам объектов электросетевого хозяйства, понесенных ими в связи с обеспечением перетока электрической энергии в энергопринимающие устройства потребителей электрической энергии&quot; {КонсультантПлюс}">
        <w:r>
          <w:rPr>
            <w:sz w:val="20"/>
            <w:color w:val="0000ff"/>
          </w:rPr>
          <w:t xml:space="preserve">Постановлением</w:t>
        </w:r>
      </w:hyperlink>
      <w:r>
        <w:rPr>
          <w:sz w:val="20"/>
        </w:rPr>
        <w:t xml:space="preserve"> Правительства РФ от 26.12.2019 N 1857)</w:t>
      </w:r>
    </w:p>
    <w:bookmarkStart w:id="167" w:name="P167"/>
    <w:bookmarkEnd w:id="167"/>
    <w:p>
      <w:pPr>
        <w:pStyle w:val="0"/>
        <w:spacing w:before="200" w:line-rule="auto"/>
        <w:ind w:firstLine="540"/>
        <w:jc w:val="both"/>
      </w:pPr>
      <w:r>
        <w:rPr>
          <w:sz w:val="20"/>
        </w:rPr>
        <w:t xml:space="preserve">6(1). Собственник или иной законный владелец объектов электросетевого хозяйства, который имеет намерение получить компенсацию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направляет в территориальную сетевую организацию, к электрическим сетям которой присоединены такие объекты электросетевого хозяйства, письменное заявление в произвольной форме способом, позволяющим подтвердить факт и дату его получения территориальной сетевой организацией.</w:t>
      </w:r>
    </w:p>
    <w:p>
      <w:pPr>
        <w:pStyle w:val="0"/>
        <w:spacing w:before="200" w:line-rule="auto"/>
        <w:ind w:firstLine="540"/>
        <w:jc w:val="both"/>
      </w:pPr>
      <w:r>
        <w:rPr>
          <w:sz w:val="20"/>
        </w:rPr>
        <w:t xml:space="preserve">В заявлении указывается:</w:t>
      </w:r>
    </w:p>
    <w:p>
      <w:pPr>
        <w:pStyle w:val="0"/>
        <w:spacing w:before="200" w:line-rule="auto"/>
        <w:ind w:firstLine="540"/>
        <w:jc w:val="both"/>
      </w:pPr>
      <w:r>
        <w:rPr>
          <w:sz w:val="20"/>
        </w:rPr>
        <w:t xml:space="preserve">информация о собственнике или ином законном владельце объектов электросетевого хозяйства:</w:t>
      </w:r>
    </w:p>
    <w:p>
      <w:pPr>
        <w:pStyle w:val="0"/>
        <w:spacing w:before="200" w:line-rule="auto"/>
        <w:ind w:firstLine="540"/>
        <w:jc w:val="both"/>
      </w:pPr>
      <w:r>
        <w:rPr>
          <w:sz w:val="20"/>
        </w:rPr>
        <w:t xml:space="preserve">полное и сокращенное (при наличии) наименование юридического лица, его организационно-правовая форма или фамилия, имя и отчество (при наличии) индивидуального предпринимателя;</w:t>
      </w:r>
    </w:p>
    <w:p>
      <w:pPr>
        <w:pStyle w:val="0"/>
        <w:spacing w:before="200" w:line-rule="auto"/>
        <w:ind w:firstLine="540"/>
        <w:jc w:val="both"/>
      </w:pPr>
      <w:r>
        <w:rPr>
          <w:sz w:val="20"/>
        </w:rPr>
        <w:t xml:space="preserve">идентификационный номер налогоплательщика и код причины постановки юридического лица на учет в налоговом органе;</w:t>
      </w:r>
    </w:p>
    <w:p>
      <w:pPr>
        <w:pStyle w:val="0"/>
        <w:spacing w:before="200" w:line-rule="auto"/>
        <w:ind w:firstLine="540"/>
        <w:jc w:val="both"/>
      </w:pPr>
      <w:r>
        <w:rPr>
          <w:sz w:val="20"/>
        </w:rPr>
        <w:t xml:space="preserve">почтовый адрес;</w:t>
      </w:r>
    </w:p>
    <w:p>
      <w:pPr>
        <w:pStyle w:val="0"/>
        <w:spacing w:before="200" w:line-rule="auto"/>
        <w:ind w:firstLine="540"/>
        <w:jc w:val="both"/>
      </w:pPr>
      <w:r>
        <w:rPr>
          <w:sz w:val="20"/>
        </w:rPr>
        <w:t xml:space="preserve">номер (номера) контактного телефона;</w:t>
      </w:r>
    </w:p>
    <w:p>
      <w:pPr>
        <w:pStyle w:val="0"/>
        <w:spacing w:before="200" w:line-rule="auto"/>
        <w:ind w:firstLine="540"/>
        <w:jc w:val="both"/>
      </w:pPr>
      <w:r>
        <w:rPr>
          <w:sz w:val="20"/>
        </w:rPr>
        <w:t xml:space="preserve">адрес (адреса) электронной почты (при наличии);</w:t>
      </w:r>
    </w:p>
    <w:p>
      <w:pPr>
        <w:pStyle w:val="0"/>
        <w:spacing w:before="200" w:line-rule="auto"/>
        <w:ind w:firstLine="540"/>
        <w:jc w:val="both"/>
      </w:pPr>
      <w:r>
        <w:rPr>
          <w:sz w:val="20"/>
        </w:rPr>
        <w:t xml:space="preserve">местонахождение объектов электросетевого хозяйства, с использованием которых осуществляется переток электрической энергии;</w:t>
      </w:r>
    </w:p>
    <w:p>
      <w:pPr>
        <w:pStyle w:val="0"/>
        <w:spacing w:before="200" w:line-rule="auto"/>
        <w:ind w:firstLine="540"/>
        <w:jc w:val="both"/>
      </w:pPr>
      <w:r>
        <w:rPr>
          <w:sz w:val="20"/>
        </w:rPr>
        <w:t xml:space="preserve">период, за который подлежит выплате компенсация;</w:t>
      </w:r>
    </w:p>
    <w:p>
      <w:pPr>
        <w:pStyle w:val="0"/>
        <w:spacing w:before="200" w:line-rule="auto"/>
        <w:ind w:firstLine="540"/>
        <w:jc w:val="both"/>
      </w:pPr>
      <w:r>
        <w:rPr>
          <w:sz w:val="20"/>
        </w:rPr>
        <w:t xml:space="preserve">размер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w:t>
      </w:r>
    </w:p>
    <w:p>
      <w:pPr>
        <w:pStyle w:val="0"/>
        <w:spacing w:before="200" w:line-rule="auto"/>
        <w:ind w:firstLine="540"/>
        <w:jc w:val="both"/>
      </w:pPr>
      <w:r>
        <w:rPr>
          <w:sz w:val="20"/>
        </w:rPr>
        <w:t xml:space="preserve">Заявление заверяется подписью ответственного лица и печатью (при наличии).</w:t>
      </w:r>
    </w:p>
    <w:p>
      <w:pPr>
        <w:pStyle w:val="0"/>
        <w:spacing w:before="200" w:line-rule="auto"/>
        <w:ind w:firstLine="540"/>
        <w:jc w:val="both"/>
      </w:pPr>
      <w:r>
        <w:rPr>
          <w:sz w:val="20"/>
        </w:rPr>
        <w:t xml:space="preserve">К заявлению прилагаются следующие обосновывающие материалы:</w:t>
      </w:r>
    </w:p>
    <w:p>
      <w:pPr>
        <w:pStyle w:val="0"/>
        <w:spacing w:before="200" w:line-rule="auto"/>
        <w:ind w:firstLine="540"/>
        <w:jc w:val="both"/>
      </w:pPr>
      <w:r>
        <w:rPr>
          <w:sz w:val="20"/>
        </w:rPr>
        <w:t xml:space="preserve">копии документов, подтверждающих право собственности или иные законные основания владения в отношении объектов электросетевого хозяйства, с использованием которых осуществлялся переток электрической энергии (при реорганизации юридического лица - передаточные акты), в период, в котором указанный собственник или иной законный владелец объектов электросетевого хозяйства оказывал с их использованием услуги по передаче электрической энергии на территории соответствующего субъекта Российской Федерации, а также период, за который подлежит выплате компенсация;</w:t>
      </w:r>
    </w:p>
    <w:p>
      <w:pPr>
        <w:pStyle w:val="0"/>
        <w:spacing w:before="200" w:line-rule="auto"/>
        <w:ind w:firstLine="540"/>
        <w:jc w:val="both"/>
      </w:pPr>
      <w:r>
        <w:rPr>
          <w:sz w:val="20"/>
        </w:rPr>
        <w:t xml:space="preserve">копии актов об осуществлении технологического присоединения энергопринимающих устройств потребителей электрической энергии к объектам электросетевого хозяйства, с использованием которых осуществляется переток электрической энергии. В случае смены собственника или иного законного владельца объектов электросетевого хозяйства дополнительно прилагаются переоформленные документы о технологическом присоединении;</w:t>
      </w:r>
    </w:p>
    <w:p>
      <w:pPr>
        <w:pStyle w:val="0"/>
        <w:spacing w:before="200" w:line-rule="auto"/>
        <w:ind w:firstLine="540"/>
        <w:jc w:val="both"/>
      </w:pPr>
      <w:r>
        <w:rPr>
          <w:sz w:val="20"/>
        </w:rPr>
        <w:t xml:space="preserve">схемы соединений объектов электросетевого хозяйства с обозначением трансформаторных и иных подстанций, а также линий электропередачи, утвержденные руководителем или иным уполномоченным лицом собственника или иного законного владельца объектов электросетевого хозяйства;</w:t>
      </w:r>
    </w:p>
    <w:p>
      <w:pPr>
        <w:pStyle w:val="0"/>
        <w:spacing w:before="200" w:line-rule="auto"/>
        <w:ind w:firstLine="540"/>
        <w:jc w:val="both"/>
      </w:pPr>
      <w:r>
        <w:rPr>
          <w:sz w:val="20"/>
        </w:rPr>
        <w:t xml:space="preserve">расчет объема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 фактическим данным в соответствии с методикой расчета технологических потерь электрической энергии при ее передаче по электрическим сетям в базовом периоде, утвержденной Министерством энергетики Российской Федерации, за период, за который подлежит выплате компенсация. При этом объем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учитываемый при определении размера расходов на приобретение электрической энергии (мощности) в целях компенсации потерь электрической энергии, не может превышать объем потерь электрической энергии, определенный исходя из норматива потерь электрической энергии при ее передаче по электрическим сетям территориальных сетевых организаций на соответствующем уровне напряжения для соответствующей группы территориальных сетевых организаций, утвержденного Министерством энергетики Российской Федерации.</w:t>
      </w:r>
    </w:p>
    <w:p>
      <w:pPr>
        <w:pStyle w:val="0"/>
        <w:spacing w:before="200" w:line-rule="auto"/>
        <w:ind w:firstLine="540"/>
        <w:jc w:val="both"/>
      </w:pPr>
      <w:r>
        <w:rPr>
          <w:sz w:val="20"/>
        </w:rPr>
        <w:t xml:space="preserve">копии документов, оформленные в рамках исполнения договора, обеспечивающего продажу электрической энергии на розничном рынке, подтверждающие фактические расходы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w:t>
      </w:r>
    </w:p>
    <w:p>
      <w:pPr>
        <w:pStyle w:val="0"/>
        <w:spacing w:before="200" w:line-rule="auto"/>
        <w:ind w:firstLine="540"/>
        <w:jc w:val="both"/>
      </w:pPr>
      <w:r>
        <w:rPr>
          <w:sz w:val="20"/>
        </w:rPr>
        <w:t xml:space="preserve">расчет размера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 содержащий информацию об объеме таких технологических потерь электрической энергии и цене на электрическую энергию (мощность), примененной в рамках исполнения договора, обеспечивающего продажу электрической энергии на розничном рынке в период, за который выплачивается компенсация. При этом размер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 не может превышать стоимость приобретения собственником или иным законным владельцем объектов электросетевого хозяйства электрической энергии в целях компенсации потерь электрической энергии в таких объектах электросетевого хозяйства у гарантирующего поставщика по договорам энергоснабжения в соответствующих объемах в период, за который выплачивается компенсация, вне зависимости от того, с какими субъектами розничного рынка фактически были заключены договоры, обеспечивающие продажу электрической энергии на розничном рынке.</w:t>
      </w:r>
    </w:p>
    <w:p>
      <w:pPr>
        <w:pStyle w:val="0"/>
        <w:spacing w:before="200" w:line-rule="auto"/>
        <w:ind w:firstLine="540"/>
        <w:jc w:val="both"/>
      </w:pPr>
      <w:r>
        <w:rPr>
          <w:sz w:val="20"/>
        </w:rPr>
        <w:t xml:space="preserve">С целью подтверждения фактического оказания таким собственником или иным законным владельцем объектов электросетевого хозяйства услуги по передаче электрической энергии на территории соответствующего субъекта Российской Федерации при заключении им договоров об осуществлении технологического присоединения энергопринимающих устройств потребителей электрической энергии к объектам электросетевого хозяйства, с использованием которых осуществляется переток электрической энергии, по запросу территориальной сетевой организации орган исполнительной власти субъекта Российской Федерации в области государственного регулирования тарифов представляет ей заверенную копию решения органа исполнительной власти субъекта Российской Федерации в области государственного регулирования тарифов об установлении индивидуальной цены (тарифа) на услуги по передаче электрической энергии для взаиморасчетов между сетевыми организациями за оказываемые друг другу услуги по передаче электрической энергии за указанный в запросе период регулирования. Орган исполнительной власти субъекта Российской Федерации в области государственного регулирования тарифов обязан в течение 4 рабочих дней со дня получения такого запроса направить письменный ответ с приложением запрашиваемых сведений.</w:t>
      </w:r>
    </w:p>
    <w:p>
      <w:pPr>
        <w:pStyle w:val="0"/>
        <w:jc w:val="both"/>
      </w:pPr>
      <w:r>
        <w:rPr>
          <w:sz w:val="20"/>
        </w:rPr>
        <w:t xml:space="preserve">(п. 6(1) введен </w:t>
      </w:r>
      <w:hyperlink w:history="0" r:id="rId190" w:tooltip="Постановление Правительства РФ от 26.12.2019 N 1857 &quot;О внесении изменений в некоторые акты Правительства Российской Федерации по вопросам компенсации расходов на приобретение электрической энергии (мощности) в целях компенсации потерь электрической энергии собственникам или иным законным владельцам объектов электросетевого хозяйства, понесенных ими в связи с обеспечением перетока электрической энергии в энергопринимающие устройства потребителей электрической энергии&quot; {КонсультантПлюс}">
        <w:r>
          <w:rPr>
            <w:sz w:val="20"/>
            <w:color w:val="0000ff"/>
          </w:rPr>
          <w:t xml:space="preserve">Постановлением</w:t>
        </w:r>
      </w:hyperlink>
      <w:r>
        <w:rPr>
          <w:sz w:val="20"/>
        </w:rPr>
        <w:t xml:space="preserve"> Правительства РФ от 26.12.2019 N 1857)</w:t>
      </w:r>
    </w:p>
    <w:p>
      <w:pPr>
        <w:pStyle w:val="0"/>
        <w:spacing w:before="200" w:line-rule="auto"/>
        <w:ind w:firstLine="540"/>
        <w:jc w:val="both"/>
      </w:pPr>
      <w:r>
        <w:rPr>
          <w:sz w:val="20"/>
        </w:rPr>
        <w:t xml:space="preserve">6(2). Территориальная сетевая организация обязана выплатить компенсацию и направить собственнику или иному законному владельцу объектов электросетевого хозяйства, с использованием которых осуществляется переток электрической энергии, способом, позволяющим подтвердить факт и дату его получения таким собственником или иным законным владельцем объектов электросетевого хозяйства, подписанный со своей стороны в 2 экземплярах акт о выплате компенсации, содержащий сведения о ее размере и периоде, за который она выплачена, в течение 30 календарных дней со дня начала действия цен (тарифов) на услуги по передаче электрической энергии, при установлении которых органом исполнительной власти субъекта Российской Федерации в области государственного регулирования тарифов учтены в необходимой валовой выручке территориальной сетевой организации расходы, подлежащие компенсации такому собственнику или иному законному владельцу объектов электросетевого хозяйства.</w:t>
      </w:r>
    </w:p>
    <w:p>
      <w:pPr>
        <w:pStyle w:val="0"/>
        <w:spacing w:before="200" w:line-rule="auto"/>
        <w:ind w:firstLine="540"/>
        <w:jc w:val="both"/>
      </w:pPr>
      <w:r>
        <w:rPr>
          <w:sz w:val="20"/>
        </w:rPr>
        <w:t xml:space="preserve">Собственник или иной законный владелец объектов электросетевого хозяйства, получивший компенсацию, обязан не позднее 2 рабочих дней со дня получения от территориальной сетевой организации акта о выплате компенсации направить такой территориальной сетевой организации способом, позволяющим подтвердить факт и дату его получения территориальной сетевой организацией, подписанный с его стороны экземпляр акта о выплате компенсации.</w:t>
      </w:r>
    </w:p>
    <w:p>
      <w:pPr>
        <w:pStyle w:val="0"/>
        <w:spacing w:before="200" w:line-rule="auto"/>
        <w:ind w:firstLine="540"/>
        <w:jc w:val="both"/>
      </w:pPr>
      <w:r>
        <w:rPr>
          <w:sz w:val="20"/>
        </w:rPr>
        <w:t xml:space="preserve">В случае получения заявления и обосновывающих материалов, указанных в </w:t>
      </w:r>
      <w:hyperlink w:history="0" w:anchor="P167" w:tooltip="6(1). Собственник или иной законный владелец объектов электросетевого хозяйства, который имеет намерение получить компенсацию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направляет в территориальную сетевую организацию, к электрическим сетям которой присоединены такие объ...">
        <w:r>
          <w:rPr>
            <w:sz w:val="20"/>
            <w:color w:val="0000ff"/>
          </w:rPr>
          <w:t xml:space="preserve">пункте 6(1)</w:t>
        </w:r>
      </w:hyperlink>
      <w:r>
        <w:rPr>
          <w:sz w:val="20"/>
        </w:rPr>
        <w:t xml:space="preserve"> настоящих Правил, не в полном объеме или с нарушением требований к их содержанию, либо включения в расчет размера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 расходов, не предусмотренных </w:t>
      </w:r>
      <w:hyperlink w:history="0" w:anchor="P158" w:tooltip="6. Собственники и иные законные владельцы объектов электросетевого хозяйства, через которые опосредованно присоединено к электрическим сетям сетевой организации энергопринимающее устройство потребителя, не вправе препятствовать перетоку через их объекты электрической энергии для такого потребителя и требовать за это оплату.">
        <w:r>
          <w:rPr>
            <w:sz w:val="20"/>
            <w:color w:val="0000ff"/>
          </w:rPr>
          <w:t xml:space="preserve">пунктом 6</w:t>
        </w:r>
      </w:hyperlink>
      <w:r>
        <w:rPr>
          <w:sz w:val="20"/>
        </w:rPr>
        <w:t xml:space="preserve"> настоящих Правил, территориальная сетевая организация в течение 10 рабочих дней со дня их получения уведомляет такого собственника или иного законного владельца объектов электросетевого хозяйства об отказе в выплате компенсации с указанием причин отказа.</w:t>
      </w:r>
    </w:p>
    <w:p>
      <w:pPr>
        <w:pStyle w:val="0"/>
        <w:spacing w:before="200" w:line-rule="auto"/>
        <w:ind w:firstLine="540"/>
        <w:jc w:val="both"/>
      </w:pPr>
      <w:r>
        <w:rPr>
          <w:sz w:val="20"/>
        </w:rPr>
        <w:t xml:space="preserve">Заявление и обосновывающие материалы, указанные в </w:t>
      </w:r>
      <w:hyperlink w:history="0" w:anchor="P167" w:tooltip="6(1). Собственник или иной законный владелец объектов электросетевого хозяйства, который имеет намерение получить компенсацию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направляет в территориальную сетевую организацию, к электрическим сетям которой присоединены такие объ...">
        <w:r>
          <w:rPr>
            <w:sz w:val="20"/>
            <w:color w:val="0000ff"/>
          </w:rPr>
          <w:t xml:space="preserve">пункте 6(1)</w:t>
        </w:r>
      </w:hyperlink>
      <w:r>
        <w:rPr>
          <w:sz w:val="20"/>
        </w:rPr>
        <w:t xml:space="preserve"> настоящих Правил, собственнику или иному законному владельцу объектов электросетевого хозяйства не возвращаются.</w:t>
      </w:r>
    </w:p>
    <w:p>
      <w:pPr>
        <w:pStyle w:val="0"/>
        <w:spacing w:before="200" w:line-rule="auto"/>
        <w:ind w:firstLine="540"/>
        <w:jc w:val="both"/>
      </w:pPr>
      <w:r>
        <w:rPr>
          <w:sz w:val="20"/>
        </w:rPr>
        <w:t xml:space="preserve">В случае устранения обстоятельств, приведших к отказу в выплате компенсации, собственник или иной законной владелец объектов электросетевого хозяйства повторно направляет заявление и недостающие и (или) доработанные обосновывающие материалы, указанные в </w:t>
      </w:r>
      <w:hyperlink w:history="0" w:anchor="P167" w:tooltip="6(1). Собственник или иной законный владелец объектов электросетевого хозяйства, который имеет намерение получить компенсацию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направляет в территориальную сетевую организацию, к электрическим сетям которой присоединены такие объ...">
        <w:r>
          <w:rPr>
            <w:sz w:val="20"/>
            <w:color w:val="0000ff"/>
          </w:rPr>
          <w:t xml:space="preserve">пункте 6(1)</w:t>
        </w:r>
      </w:hyperlink>
      <w:r>
        <w:rPr>
          <w:sz w:val="20"/>
        </w:rPr>
        <w:t xml:space="preserve"> настоящих Правил, в территориальную сетевую организацию, к электрическим сетям которой присоединены такие объекты электросетевого хозяйства.</w:t>
      </w:r>
    </w:p>
    <w:p>
      <w:pPr>
        <w:pStyle w:val="0"/>
        <w:jc w:val="both"/>
      </w:pPr>
      <w:r>
        <w:rPr>
          <w:sz w:val="20"/>
        </w:rPr>
        <w:t xml:space="preserve">(п. 6(2) введен </w:t>
      </w:r>
      <w:hyperlink w:history="0" r:id="rId191" w:tooltip="Постановление Правительства РФ от 26.12.2019 N 1857 &quot;О внесении изменений в некоторые акты Правительства Российской Федерации по вопросам компенсации расходов на приобретение электрической энергии (мощности) в целях компенсации потерь электрической энергии собственникам или иным законным владельцам объектов электросетевого хозяйства, понесенных ими в связи с обеспечением перетока электрической энергии в энергопринимающие устройства потребителей электрической энергии&quot; {КонсультантПлюс}">
        <w:r>
          <w:rPr>
            <w:sz w:val="20"/>
            <w:color w:val="0000ff"/>
          </w:rPr>
          <w:t xml:space="preserve">Постановлением</w:t>
        </w:r>
      </w:hyperlink>
      <w:r>
        <w:rPr>
          <w:sz w:val="20"/>
        </w:rPr>
        <w:t xml:space="preserve"> Правительства РФ от 26.12.2019 N 1857)</w:t>
      </w:r>
    </w:p>
    <w:p>
      <w:pPr>
        <w:pStyle w:val="0"/>
        <w:spacing w:before="200" w:line-rule="auto"/>
        <w:ind w:firstLine="540"/>
        <w:jc w:val="both"/>
      </w:pPr>
      <w:r>
        <w:rPr>
          <w:sz w:val="20"/>
        </w:rPr>
        <w:t xml:space="preserve">7. Не признается услугой по передаче электрической энергии деятельность потребителя (производителя) электрической энергии, использующего электрическую энергию при предоставлении ему жилых и нежилых помещений в аренду, в наем и (или) эксплуатацию.</w:t>
      </w:r>
    </w:p>
    <w:p>
      <w:pPr>
        <w:pStyle w:val="0"/>
        <w:spacing w:before="200" w:line-rule="auto"/>
        <w:ind w:firstLine="540"/>
        <w:jc w:val="both"/>
      </w:pPr>
      <w:r>
        <w:rPr>
          <w:sz w:val="20"/>
        </w:rPr>
        <w:t xml:space="preserve">8. В целях обеспечения исполнения своих обязательств перед потребителями услуг (покупателями и продавцами электрической энергии) сетевая организация заключает договоры с иными сетевыми организациями, имеющими технологическое присоединение к объектам электросетевого хозяйства, с использованием которых данная сетевая организация оказывает услуги по передаче электрической энергии (далее - смежные сетевые организации), в соответствии с </w:t>
      </w:r>
      <w:hyperlink w:history="0" w:anchor="P460" w:tooltip="III. Порядок заключения и исполнения договоров">
        <w:r>
          <w:rPr>
            <w:sz w:val="20"/>
            <w:color w:val="0000ff"/>
          </w:rPr>
          <w:t xml:space="preserve">разделом III</w:t>
        </w:r>
      </w:hyperlink>
      <w:r>
        <w:rPr>
          <w:sz w:val="20"/>
        </w:rPr>
        <w:t xml:space="preserve"> настоящих Правил.</w:t>
      </w:r>
    </w:p>
    <w:p>
      <w:pPr>
        <w:pStyle w:val="0"/>
        <w:jc w:val="both"/>
      </w:pPr>
      <w:r>
        <w:rPr>
          <w:sz w:val="20"/>
        </w:rPr>
        <w:t xml:space="preserve">(в ред. </w:t>
      </w:r>
      <w:hyperlink w:history="0" r:id="rId192" w:tooltip="Постановление Правительства РФ от 15.06.2009 N 492 (ред. от 22.10.2012) &quot;О существенных условиях и порядке разрешения разногласий о праве заключения договоров в отношении объектов электросетевого хозяйства, входящих в единую национальную (общероссийскую) электрическую сеть&quot; (вместе с &quot;Правилами разрешения разногласий о праве заключения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ли иным законным владел {КонсультантПлюс}">
        <w:r>
          <w:rPr>
            <w:sz w:val="20"/>
            <w:color w:val="0000ff"/>
          </w:rPr>
          <w:t xml:space="preserve">Постановления</w:t>
        </w:r>
      </w:hyperlink>
      <w:r>
        <w:rPr>
          <w:sz w:val="20"/>
        </w:rPr>
        <w:t xml:space="preserve"> Правительства РФ от 15.06.2009 N 492)</w:t>
      </w:r>
    </w:p>
    <w:p>
      <w:pPr>
        <w:pStyle w:val="0"/>
        <w:spacing w:before="200" w:line-rule="auto"/>
        <w:ind w:firstLine="540"/>
        <w:jc w:val="both"/>
      </w:pPr>
      <w:r>
        <w:rPr>
          <w:sz w:val="20"/>
        </w:rPr>
        <w:t xml:space="preserve">8(1). В целях выявления, определения и рационального использования величины мощности объектов электросетевого хозяйства сетевая организация обязана вести учет резервируемой максимальной мощности в отношении потребителей электрической энергии, максимальная мощность энергопринимающих устройств которых в границах балансовой принадлежности составляет не менее 670 кВт, включающий мероприятия по определению и регулярному мониторингу изменений величины резервируемой максимальной мощности в соответствии с настоящим пунктом.</w:t>
      </w:r>
    </w:p>
    <w:p>
      <w:pPr>
        <w:pStyle w:val="0"/>
        <w:spacing w:before="200" w:line-rule="auto"/>
        <w:ind w:firstLine="540"/>
        <w:jc w:val="both"/>
      </w:pPr>
      <w:r>
        <w:rPr>
          <w:sz w:val="20"/>
        </w:rPr>
        <w:t xml:space="preserve">Резервируемая максимальная мощность определяется как разность между максимальной мощностью энергопринимающих устройств потребителя и мощностью, использованной в соответствующем расчетном периоде для определения размера обязательств потребителя по оплате услуг по передаче электрической энергии в соответствии с </w:t>
      </w:r>
      <w:hyperlink w:history="0" w:anchor="P294" w:tooltip="15(1). Обязательства потребителя услуг определяются в размере стоимости оказанных услуг, установленном в соответствии с настоящим пунктом.">
        <w:r>
          <w:rPr>
            <w:sz w:val="20"/>
            <w:color w:val="0000ff"/>
          </w:rPr>
          <w:t xml:space="preserve">пунктом 15(1)</w:t>
        </w:r>
      </w:hyperlink>
      <w:r>
        <w:rPr>
          <w:sz w:val="20"/>
        </w:rPr>
        <w:t xml:space="preserve"> настоящих Правил. В случае отсутствия данных о почасовых объемах потребления электрической энергии резервируемая максимальная мощность рассчитывается исходя из результатов проведения контрольных замеров и иной имеющейся информации.</w:t>
      </w:r>
    </w:p>
    <w:p>
      <w:pPr>
        <w:pStyle w:val="0"/>
        <w:spacing w:before="200" w:line-rule="auto"/>
        <w:ind w:firstLine="540"/>
        <w:jc w:val="both"/>
      </w:pPr>
      <w:r>
        <w:rPr>
          <w:sz w:val="20"/>
        </w:rPr>
        <w:t xml:space="preserve">Начиная с 1 июля 2012 г. сетевая организация по окончании расчетного периода в отношении каждого потребителя электрической энергии, который заключил договор с этой сетевой организацией и максимальная мощность энергопринимающих устройств которого в границах балансовой принадлежности составляет не менее 670 кВт, рассчитывает величину резервируемой максимальной мощности. В информационных целях сетевая организация указывает величину резервируемой максимальной мощности отдельной строкой в счетах на оплату услуг по передаче электрической энергии, выставляемых ею потребителям электрической энергии, для которых указанная величина подлежит определению.</w:t>
      </w:r>
    </w:p>
    <w:p>
      <w:pPr>
        <w:pStyle w:val="0"/>
        <w:spacing w:before="200" w:line-rule="auto"/>
        <w:ind w:firstLine="540"/>
        <w:jc w:val="both"/>
      </w:pPr>
      <w:r>
        <w:rPr>
          <w:sz w:val="20"/>
        </w:rPr>
        <w:t xml:space="preserve">Сетевая организация не позднее 20-го числа месяца, следующего за окончанием каждого квартала, представляет в соответствующий орган исполнительной власти субъекта Российской Федерации в области государственного регулирования тарифов данные об усредненной за квартал величине резервируемой максимальной мощности суммарно по всем потребителям электрической энергии, в отношении которых эта величина определяется и в отношении энергопринимающих устройств которых такой сетевой организацией заключен договор, с разбивкой по каждому уровню напряжения.</w:t>
      </w:r>
    </w:p>
    <w:p>
      <w:pPr>
        <w:pStyle w:val="0"/>
        <w:jc w:val="both"/>
      </w:pPr>
      <w:r>
        <w:rPr>
          <w:sz w:val="20"/>
        </w:rPr>
        <w:t xml:space="preserve">(п. 8(1) введен </w:t>
      </w:r>
      <w:hyperlink w:history="0" r:id="rId193"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Постановлением</w:t>
        </w:r>
      </w:hyperlink>
      <w:r>
        <w:rPr>
          <w:sz w:val="20"/>
        </w:rPr>
        <w:t xml:space="preserve"> Правительства РФ от 04.05.2012 N 442)</w:t>
      </w:r>
    </w:p>
    <w:bookmarkStart w:id="202" w:name="P202"/>
    <w:bookmarkEnd w:id="202"/>
    <w:p>
      <w:pPr>
        <w:pStyle w:val="0"/>
        <w:spacing w:before="200" w:line-rule="auto"/>
        <w:ind w:firstLine="540"/>
        <w:jc w:val="both"/>
      </w:pPr>
      <w:r>
        <w:rPr>
          <w:sz w:val="20"/>
        </w:rPr>
        <w:t xml:space="preserve">8(2). В целях обеспечения равенства единых котловых тарифов на услуги по передаче электрической энергии для всех потребителей услуг, расположенных на территории одного субъекта Российской Федерации и принадлежащих к одной группе (категории), из числа тех, в отношении которых законодательством Российской Федерации предусмотрена дифференциация тарифов на электрическую энергию (мощность), а также в целях исполнения обязательств гарантирующих поставщиков по договорам поставки электрической энергии и мощности перед потребителями электрической энергии и мощности, территориальная сетевая организация заключает договор на оказание услуг по передаче электрической энергии (мощности) с иной территориальной сетевой организацией при соблюдении следующих обязательных условий:</w:t>
      </w:r>
    </w:p>
    <w:p>
      <w:pPr>
        <w:pStyle w:val="0"/>
        <w:spacing w:before="200" w:line-rule="auto"/>
        <w:ind w:firstLine="540"/>
        <w:jc w:val="both"/>
      </w:pPr>
      <w:r>
        <w:rPr>
          <w:sz w:val="20"/>
        </w:rPr>
        <w:t xml:space="preserve">иная территориальная сетевая организация соответствует критериям отнесения владельцев объектов электросетевого хозяйства к территориальным сетевым организациям;</w:t>
      </w:r>
    </w:p>
    <w:p>
      <w:pPr>
        <w:pStyle w:val="0"/>
        <w:spacing w:before="200" w:line-rule="auto"/>
        <w:ind w:firstLine="540"/>
        <w:jc w:val="both"/>
      </w:pPr>
      <w:r>
        <w:rPr>
          <w:sz w:val="20"/>
        </w:rPr>
        <w:t xml:space="preserve">иная территориальная сетевая организация присоединена к территориальной сетевой организации через объекты электросетевого хозяйства организаций, входящих в единую национальную (общероссийскую) электрическую сеть;</w:t>
      </w:r>
    </w:p>
    <w:p>
      <w:pPr>
        <w:pStyle w:val="0"/>
        <w:spacing w:before="200" w:line-rule="auto"/>
        <w:ind w:firstLine="540"/>
        <w:jc w:val="both"/>
      </w:pPr>
      <w:r>
        <w:rPr>
          <w:sz w:val="20"/>
        </w:rPr>
        <w:t xml:space="preserve">для территориальной сетевой организации и иной территориальной сетевой организации были установлены индивидуальные тарифы на передачу электрической энергии для взаиморасчетов между сетевыми организациями в предыдущем периоде регулирования.</w:t>
      </w:r>
    </w:p>
    <w:p>
      <w:pPr>
        <w:pStyle w:val="0"/>
        <w:spacing w:before="200" w:line-rule="auto"/>
        <w:ind w:firstLine="540"/>
        <w:jc w:val="both"/>
      </w:pPr>
      <w:r>
        <w:rPr>
          <w:sz w:val="20"/>
        </w:rPr>
        <w:t xml:space="preserve">В договоре на услуги по передаче электрической энергии (мощности), заключенном между территориальной сетевой организацией и иной территориальной сетевой организацией в соответствии с </w:t>
      </w:r>
      <w:hyperlink w:history="0" w:anchor="P202" w:tooltip="8(2). В целях обеспечения равенства единых котловых тарифов на услуги по передаче электрической энергии для всех потребителей услуг, расположенных на территории одного субъекта Российской Федерации и принадлежащих к одной группе (категории), из числа тех, в отношении которых законодательством Российской Федерации предусмотрена дифференциация тарифов на электрическую энергию (мощность), а также в целях исполнения обязательств гарантирующих поставщиков по договорам поставки электрической энергии и мощности...">
        <w:r>
          <w:rPr>
            <w:sz w:val="20"/>
            <w:color w:val="0000ff"/>
          </w:rPr>
          <w:t xml:space="preserve">абзацем первым</w:t>
        </w:r>
      </w:hyperlink>
      <w:r>
        <w:rPr>
          <w:sz w:val="20"/>
        </w:rPr>
        <w:t xml:space="preserve"> настоящего пункта, объем услуг, оказанных иной территориальной сетевой организацией, определяется в точках разграничения балансовой принадлежности иной территориальной сетевой организации и потребителей электрической энергии (мощности), имеющих договоры энергоснабжения с гарантирующим поставщиком, действующим в зоне деятельности иной территориальной сетевой организации, и (или) при наличии положительного сальдо перетока электрической энергии из сетей иной территориальной сетевой организации в сети смежных с ней территориальных сетевых организаций в рамках одного субъекта Российской Федерации - в точках разграничения балансовой принадлежности объектов электросетевого хозяйства иной территориальной сетевой организации и смежных с ней территориальных сетевых организаций.</w:t>
      </w:r>
    </w:p>
    <w:p>
      <w:pPr>
        <w:pStyle w:val="0"/>
        <w:jc w:val="both"/>
      </w:pPr>
      <w:r>
        <w:rPr>
          <w:sz w:val="20"/>
        </w:rPr>
        <w:t xml:space="preserve">(п. 8(2) введен </w:t>
      </w:r>
      <w:hyperlink w:history="0" r:id="rId194" w:tooltip="Постановление Правительства РФ от 31.03.2021 N 496 &quot;О внесении изменений в Правила недискриминационного доступа к услугам по передаче электрической энергии и оказания этих услуг и признании утратившим силу подпункта &quot;б&quot; пункта 2 изменений, которые вносятся в акты Правительства Российской Федерации по вопросу отнесения территорий Республики Крым и г. Севастополя к территориям, которые объединены в первую ценовую зону оптового рынка, утвержденных постановлением Правительства Российской Федерации от 23 декабря {КонсультантПлюс}">
        <w:r>
          <w:rPr>
            <w:sz w:val="20"/>
            <w:color w:val="0000ff"/>
          </w:rPr>
          <w:t xml:space="preserve">Постановлением</w:t>
        </w:r>
      </w:hyperlink>
      <w:r>
        <w:rPr>
          <w:sz w:val="20"/>
        </w:rPr>
        <w:t xml:space="preserve"> Правительства РФ от 31.03.2021 N 496)</w:t>
      </w:r>
    </w:p>
    <w:p>
      <w:pPr>
        <w:pStyle w:val="0"/>
        <w:ind w:firstLine="540"/>
        <w:jc w:val="both"/>
      </w:pPr>
      <w:r>
        <w:rPr>
          <w:sz w:val="20"/>
        </w:rPr>
      </w:r>
    </w:p>
    <w:bookmarkStart w:id="209" w:name="P209"/>
    <w:bookmarkEnd w:id="209"/>
    <w:p>
      <w:pPr>
        <w:pStyle w:val="2"/>
        <w:outlineLvl w:val="1"/>
        <w:jc w:val="center"/>
      </w:pPr>
      <w:r>
        <w:rPr>
          <w:sz w:val="20"/>
        </w:rPr>
        <w:t xml:space="preserve">II. Порядок заключения и исполнения договора</w:t>
      </w:r>
    </w:p>
    <w:p>
      <w:pPr>
        <w:pStyle w:val="0"/>
        <w:ind w:firstLine="540"/>
        <w:jc w:val="both"/>
      </w:pPr>
      <w:r>
        <w:rPr>
          <w:sz w:val="20"/>
        </w:rPr>
      </w:r>
    </w:p>
    <w:p>
      <w:pPr>
        <w:pStyle w:val="0"/>
        <w:ind w:firstLine="540"/>
        <w:jc w:val="both"/>
      </w:pPr>
      <w:r>
        <w:rPr>
          <w:sz w:val="20"/>
        </w:rPr>
        <w:t xml:space="preserve">9. Договор является публичным и обязательным к заключению для сетевой организации.</w:t>
      </w:r>
    </w:p>
    <w:p>
      <w:pPr>
        <w:pStyle w:val="0"/>
        <w:spacing w:before="200" w:line-rule="auto"/>
        <w:ind w:firstLine="540"/>
        <w:jc w:val="both"/>
      </w:pPr>
      <w:r>
        <w:rPr>
          <w:sz w:val="20"/>
        </w:rPr>
        <w:t xml:space="preserve">10. Договор не может быть заключен ранее заключения договора об осуществлении технологического присоединения энергопринимающих устройств (энергетических установок) юридических и физических лиц к электрическим сетям, за исключением случаев, когда потребителем услуг выступают:</w:t>
      </w:r>
    </w:p>
    <w:p>
      <w:pPr>
        <w:pStyle w:val="0"/>
        <w:spacing w:before="200" w:line-rule="auto"/>
        <w:ind w:firstLine="540"/>
        <w:jc w:val="both"/>
      </w:pPr>
      <w:r>
        <w:rPr>
          <w:sz w:val="20"/>
        </w:rPr>
        <w:t xml:space="preserve">а) лица, чьи энергопринимающие устройства технологически присоединены к электрической сети;</w:t>
      </w:r>
    </w:p>
    <w:p>
      <w:pPr>
        <w:pStyle w:val="0"/>
        <w:spacing w:before="200" w:line-rule="auto"/>
        <w:ind w:firstLine="540"/>
        <w:jc w:val="both"/>
      </w:pPr>
      <w:r>
        <w:rPr>
          <w:sz w:val="20"/>
        </w:rPr>
        <w:t xml:space="preserve">б) лица, осуществляющие экспорт (импорт) электрической энергии и не имеющие во владении, в пользовании и распоряжении объекты электроэнергетики, присоединенные к электрической сети;</w:t>
      </w:r>
    </w:p>
    <w:p>
      <w:pPr>
        <w:pStyle w:val="0"/>
        <w:spacing w:before="200" w:line-rule="auto"/>
        <w:ind w:firstLine="540"/>
        <w:jc w:val="both"/>
      </w:pPr>
      <w:r>
        <w:rPr>
          <w:sz w:val="20"/>
        </w:rPr>
        <w:t xml:space="preserve">в) энергосбытовые организации (гарантирующие поставщики), заключающие договор в интересах обслуживаемых ими потребителей электрической энергии.</w:t>
      </w:r>
    </w:p>
    <w:p>
      <w:pPr>
        <w:pStyle w:val="0"/>
        <w:spacing w:before="200" w:line-rule="auto"/>
        <w:ind w:firstLine="540"/>
        <w:jc w:val="both"/>
      </w:pPr>
      <w:r>
        <w:rPr>
          <w:sz w:val="20"/>
        </w:rPr>
        <w:t xml:space="preserve">11. В отношении потребителей электрической энергии, в интересах которых заключается договор, сетевая организация вправе в целях определения технических характеристик энергопринимающих устройств, необходимых для оказания услуг по передаче электрической энергии, запросить у соответствующих лиц и (или) уполномоченных органов государственной власти сведения и документацию о технологическом присоединении.</w:t>
      </w:r>
    </w:p>
    <w:p>
      <w:pPr>
        <w:pStyle w:val="0"/>
        <w:spacing w:before="200" w:line-rule="auto"/>
        <w:ind w:firstLine="540"/>
        <w:jc w:val="both"/>
      </w:pPr>
      <w:r>
        <w:rPr>
          <w:sz w:val="20"/>
        </w:rPr>
        <w:t xml:space="preserve">12. В рамках договора сетевая организация обязуется осуществить комплекс организационно и технологически связанных действий, обеспечивающих передачу электрической энергии через технические устройства электрических сетей, а потребитель услуг - оплатить их.</w:t>
      </w:r>
    </w:p>
    <w:bookmarkStart w:id="218" w:name="P218"/>
    <w:bookmarkEnd w:id="218"/>
    <w:p>
      <w:pPr>
        <w:pStyle w:val="0"/>
        <w:spacing w:before="200" w:line-rule="auto"/>
        <w:ind w:firstLine="540"/>
        <w:jc w:val="both"/>
      </w:pPr>
      <w:r>
        <w:rPr>
          <w:sz w:val="20"/>
        </w:rPr>
        <w:t xml:space="preserve">13. Договор должен содержать следующие существенные условия:</w:t>
      </w:r>
    </w:p>
    <w:p>
      <w:pPr>
        <w:pStyle w:val="0"/>
        <w:spacing w:before="200" w:line-rule="auto"/>
        <w:ind w:firstLine="540"/>
        <w:jc w:val="both"/>
      </w:pPr>
      <w:r>
        <w:rPr>
          <w:sz w:val="20"/>
        </w:rPr>
        <w:t xml:space="preserve">а) величина максимальной мощности энергопринимающих устройств, технологически присоединенных в установленном законодательством Российской Федерации порядке к электрической сети определенная в соответствии с </w:t>
      </w:r>
      <w:hyperlink w:history="0" w:anchor="P237" w:tooltip="13(1). Величина максимальной мощности энергопринимающих устройств (объектов электросетевого хозяйства) определяется в процессе технологического присоединения или в соответствии с разделом IV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указывается в документах о технологическом присоеди...">
        <w:r>
          <w:rPr>
            <w:sz w:val="20"/>
            <w:color w:val="0000ff"/>
          </w:rPr>
          <w:t xml:space="preserve">пунктом 13(1)</w:t>
        </w:r>
      </w:hyperlink>
      <w:r>
        <w:rPr>
          <w:sz w:val="20"/>
        </w:rPr>
        <w:t xml:space="preserve"> настоящих Правил, с распределением указанной величины по каждой точке поставки;</w:t>
      </w:r>
    </w:p>
    <w:p>
      <w:pPr>
        <w:pStyle w:val="0"/>
        <w:jc w:val="both"/>
      </w:pPr>
      <w:r>
        <w:rPr>
          <w:sz w:val="20"/>
        </w:rPr>
        <w:t xml:space="preserve">(в ред. </w:t>
      </w:r>
      <w:hyperlink w:history="0" r:id="rId195"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spacing w:before="200" w:line-rule="auto"/>
        <w:ind w:firstLine="540"/>
        <w:jc w:val="both"/>
      </w:pPr>
      <w:r>
        <w:rPr>
          <w:sz w:val="20"/>
        </w:rPr>
        <w:t xml:space="preserve">б) порядок определения размера обязательств потребителя услуг по оплате услуг по передаче электрической энергии в соответствии с </w:t>
      </w:r>
      <w:hyperlink w:history="0" w:anchor="P294" w:tooltip="15(1). Обязательства потребителя услуг определяются в размере стоимости оказанных услуг, установленном в соответствии с настоящим пунктом.">
        <w:r>
          <w:rPr>
            <w:sz w:val="20"/>
            <w:color w:val="0000ff"/>
          </w:rPr>
          <w:t xml:space="preserve">пунктом 15(1)</w:t>
        </w:r>
      </w:hyperlink>
      <w:r>
        <w:rPr>
          <w:sz w:val="20"/>
        </w:rPr>
        <w:t xml:space="preserve"> настоящих Правил, включающий:</w:t>
      </w:r>
    </w:p>
    <w:p>
      <w:pPr>
        <w:pStyle w:val="0"/>
        <w:spacing w:before="200" w:line-rule="auto"/>
        <w:ind w:firstLine="540"/>
        <w:jc w:val="both"/>
      </w:pPr>
      <w:r>
        <w:rPr>
          <w:sz w:val="20"/>
        </w:rPr>
        <w:t xml:space="preserve">сведения об объеме электрической энергии (мощности), используемом для определения размера обязательств, или порядок определения такого объема;</w:t>
      </w:r>
    </w:p>
    <w:p>
      <w:pPr>
        <w:pStyle w:val="0"/>
        <w:spacing w:before="200" w:line-rule="auto"/>
        <w:ind w:firstLine="540"/>
        <w:jc w:val="both"/>
      </w:pPr>
      <w:r>
        <w:rPr>
          <w:sz w:val="20"/>
        </w:rPr>
        <w:t xml:space="preserve">порядок расчета стоимости услуг сетевой организации по передаче электрической энергии;</w:t>
      </w:r>
    </w:p>
    <w:p>
      <w:pPr>
        <w:pStyle w:val="0"/>
        <w:jc w:val="both"/>
      </w:pPr>
      <w:r>
        <w:rPr>
          <w:sz w:val="20"/>
        </w:rPr>
        <w:t xml:space="preserve">(пп. "б" в ред. </w:t>
      </w:r>
      <w:hyperlink w:history="0" r:id="rId196"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bookmarkStart w:id="225" w:name="P225"/>
    <w:bookmarkEnd w:id="225"/>
    <w:p>
      <w:pPr>
        <w:pStyle w:val="0"/>
        <w:spacing w:before="200" w:line-rule="auto"/>
        <w:ind w:firstLine="540"/>
        <w:jc w:val="both"/>
      </w:pPr>
      <w:r>
        <w:rPr>
          <w:sz w:val="20"/>
        </w:rPr>
        <w:t xml:space="preserve">в) ответственность потребителя услуг и сетевой организации за состояние и обслуживание объектов электросетевого хозяйства, которая определяется балансовой принадлежностью сетевой организации и потребителя услуг (потребителя электрической энергии, в интересах которого заключается договор) и фиксируется в документах о технологическом присоединении, являющихся приложениями к договору (в случае заключения договора в интересах граждан, осуществляющих ведение садоводства или огородничества на земельных участках, расположенных в границах территории ведения гражданами садоводства или огородничества для собственных нужд (далее - территория садоводства или огородничества), - в соответствии с документами о технологическом присоединении энергопринимающих устройств, относящихся к имуществу общего пользования такого садоводческого или огороднического некоммерческого товарищества, либо документами о технологическом присоединении энергопринимающих устройств, принадлежащих таким гражданам (при наличии);</w:t>
      </w:r>
    </w:p>
    <w:p>
      <w:pPr>
        <w:pStyle w:val="0"/>
        <w:jc w:val="both"/>
      </w:pPr>
      <w:r>
        <w:rPr>
          <w:sz w:val="20"/>
        </w:rPr>
        <w:t xml:space="preserve">(в ред. Постановлений Правительства РФ от 07.05.2017 </w:t>
      </w:r>
      <w:hyperlink w:history="0" r:id="rId197"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N 542</w:t>
        </w:r>
      </w:hyperlink>
      <w:r>
        <w:rPr>
          <w:sz w:val="20"/>
        </w:rPr>
        <w:t xml:space="preserve">, от 10.11.2017 </w:t>
      </w:r>
      <w:hyperlink w:history="0" r:id="rId198" w:tooltip="Постановление Правительства РФ от 10.11.2017 N 1351 (ред. от 09.10.2021) &quot;О внесении изменений в некоторые акты Правительства Российской Федерации по вопросам повышения доступности энергетической инфраструктуры в отношении отдельных групп потребителей&quot; {КонсультантПлюс}">
        <w:r>
          <w:rPr>
            <w:sz w:val="20"/>
            <w:color w:val="0000ff"/>
          </w:rPr>
          <w:t xml:space="preserve">N 1351</w:t>
        </w:r>
      </w:hyperlink>
      <w:r>
        <w:rPr>
          <w:sz w:val="20"/>
        </w:rPr>
        <w:t xml:space="preserve">, от 21.12.2018 </w:t>
      </w:r>
      <w:hyperlink w:history="0" r:id="rId199"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sz w:val="20"/>
            <w:color w:val="0000ff"/>
          </w:rPr>
          <w:t xml:space="preserve">N 1622</w:t>
        </w:r>
      </w:hyperlink>
      <w:r>
        <w:rPr>
          <w:sz w:val="20"/>
        </w:rPr>
        <w:t xml:space="preserve">)</w:t>
      </w:r>
    </w:p>
    <w:p>
      <w:pPr>
        <w:pStyle w:val="0"/>
        <w:spacing w:before="200" w:line-rule="auto"/>
        <w:ind w:firstLine="540"/>
        <w:jc w:val="both"/>
      </w:pPr>
      <w:r>
        <w:rPr>
          <w:sz w:val="20"/>
        </w:rPr>
        <w:t xml:space="preserve">г) сведения о приборах учета электрической энергии (мощности) (измерительных комплексах), установленных на дату заключения договора в отношении энергопринимающих устройств, объектов электроэнергетики и используемых для расчетов по договору, с указанием мест их установки, заводских номеров, даты предыдущей и очередной поверки, межповерочного интервала;</w:t>
      </w:r>
    </w:p>
    <w:p>
      <w:pPr>
        <w:pStyle w:val="0"/>
        <w:jc w:val="both"/>
      </w:pPr>
      <w:r>
        <w:rPr>
          <w:sz w:val="20"/>
        </w:rPr>
        <w:t xml:space="preserve">(в ред. Постановлений Правительства РФ от 04.05.2012 </w:t>
      </w:r>
      <w:hyperlink w:history="0" r:id="rId200"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N 442</w:t>
        </w:r>
      </w:hyperlink>
      <w:r>
        <w:rPr>
          <w:sz w:val="20"/>
        </w:rPr>
        <w:t xml:space="preserve">, от 18.04.2020 </w:t>
      </w:r>
      <w:hyperlink w:history="0" r:id="rId201" w:tooltip="Постановление Правительства РФ от 18.04.2020 N 55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554</w:t>
        </w:r>
      </w:hyperlink>
      <w:r>
        <w:rPr>
          <w:sz w:val="20"/>
        </w:rPr>
        <w:t xml:space="preserve">)</w:t>
      </w:r>
    </w:p>
    <w:p>
      <w:pPr>
        <w:pStyle w:val="0"/>
        <w:spacing w:before="200" w:line-rule="auto"/>
        <w:ind w:firstLine="540"/>
        <w:jc w:val="both"/>
      </w:pPr>
      <w:r>
        <w:rPr>
          <w:sz w:val="20"/>
        </w:rPr>
        <w:t xml:space="preserve">д) обязанности сторон по обеспечению установки и допуску в эксплуатацию приборов учета электрической энергии (мощности) (измерительных комплексов), соответствующих установленным законодательством Российской Федерации требованиям (в отношении энергопринимающих устройств (объектов электроэнергетики), которые на дату заключения договора не оборудованы приборами учета электрической энергии (мощности) (измерительным комплексом), либо в случае, если установленные приборы учета электрической энергии (мощности) (измерительный комплекс) не соответствуют требованиям законодательства Российской Федерации), в соответствии с Основными положениями функционирования розничных рынков электрической энергии;</w:t>
      </w:r>
    </w:p>
    <w:p>
      <w:pPr>
        <w:pStyle w:val="0"/>
        <w:jc w:val="both"/>
      </w:pPr>
      <w:r>
        <w:rPr>
          <w:sz w:val="20"/>
        </w:rPr>
        <w:t xml:space="preserve">(пп. "д" в ред. </w:t>
      </w:r>
      <w:hyperlink w:history="0" r:id="rId202" w:tooltip="Постановление Правительства РФ от 18.04.2020 N 55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18.04.2020 N 554)</w:t>
      </w:r>
    </w:p>
    <w:bookmarkStart w:id="231" w:name="P231"/>
    <w:bookmarkEnd w:id="231"/>
    <w:p>
      <w:pPr>
        <w:pStyle w:val="0"/>
        <w:spacing w:before="200" w:line-rule="auto"/>
        <w:ind w:firstLine="540"/>
        <w:jc w:val="both"/>
      </w:pPr>
      <w:r>
        <w:rPr>
          <w:sz w:val="20"/>
        </w:rPr>
        <w:t xml:space="preserve">е) обязанность потребителя услуг по обеспечению эксплуатации принадлежащих ему на праве собственности или на ином законном основании устройств релейной защиты и автоматики (в том числе устройств релейной защиты, противоаварийной, режимной и сетевой автоматики, устройств регистрации аварийных процессов и событий), установленных в соответствии с </w:t>
      </w:r>
      <w:hyperlink w:history="0" w:anchor="P835" w:tooltip="ПРАВИЛА">
        <w:r>
          <w:rPr>
            <w:sz w:val="20"/>
            <w:color w:val="0000ff"/>
          </w:rPr>
          <w:t xml:space="preserve">Правилами</w:t>
        </w:r>
      </w:hyperlink>
      <w:r>
        <w:rPr>
          <w:sz w:val="20"/>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настоящими Правилами, а также по обеспечению возможности реализации воздействия устройств противоаварийной, режимной и сетевой автоматики в соответствии с требованиями субъекта оперативно-диспетчерского управления в электроэнергетике и сетевой организации;</w:t>
      </w:r>
    </w:p>
    <w:p>
      <w:pPr>
        <w:pStyle w:val="0"/>
        <w:jc w:val="both"/>
      </w:pPr>
      <w:r>
        <w:rPr>
          <w:sz w:val="20"/>
        </w:rPr>
        <w:t xml:space="preserve">(в ред. Постановлений Правительства РФ от 13.08.2018 </w:t>
      </w:r>
      <w:hyperlink w:history="0" r:id="rId203"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N 937</w:t>
        </w:r>
      </w:hyperlink>
      <w:r>
        <w:rPr>
          <w:sz w:val="20"/>
        </w:rPr>
        <w:t xml:space="preserve">, от 30.06.2022 </w:t>
      </w:r>
      <w:hyperlink w:history="0" r:id="rId204"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1178</w:t>
        </w:r>
      </w:hyperlink>
      <w:r>
        <w:rPr>
          <w:sz w:val="20"/>
        </w:rPr>
        <w:t xml:space="preserve">)</w:t>
      </w:r>
    </w:p>
    <w:p>
      <w:pPr>
        <w:pStyle w:val="0"/>
        <w:spacing w:before="200" w:line-rule="auto"/>
        <w:ind w:firstLine="540"/>
        <w:jc w:val="both"/>
      </w:pPr>
      <w:r>
        <w:rPr>
          <w:sz w:val="20"/>
        </w:rPr>
        <w:t xml:space="preserve">ж) порядок взаимодействия сетевой организации и потребителя услуг при организации и осуществлении оперативно-технологического управления в соответствии с требованиями </w:t>
      </w:r>
      <w:hyperlink w:history="0" r:id="rId205"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Правил</w:t>
        </w:r>
      </w:hyperlink>
      <w:r>
        <w:rPr>
          <w:sz w:val="20"/>
        </w:rPr>
        <w:t xml:space="preserve"> технологического функционирования электроэнергетических систем, утвержденных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(далее - Правила технологического функционирования электроэнергетических систем);</w:t>
      </w:r>
    </w:p>
    <w:p>
      <w:pPr>
        <w:pStyle w:val="0"/>
        <w:jc w:val="both"/>
      </w:pPr>
      <w:r>
        <w:rPr>
          <w:sz w:val="20"/>
        </w:rPr>
        <w:t xml:space="preserve">(пп. "ж" введен </w:t>
      </w:r>
      <w:hyperlink w:history="0" r:id="rId206"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13.08.2018 N 937)</w:t>
      </w:r>
    </w:p>
    <w:p>
      <w:pPr>
        <w:pStyle w:val="0"/>
        <w:spacing w:before="200" w:line-rule="auto"/>
        <w:ind w:firstLine="540"/>
        <w:jc w:val="both"/>
      </w:pPr>
      <w:r>
        <w:rPr>
          <w:sz w:val="20"/>
        </w:rPr>
        <w:t xml:space="preserve">з) неустойка в размере и в случаях, которые предусмотрены </w:t>
      </w:r>
      <w:hyperlink w:history="0" r:id="rId207"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разделом X</w:t>
        </w:r>
      </w:hyperlink>
      <w:r>
        <w:rPr>
          <w:sz w:val="20"/>
        </w:rPr>
        <w:t xml:space="preserve"> Основных положений функционирования розничных рынков электрической энергии.</w:t>
      </w:r>
    </w:p>
    <w:p>
      <w:pPr>
        <w:pStyle w:val="0"/>
        <w:jc w:val="both"/>
      </w:pPr>
      <w:r>
        <w:rPr>
          <w:sz w:val="20"/>
        </w:rPr>
        <w:t xml:space="preserve">(пп. "з" введен </w:t>
      </w:r>
      <w:hyperlink w:history="0" r:id="rId208" w:tooltip="Постановление Правительства РФ от 18.04.2020 N 55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18.04.2020 N 554)</w:t>
      </w:r>
    </w:p>
    <w:bookmarkStart w:id="237" w:name="P237"/>
    <w:bookmarkEnd w:id="237"/>
    <w:p>
      <w:pPr>
        <w:pStyle w:val="0"/>
        <w:spacing w:before="200" w:line-rule="auto"/>
        <w:ind w:firstLine="540"/>
        <w:jc w:val="both"/>
      </w:pPr>
      <w:r>
        <w:rPr>
          <w:sz w:val="20"/>
        </w:rPr>
        <w:t xml:space="preserve">13(1). Величина максимальной мощности энергопринимающих устройств (объектов электросетевого хозяйства) определяется в процессе технологического присоединения или в соответствии с </w:t>
      </w:r>
      <w:hyperlink w:history="0" w:anchor="P1677" w:tooltip="IV. Особенности технологического присоединения">
        <w:r>
          <w:rPr>
            <w:sz w:val="20"/>
            <w:color w:val="0000ff"/>
          </w:rPr>
          <w:t xml:space="preserve">разделом IV</w:t>
        </w:r>
      </w:hyperlink>
      <w:r>
        <w:rPr>
          <w:sz w:val="20"/>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указывается в документах о технологическом присоединении, если иное не установлено настоящим пунктом.</w:t>
      </w:r>
    </w:p>
    <w:p>
      <w:pPr>
        <w:pStyle w:val="0"/>
        <w:spacing w:before="200" w:line-rule="auto"/>
        <w:ind w:firstLine="540"/>
        <w:jc w:val="both"/>
      </w:pPr>
      <w:r>
        <w:rPr>
          <w:sz w:val="20"/>
        </w:rPr>
        <w:t xml:space="preserve">В случае если в документах о технологическом присоединении величина максимальной мощности энергопринимающих устройств не указана и (или) если документы о технологическом присоединении утеряны, величина максимальной мощности определяется в соответствии с </w:t>
      </w:r>
      <w:hyperlink w:history="0" w:anchor="P1899" w:tooltip="VIII. Восстановление и переоформление документов">
        <w:r>
          <w:rPr>
            <w:sz w:val="20"/>
            <w:color w:val="0000ff"/>
          </w:rPr>
          <w:t xml:space="preserve">разделом VIII</w:t>
        </w:r>
      </w:hyperlink>
      <w:r>
        <w:rPr>
          <w:sz w:val="20"/>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pStyle w:val="0"/>
        <w:jc w:val="both"/>
      </w:pPr>
      <w:r>
        <w:rPr>
          <w:sz w:val="20"/>
        </w:rPr>
        <w:t xml:space="preserve">(в ред. </w:t>
      </w:r>
      <w:hyperlink w:history="0" r:id="rId209"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sz w:val="20"/>
            <w:color w:val="0000ff"/>
          </w:rPr>
          <w:t xml:space="preserve">Постановления</w:t>
        </w:r>
      </w:hyperlink>
      <w:r>
        <w:rPr>
          <w:sz w:val="20"/>
        </w:rPr>
        <w:t xml:space="preserve"> Правительства РФ от 20.02.2014 N 130)</w:t>
      </w:r>
    </w:p>
    <w:p>
      <w:pPr>
        <w:pStyle w:val="0"/>
        <w:jc w:val="both"/>
      </w:pPr>
      <w:r>
        <w:rPr>
          <w:sz w:val="20"/>
        </w:rPr>
        <w:t xml:space="preserve">(п. 13(1) введен </w:t>
      </w:r>
      <w:hyperlink w:history="0" r:id="rId210"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Постановлением</w:t>
        </w:r>
      </w:hyperlink>
      <w:r>
        <w:rPr>
          <w:sz w:val="20"/>
        </w:rPr>
        <w:t xml:space="preserve"> Правительства РФ от 04.05.2012 N 442)</w:t>
      </w:r>
    </w:p>
    <w:p>
      <w:pPr>
        <w:pStyle w:val="0"/>
        <w:spacing w:before="200" w:line-rule="auto"/>
        <w:ind w:firstLine="540"/>
        <w:jc w:val="both"/>
      </w:pPr>
      <w:r>
        <w:rPr>
          <w:sz w:val="20"/>
        </w:rPr>
        <w:t xml:space="preserve">13(2). В случае если потребителем услуг является гарантирующий поставщик (энергосбытовая организация), договор должен содержать порядок взаимодействия сетевой организации и гарантирующего поставщика (энергосбытовой организации) в части взаимодействия и обмена информацией, необходимый для соблюдения единых стандартов качества обслуживания сетевыми организациями потребителей услуг сетевых организаций,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при обслуживании потребителя электрической энергии, в интересах которого заключается договор.</w:t>
      </w:r>
    </w:p>
    <w:p>
      <w:pPr>
        <w:pStyle w:val="0"/>
        <w:jc w:val="both"/>
      </w:pPr>
      <w:r>
        <w:rPr>
          <w:sz w:val="20"/>
        </w:rPr>
        <w:t xml:space="preserve">(п. 13(2) введен </w:t>
      </w:r>
      <w:hyperlink w:history="0" r:id="rId211" w:tooltip="Постановление Правительства РФ от 26.07.2013 N 630 &quot;О внесении изменений в некоторые акты Правительства Российской Федерации в целях повышения доступности энергетической инфраструктуры&quot; {КонсультантПлюс}">
        <w:r>
          <w:rPr>
            <w:sz w:val="20"/>
            <w:color w:val="0000ff"/>
          </w:rPr>
          <w:t xml:space="preserve">Постановлением</w:t>
        </w:r>
      </w:hyperlink>
      <w:r>
        <w:rPr>
          <w:sz w:val="20"/>
        </w:rPr>
        <w:t xml:space="preserve"> Правительства РФ от 26.07.2013 N 630)</w:t>
      </w:r>
    </w:p>
    <w:p>
      <w:pPr>
        <w:pStyle w:val="0"/>
        <w:spacing w:before="200" w:line-rule="auto"/>
        <w:ind w:firstLine="540"/>
        <w:jc w:val="both"/>
      </w:pPr>
      <w:r>
        <w:rPr>
          <w:sz w:val="20"/>
        </w:rPr>
        <w:t xml:space="preserve">13(3). В договоре с потребителем услуг по передаче электрической энергии (за исключением потребителей услуг - гарантирующих поставщиков (энергосбытовых, энергоснабжающих организаций), сетевых организаций и субъектов оптового рынка электрической энергии, осуществляющих экспорт (импорт) электрической энергии) кроме информации, предусмотренной </w:t>
      </w:r>
      <w:hyperlink w:history="0" w:anchor="P218" w:tooltip="13. Договор должен содержать следующие существенные условия:">
        <w:r>
          <w:rPr>
            <w:sz w:val="20"/>
            <w:color w:val="0000ff"/>
          </w:rPr>
          <w:t xml:space="preserve">пунктом 13</w:t>
        </w:r>
      </w:hyperlink>
      <w:r>
        <w:rPr>
          <w:sz w:val="20"/>
        </w:rPr>
        <w:t xml:space="preserve"> настоящих Правил, должны быть указаны выделенный оператором подвижной радиотелефонной связи абонентский номер и адрес электронной почты такого потребителя услуг, предназначенные для направления ему уведомления о введении полного и (или) частичного ограничения режима потребления электрической энергии.</w:t>
      </w:r>
    </w:p>
    <w:p>
      <w:pPr>
        <w:pStyle w:val="0"/>
        <w:jc w:val="both"/>
      </w:pPr>
      <w:r>
        <w:rPr>
          <w:sz w:val="20"/>
        </w:rPr>
        <w:t xml:space="preserve">(п. 13(3) введен </w:t>
      </w:r>
      <w:hyperlink w:history="0" r:id="rId212" w:tooltip="Постановление Правительства РФ от 24.05.2017 N 624 &quot;О внесении изменений в некоторые акты Правительства Российской Федерации по вопросам введения полного и (или) частичного ограничения режима потребления электрической энергии, а также применения печатей хозяйственных обществ&quot; {КонсультантПлюс}">
        <w:r>
          <w:rPr>
            <w:sz w:val="20"/>
            <w:color w:val="0000ff"/>
          </w:rPr>
          <w:t xml:space="preserve">Постановлением</w:t>
        </w:r>
      </w:hyperlink>
      <w:r>
        <w:rPr>
          <w:sz w:val="20"/>
        </w:rPr>
        <w:t xml:space="preserve"> Правительства РФ от 24.05.2017 N 624)</w:t>
      </w:r>
    </w:p>
    <w:p>
      <w:pPr>
        <w:pStyle w:val="0"/>
        <w:spacing w:before="200" w:line-rule="auto"/>
        <w:ind w:firstLine="540"/>
        <w:jc w:val="both"/>
      </w:pPr>
      <w:r>
        <w:rPr>
          <w:sz w:val="20"/>
        </w:rPr>
        <w:t xml:space="preserve">13(4). В договоре должен быть предусмотрен порядок, форматы и протоколы обмена данными между сторонами в рамках функционирования интеллектуальной системы учета электрической энергии (мощности) в отношении приборов учета электрической энергии, присоединенных к интеллектуальным системам учета электрической энергии (мощности).</w:t>
      </w:r>
    </w:p>
    <w:p>
      <w:pPr>
        <w:pStyle w:val="0"/>
        <w:jc w:val="both"/>
      </w:pPr>
      <w:r>
        <w:rPr>
          <w:sz w:val="20"/>
        </w:rPr>
        <w:t xml:space="preserve">(п. 13(4) введен </w:t>
      </w:r>
      <w:hyperlink w:history="0" r:id="rId213" w:tooltip="Постановление Правительства РФ от 18.04.2020 N 55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18.04.2020 N 554)</w:t>
      </w:r>
    </w:p>
    <w:p>
      <w:pPr>
        <w:pStyle w:val="0"/>
        <w:spacing w:before="200" w:line-rule="auto"/>
        <w:ind w:firstLine="540"/>
        <w:jc w:val="both"/>
      </w:pPr>
      <w:r>
        <w:rPr>
          <w:sz w:val="20"/>
        </w:rPr>
        <w:t xml:space="preserve">14. При исполнении договора потребитель услуг обязан:</w:t>
      </w:r>
    </w:p>
    <w:bookmarkStart w:id="248" w:name="P248"/>
    <w:bookmarkEnd w:id="248"/>
    <w:p>
      <w:pPr>
        <w:pStyle w:val="0"/>
        <w:spacing w:before="200" w:line-rule="auto"/>
        <w:ind w:firstLine="540"/>
        <w:jc w:val="both"/>
      </w:pPr>
      <w:r>
        <w:rPr>
          <w:sz w:val="20"/>
        </w:rPr>
        <w:t xml:space="preserve">а) соблюдать предусмотренный договором и документами о технологическом присоединении режим потребления (производства) электрической энергии (мощности);</w:t>
      </w:r>
    </w:p>
    <w:p>
      <w:pPr>
        <w:pStyle w:val="0"/>
        <w:jc w:val="both"/>
      </w:pPr>
      <w:r>
        <w:rPr>
          <w:sz w:val="20"/>
        </w:rPr>
        <w:t xml:space="preserve">(пп. "а" в ред. </w:t>
      </w:r>
      <w:hyperlink w:history="0" r:id="rId214"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spacing w:before="200" w:line-rule="auto"/>
        <w:ind w:firstLine="540"/>
        <w:jc w:val="both"/>
      </w:pPr>
      <w:r>
        <w:rPr>
          <w:sz w:val="20"/>
        </w:rPr>
        <w:t xml:space="preserve">б) оплачивать услуги сетевой организации по передаче электрической энергии в размере и сроки, которые определены </w:t>
      </w:r>
      <w:hyperlink w:history="0" w:anchor="P294" w:tooltip="15(1). Обязательства потребителя услуг определяются в размере стоимости оказанных услуг, установленном в соответствии с настоящим пунктом.">
        <w:r>
          <w:rPr>
            <w:sz w:val="20"/>
            <w:color w:val="0000ff"/>
          </w:rPr>
          <w:t xml:space="preserve">пунктами 15(1)</w:t>
        </w:r>
      </w:hyperlink>
      <w:r>
        <w:rPr>
          <w:sz w:val="20"/>
        </w:rPr>
        <w:t xml:space="preserve">, </w:t>
      </w:r>
      <w:hyperlink w:history="0" w:anchor="P322" w:tooltip="15(3). 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населения и приравненных к нему категорий потребителей, за исключением исполнителей коммунальной услуги, до 12-го числа месяца, следующего за расчетным периодом.">
        <w:r>
          <w:rPr>
            <w:sz w:val="20"/>
            <w:color w:val="0000ff"/>
          </w:rPr>
          <w:t xml:space="preserve">15(3)</w:t>
        </w:r>
      </w:hyperlink>
      <w:r>
        <w:rPr>
          <w:sz w:val="20"/>
        </w:rPr>
        <w:t xml:space="preserve"> и </w:t>
      </w:r>
      <w:hyperlink w:history="0" w:anchor="P335" w:tooltip="15(5). Расчеты между сетевой организацией и потребителем услуг по передаче электрической энергии - гарантирующим поставщиком при получении сетевой организацией уведомления от указанного потребителя об одностороннем отказе от исполнения договора в связи с планируемым заключением соглашения о передаче функций гарантирующего поставщика в соответствии с пунктом 227(1) Основных положений функционирования розничных рынков электрической энергии осуществляются на основании счета, который сетевая организация в те...">
        <w:r>
          <w:rPr>
            <w:sz w:val="20"/>
            <w:color w:val="0000ff"/>
          </w:rPr>
          <w:t xml:space="preserve">15(5)</w:t>
        </w:r>
      </w:hyperlink>
      <w:r>
        <w:rPr>
          <w:sz w:val="20"/>
        </w:rPr>
        <w:t xml:space="preserve"> настоящих Правил;</w:t>
      </w:r>
    </w:p>
    <w:p>
      <w:pPr>
        <w:pStyle w:val="0"/>
        <w:jc w:val="both"/>
      </w:pPr>
      <w:r>
        <w:rPr>
          <w:sz w:val="20"/>
        </w:rPr>
        <w:t xml:space="preserve">(в ред. Постановлений Правительства РФ от 04.05.2012 </w:t>
      </w:r>
      <w:hyperlink w:history="0" r:id="rId215"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N 442</w:t>
        </w:r>
      </w:hyperlink>
      <w:r>
        <w:rPr>
          <w:sz w:val="20"/>
        </w:rPr>
        <w:t xml:space="preserve">, от 21.12.2016 </w:t>
      </w:r>
      <w:hyperlink w:history="0" r:id="rId216" w:tooltip="Постановление Правительства РФ от 21.12.2016 N 1419 &quot;О внесении изменений в Правила недискриминационного доступа к услугам по передаче электрической энергии и оказания этих услуг по вопросам синхронизации расчетов за услуги по передаче электрической энергии&quot; {КонсультантПлюс}">
        <w:r>
          <w:rPr>
            <w:sz w:val="20"/>
            <w:color w:val="0000ff"/>
          </w:rPr>
          <w:t xml:space="preserve">N 1419</w:t>
        </w:r>
      </w:hyperlink>
      <w:r>
        <w:rPr>
          <w:sz w:val="20"/>
        </w:rPr>
        <w:t xml:space="preserve">, от 22.06.2019 </w:t>
      </w:r>
      <w:hyperlink w:history="0" r:id="rId217" w:tooltip="Постановление Правительства РФ от 22.06.2019 N 800 &quot;О внесении изменений в некоторые акты Правительства Российской Федерации&quot; {КонсультантПлюс}">
        <w:r>
          <w:rPr>
            <w:sz w:val="20"/>
            <w:color w:val="0000ff"/>
          </w:rPr>
          <w:t xml:space="preserve">N 800</w:t>
        </w:r>
      </w:hyperlink>
      <w:r>
        <w:rPr>
          <w:sz w:val="20"/>
        </w:rPr>
        <w:t xml:space="preserve">)</w:t>
      </w:r>
    </w:p>
    <w:bookmarkStart w:id="252" w:name="P252"/>
    <w:bookmarkEnd w:id="252"/>
    <w:p>
      <w:pPr>
        <w:pStyle w:val="0"/>
        <w:spacing w:before="200" w:line-rule="auto"/>
        <w:ind w:firstLine="540"/>
        <w:jc w:val="both"/>
      </w:pPr>
      <w:r>
        <w:rPr>
          <w:sz w:val="20"/>
        </w:rPr>
        <w:t xml:space="preserve">в) поддерживать в надлежащем техническом состоянии принадлежащие ему средства релейной защиты и противоаварийной автоматики, приборы учета электрической энергии (мощности) и измерительные трансформаторы, используемые для коммерческого учета электрической энергии (мощности),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в том числе обеспечивать сохранность и целостность установленных в отношении энергопринимающих устройств потребителя приборов учета электрической энергии (мощности) и (или) измерительных трансформаторов, а также контрольных пломб и (или) знаков визуального контроля, в случае если прибор учета и (или) измерительные трансформаторы установлены в границах земельного участка, принадлежащего такому потребителю на праве собственности или ином законном основании, на котором расположены энергопринимающие устройства потребителя (границы земельного участка) (внутри помещений, границах балансовой и (или) эксплуатационной ответственности), и соблюдать требования, установленные для технологического присоединения и эксплуатации указанных средств и устройств, а также обеспечивать поддержание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pPr>
        <w:pStyle w:val="0"/>
        <w:jc w:val="both"/>
      </w:pPr>
      <w:r>
        <w:rPr>
          <w:sz w:val="20"/>
        </w:rPr>
        <w:t xml:space="preserve">(пп. "в" в ред. </w:t>
      </w:r>
      <w:hyperlink w:history="0" r:id="rId218" w:tooltip="Постановление Правительства РФ от 18.04.2020 N 55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18.04.2020 N 554)</w:t>
      </w:r>
    </w:p>
    <w:p>
      <w:pPr>
        <w:pStyle w:val="0"/>
        <w:spacing w:before="200" w:line-rule="auto"/>
        <w:ind w:firstLine="540"/>
        <w:jc w:val="both"/>
      </w:pPr>
      <w:r>
        <w:rPr>
          <w:sz w:val="20"/>
        </w:rPr>
        <w:t xml:space="preserve">г) осуществлять эксплуатацию принадлежащих ему энергопринимающих устройств в соответствии с </w:t>
      </w:r>
      <w:hyperlink w:history="0" r:id="rId219"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Правилами</w:t>
        </w:r>
      </w:hyperlink>
      <w:r>
        <w:rPr>
          <w:sz w:val="20"/>
        </w:rPr>
        <w:t xml:space="preserve"> технологического функционирования электроэнергетических систем, правилами технической эксплуатации, техники безопасности и оперативно-диспетчерского управления;</w:t>
      </w:r>
    </w:p>
    <w:p>
      <w:pPr>
        <w:pStyle w:val="0"/>
        <w:jc w:val="both"/>
      </w:pPr>
      <w:r>
        <w:rPr>
          <w:sz w:val="20"/>
        </w:rPr>
        <w:t xml:space="preserve">(в ред. </w:t>
      </w:r>
      <w:hyperlink w:history="0" r:id="rId220"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13.08.2018 N 937)</w:t>
      </w:r>
    </w:p>
    <w:p>
      <w:pPr>
        <w:pStyle w:val="0"/>
        <w:spacing w:before="200" w:line-rule="auto"/>
        <w:ind w:firstLine="540"/>
        <w:jc w:val="both"/>
      </w:pPr>
      <w:r>
        <w:rPr>
          <w:sz w:val="20"/>
        </w:rPr>
        <w:t xml:space="preserve">д) соблюдать заданные в установленном порядке сетевой организацией, системным оператором (субъектом оперативно-диспетчерского управления) требования к установке устройств релейной защиты и автоматики, а также поддерживать схему электроснабжения с выделением ответственных нагрузок на резервируемые внешние питающие линии, обеспечивающие отпуск электрической энергии для покрытия технологической и аварийной брони;</w:t>
      </w:r>
    </w:p>
    <w:p>
      <w:pPr>
        <w:pStyle w:val="0"/>
        <w:spacing w:before="200" w:line-rule="auto"/>
        <w:ind w:firstLine="540"/>
        <w:jc w:val="both"/>
      </w:pPr>
      <w:r>
        <w:rPr>
          <w:sz w:val="20"/>
        </w:rPr>
        <w:t xml:space="preserve">е) поддерживать на границе балансовой принадлежности значения показателей качества электрической энергии, обусловленные работой его энергопринимающих устройств, соответствующие обязательным требованиям, в том числе соблюдать установленные договором значения соотношения потребления активной и реактивной мощности, определяемые для отдельных энергопринимающих устройств (групп энергопринимающих устройств);</w:t>
      </w:r>
    </w:p>
    <w:p>
      <w:pPr>
        <w:pStyle w:val="0"/>
        <w:jc w:val="both"/>
      </w:pPr>
      <w:r>
        <w:rPr>
          <w:sz w:val="20"/>
        </w:rPr>
        <w:t xml:space="preserve">(в ред. </w:t>
      </w:r>
      <w:hyperlink w:history="0" r:id="rId221"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13.08.2018 N 937)</w:t>
      </w:r>
    </w:p>
    <w:p>
      <w:pPr>
        <w:pStyle w:val="0"/>
        <w:spacing w:before="200" w:line-rule="auto"/>
        <w:ind w:firstLine="540"/>
        <w:jc w:val="both"/>
      </w:pPr>
      <w:r>
        <w:rPr>
          <w:sz w:val="20"/>
        </w:rPr>
        <w:t xml:space="preserve">ж) выполнять требования сетевой организации и субъекта оперативно-диспетчерского управления в электроэнергетике об ограничении режима потребления в соответствии с утвержденными графиками аварийного ограничения режима потребления электрической энергии (мощности) при возникновении (угрозе возникновения) дефицита электрической энергии и мощности, а также в иных случаях, предусмотренных законодательством Российской Федерации в качестве основания для введения полного или частичного ограничения режима потребления;</w:t>
      </w:r>
    </w:p>
    <w:p>
      <w:pPr>
        <w:pStyle w:val="0"/>
        <w:jc w:val="both"/>
      </w:pPr>
      <w:r>
        <w:rPr>
          <w:sz w:val="20"/>
        </w:rPr>
        <w:t xml:space="preserve">(в ред. </w:t>
      </w:r>
      <w:hyperlink w:history="0" r:id="rId222"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spacing w:before="200" w:line-rule="auto"/>
        <w:ind w:firstLine="540"/>
        <w:jc w:val="both"/>
      </w:pPr>
      <w:r>
        <w:rPr>
          <w:sz w:val="20"/>
        </w:rPr>
        <w:t xml:space="preserve">з) представлять в сетевую организацию технологическую информацию (главные электрические схемы, характеристики оборудования, схемы устройств релейной защиты и автоматики, оперативные данные о технологических режимах работы оборудования);</w:t>
      </w:r>
    </w:p>
    <w:p>
      <w:pPr>
        <w:pStyle w:val="0"/>
        <w:jc w:val="both"/>
      </w:pPr>
      <w:r>
        <w:rPr>
          <w:sz w:val="20"/>
        </w:rPr>
        <w:t xml:space="preserve">(в ред. </w:t>
      </w:r>
      <w:hyperlink w:history="0" r:id="rId223"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13.08.2018 N 937)</w:t>
      </w:r>
    </w:p>
    <w:p>
      <w:pPr>
        <w:pStyle w:val="0"/>
        <w:spacing w:before="200" w:line-rule="auto"/>
        <w:ind w:firstLine="540"/>
        <w:jc w:val="both"/>
      </w:pPr>
      <w:r>
        <w:rPr>
          <w:sz w:val="20"/>
        </w:rPr>
        <w:t xml:space="preserve">и) информировать сетевую организацию в установленные договором сроки об аварийных ситуациях на энергетических объектах, плановом, текущем и капитальном ремонте на них;</w:t>
      </w:r>
    </w:p>
    <w:p>
      <w:pPr>
        <w:pStyle w:val="0"/>
        <w:spacing w:before="200" w:line-rule="auto"/>
        <w:ind w:firstLine="540"/>
        <w:jc w:val="both"/>
      </w:pPr>
      <w:r>
        <w:rPr>
          <w:sz w:val="20"/>
        </w:rPr>
        <w:t xml:space="preserve">к) информировать сетевую организацию об объеме участия в противоаварийном и автоматическом режимном управлении, а также о перечне и мощности электроприемников потребителя услуг, которые могут быть отключены устройствами противоаварийной автоматики;</w:t>
      </w:r>
    </w:p>
    <w:p>
      <w:pPr>
        <w:pStyle w:val="0"/>
        <w:jc w:val="both"/>
      </w:pPr>
      <w:r>
        <w:rPr>
          <w:sz w:val="20"/>
        </w:rPr>
        <w:t xml:space="preserve">(пп. "к" в ред. </w:t>
      </w:r>
      <w:hyperlink w:history="0" r:id="rId224"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13.08.2018 N 937)</w:t>
      </w:r>
    </w:p>
    <w:bookmarkStart w:id="266" w:name="P266"/>
    <w:bookmarkEnd w:id="266"/>
    <w:p>
      <w:pPr>
        <w:pStyle w:val="0"/>
        <w:spacing w:before="200" w:line-rule="auto"/>
        <w:ind w:firstLine="540"/>
        <w:jc w:val="both"/>
      </w:pPr>
      <w:r>
        <w:rPr>
          <w:sz w:val="20"/>
        </w:rPr>
        <w:t xml:space="preserve">л) беспрепятственно допускать уполномоченных представителей сетевой организации в пункты контроля и учета количества и качества переданной электрической энергии в порядке и случаях, установленных договором;</w:t>
      </w:r>
    </w:p>
    <w:bookmarkStart w:id="267" w:name="P267"/>
    <w:bookmarkEnd w:id="267"/>
    <w:p>
      <w:pPr>
        <w:pStyle w:val="0"/>
        <w:spacing w:before="200" w:line-rule="auto"/>
        <w:ind w:firstLine="540"/>
        <w:jc w:val="both"/>
      </w:pPr>
      <w:r>
        <w:rPr>
          <w:sz w:val="20"/>
        </w:rPr>
        <w:t xml:space="preserve">м) 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учета электрической энергии (мощности) с использованием приборов учета, в том числе в части:</w:t>
      </w:r>
    </w:p>
    <w:p>
      <w:pPr>
        <w:pStyle w:val="0"/>
        <w:spacing w:before="200" w:line-rule="auto"/>
        <w:ind w:firstLine="540"/>
        <w:jc w:val="both"/>
      </w:pPr>
      <w:r>
        <w:rPr>
          <w:sz w:val="20"/>
        </w:rPr>
        <w:t xml:space="preserve">допуска установленного прибора учета (измерительного комплекса) в эксплуатацию;</w:t>
      </w:r>
    </w:p>
    <w:p>
      <w:pPr>
        <w:pStyle w:val="0"/>
        <w:spacing w:before="200" w:line-rule="auto"/>
        <w:ind w:firstLine="540"/>
        <w:jc w:val="both"/>
      </w:pPr>
      <w:r>
        <w:rPr>
          <w:sz w:val="20"/>
        </w:rPr>
        <w:t xml:space="preserve">эксплуатации установленного потребителем услуг прибора учета (измерительного комплекса, измерительного трансформатора);</w:t>
      </w:r>
    </w:p>
    <w:p>
      <w:pPr>
        <w:pStyle w:val="0"/>
        <w:spacing w:before="200" w:line-rule="auto"/>
        <w:ind w:firstLine="540"/>
        <w:jc w:val="both"/>
      </w:pPr>
      <w:r>
        <w:rPr>
          <w:sz w:val="20"/>
        </w:rPr>
        <w:t xml:space="preserve">передачи показаний приборов учета;</w:t>
      </w:r>
    </w:p>
    <w:p>
      <w:pPr>
        <w:pStyle w:val="0"/>
        <w:spacing w:before="200" w:line-rule="auto"/>
        <w:ind w:firstLine="540"/>
        <w:jc w:val="both"/>
      </w:pPr>
      <w:r>
        <w:rPr>
          <w:sz w:val="20"/>
        </w:rPr>
        <w:t xml:space="preserve">сообщения о выходе прибора учета из эксплуатации;</w:t>
      </w:r>
    </w:p>
    <w:p>
      <w:pPr>
        <w:pStyle w:val="0"/>
        <w:spacing w:before="200" w:line-rule="auto"/>
        <w:ind w:firstLine="540"/>
        <w:jc w:val="both"/>
      </w:pPr>
      <w:r>
        <w:rPr>
          <w:sz w:val="20"/>
        </w:rPr>
        <w:t xml:space="preserve">обеспечения доступа к месту установки прибора учета (измерительного комплекса, измерительного трансформатора);</w:t>
      </w:r>
    </w:p>
    <w:p>
      <w:pPr>
        <w:pStyle w:val="0"/>
        <w:jc w:val="both"/>
      </w:pPr>
      <w:r>
        <w:rPr>
          <w:sz w:val="20"/>
        </w:rPr>
        <w:t xml:space="preserve">(пп. "м" в ред. </w:t>
      </w:r>
      <w:hyperlink w:history="0" r:id="rId225" w:tooltip="Постановление Правительства РФ от 18.04.2020 N 55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18.04.2020 N 554)</w:t>
      </w:r>
    </w:p>
    <w:p>
      <w:pPr>
        <w:pStyle w:val="0"/>
        <w:spacing w:before="200" w:line-rule="auto"/>
        <w:ind w:firstLine="540"/>
        <w:jc w:val="both"/>
      </w:pPr>
      <w:r>
        <w:rPr>
          <w:sz w:val="20"/>
        </w:rPr>
        <w:t xml:space="preserve">н) обеспечивать соблюдение установленного актом согласования технологической и (или) аварийной брони режима потребления электрической энергии (мощности), а также уровня нагрузки технологической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pPr>
        <w:pStyle w:val="0"/>
        <w:jc w:val="both"/>
      </w:pPr>
      <w:r>
        <w:rPr>
          <w:sz w:val="20"/>
        </w:rPr>
        <w:t xml:space="preserve">(пп. "н" введен </w:t>
      </w:r>
      <w:hyperlink w:history="0" r:id="rId226"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Постановлением</w:t>
        </w:r>
      </w:hyperlink>
      <w:r>
        <w:rPr>
          <w:sz w:val="20"/>
        </w:rPr>
        <w:t xml:space="preserve"> Правительства РФ от 04.05.2012 N 442)</w:t>
      </w:r>
    </w:p>
    <w:p>
      <w:pPr>
        <w:pStyle w:val="0"/>
        <w:spacing w:before="200" w:line-rule="auto"/>
        <w:ind w:firstLine="540"/>
        <w:jc w:val="both"/>
      </w:pPr>
      <w:r>
        <w:rPr>
          <w:sz w:val="20"/>
        </w:rPr>
        <w:t xml:space="preserve">о) обеспечивать проведение замеров на энергопринимающих устройствах (объектах электроэнергетики), в отношении которых заключен договор (за исключением энергопринимающих устройств (объектов электроэнергетики), в отношении которых установлены и введены в эксплуатацию приборы учета (измерительные комплексы) после 1 июля 2020 г.), и представлять сетевой организации информацию о результатах проведенных замеров в течение 3 рабочих дней с даты проведения соответствующего замера, кроме случаев наличия у потребителя электрической энергии системы учета, удаленный доступ к данным которой предоставлен сетевой организации, при получении от сетевой организации требования о проведении контрольных или внеочередных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w:t>
      </w:r>
    </w:p>
    <w:p>
      <w:pPr>
        <w:pStyle w:val="0"/>
        <w:jc w:val="both"/>
      </w:pPr>
      <w:r>
        <w:rPr>
          <w:sz w:val="20"/>
        </w:rPr>
        <w:t xml:space="preserve">(пп. "о" в ред. </w:t>
      </w:r>
      <w:hyperlink w:history="0" r:id="rId227" w:tooltip="Постановление Правительства РФ от 18.04.2020 N 55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18.04.2020 N 554)</w:t>
      </w:r>
    </w:p>
    <w:p>
      <w:pPr>
        <w:pStyle w:val="0"/>
        <w:spacing w:before="200" w:line-rule="auto"/>
        <w:ind w:firstLine="540"/>
        <w:jc w:val="both"/>
      </w:pPr>
      <w:r>
        <w:rPr>
          <w:sz w:val="20"/>
        </w:rPr>
        <w:t xml:space="preserve">п) обеспечить предоставление проекта акта согласования технологической и (или) аварийной брони в адрес сетевой организации в течение 30 дней с даты заключения договора, если на эту дату у потребителя электрической энергии, ограничение режима потребления электрической энергии (мощности) которого может привести к экономическим, экологическим, социальным последствиям, категории которых определены в </w:t>
      </w:r>
      <w:hyperlink w:history="0" r:id="rId228"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приложении</w:t>
        </w:r>
      </w:hyperlink>
      <w:r>
        <w:rPr>
          <w:sz w:val="20"/>
        </w:rP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Правила полного и (или) частичного ограничения режима потребления электрической энергии), а также у потребителя электрической энергии, энергопринимающее устройство которого отнесено к первой категории надежности, отсутствовал акт согласования технологической и (или) аварийной брони, или в течение 30 дней с даты возникновения установленных настоящими Правилами оснований для изменения такого акта.</w:t>
      </w:r>
    </w:p>
    <w:p>
      <w:pPr>
        <w:pStyle w:val="0"/>
        <w:jc w:val="both"/>
      </w:pPr>
      <w:r>
        <w:rPr>
          <w:sz w:val="20"/>
        </w:rPr>
        <w:t xml:space="preserve">(пп. "п" введен </w:t>
      </w:r>
      <w:hyperlink w:history="0" r:id="rId229"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Постановлением</w:t>
        </w:r>
      </w:hyperlink>
      <w:r>
        <w:rPr>
          <w:sz w:val="20"/>
        </w:rPr>
        <w:t xml:space="preserve"> Правительства РФ от 04.05.2012 N 442; в ред. Постановлений Правительства РФ от 13.08.2018 </w:t>
      </w:r>
      <w:hyperlink w:history="0" r:id="rId230"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N 937</w:t>
        </w:r>
      </w:hyperlink>
      <w:r>
        <w:rPr>
          <w:sz w:val="20"/>
        </w:rPr>
        <w:t xml:space="preserve">, от 17.09.2018 </w:t>
      </w:r>
      <w:hyperlink w:history="0" r:id="rId231" w:tooltip="Постановление Правительства РФ от 17.09.2018 N 1096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sz w:val="20"/>
            <w:color w:val="0000ff"/>
          </w:rPr>
          <w:t xml:space="preserve">N 1096</w:t>
        </w:r>
      </w:hyperlink>
      <w:r>
        <w:rPr>
          <w:sz w:val="20"/>
        </w:rPr>
        <w:t xml:space="preserve">)</w:t>
      </w:r>
    </w:p>
    <w:p>
      <w:pPr>
        <w:pStyle w:val="0"/>
        <w:spacing w:before="200" w:line-rule="auto"/>
        <w:ind w:firstLine="540"/>
        <w:jc w:val="both"/>
      </w:pPr>
      <w:r>
        <w:rPr>
          <w:sz w:val="20"/>
        </w:rPr>
        <w:t xml:space="preserve">15. При исполнении договора сетевая организация обязана:</w:t>
      </w:r>
    </w:p>
    <w:bookmarkStart w:id="281" w:name="P281"/>
    <w:bookmarkEnd w:id="281"/>
    <w:p>
      <w:pPr>
        <w:pStyle w:val="0"/>
        <w:spacing w:before="200" w:line-rule="auto"/>
        <w:ind w:firstLine="540"/>
        <w:jc w:val="both"/>
      </w:pPr>
      <w:r>
        <w:rPr>
          <w:sz w:val="20"/>
        </w:rPr>
        <w:t xml:space="preserve">а) обеспечить передачу электрической энергии в точке поставки потребителя услуг (потребителя электрической энергии, в интересах которого заключается договор), качество и параметры которой должны соответствовать обязательным требованиям, установленным нормативными правовыми актами Российской Федерации, регулирующими отношения в сфере электроэнергетики, с соблюдением величин аварийной и технологической брони;</w:t>
      </w:r>
    </w:p>
    <w:p>
      <w:pPr>
        <w:pStyle w:val="0"/>
        <w:jc w:val="both"/>
      </w:pPr>
      <w:r>
        <w:rPr>
          <w:sz w:val="20"/>
        </w:rPr>
        <w:t xml:space="preserve">(в ред. Постановлений Правительства РФ от 04.05.2012 </w:t>
      </w:r>
      <w:hyperlink w:history="0" r:id="rId232"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N 442</w:t>
        </w:r>
      </w:hyperlink>
      <w:r>
        <w:rPr>
          <w:sz w:val="20"/>
        </w:rPr>
        <w:t xml:space="preserve">, от 13.08.2018 </w:t>
      </w:r>
      <w:hyperlink w:history="0" r:id="rId233"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N 937</w:t>
        </w:r>
      </w:hyperlink>
      <w:r>
        <w:rPr>
          <w:sz w:val="20"/>
        </w:rPr>
        <w:t xml:space="preserve">)</w:t>
      </w:r>
    </w:p>
    <w:bookmarkStart w:id="283" w:name="P283"/>
    <w:bookmarkEnd w:id="283"/>
    <w:p>
      <w:pPr>
        <w:pStyle w:val="0"/>
        <w:spacing w:before="200" w:line-rule="auto"/>
        <w:ind w:firstLine="540"/>
        <w:jc w:val="both"/>
      </w:pPr>
      <w:r>
        <w:rPr>
          <w:sz w:val="20"/>
        </w:rPr>
        <w:t xml:space="preserve">б) осуществлять передачу электрической энергии в соответствии с согласованной категорией надежности энергопринимающих устройств потребителя услуг (потребителя электрической энергии, в интересах которого заключается договор);</w:t>
      </w:r>
    </w:p>
    <w:bookmarkStart w:id="284" w:name="P284"/>
    <w:bookmarkEnd w:id="284"/>
    <w:p>
      <w:pPr>
        <w:pStyle w:val="0"/>
        <w:spacing w:before="200" w:line-rule="auto"/>
        <w:ind w:firstLine="540"/>
        <w:jc w:val="both"/>
      </w:pPr>
      <w:r>
        <w:rPr>
          <w:sz w:val="20"/>
        </w:rPr>
        <w:t xml:space="preserve">в) определять в </w:t>
      </w:r>
      <w:hyperlink w:history="0" r:id="rId234" w:tooltip="Приказ Минэнерго России от 23.06.2015 N 380 &quot;О Порядке расчета значений соотношения потребления активной и реактивной мощности для отдельных энергопринимающих устройств (групп энергопринимающих устройств) потребителей электрической энергии&quot; (Зарегистрировано в Минюсте России 22.07.2015 N 38151) {КонсультантПлюс}">
        <w:r>
          <w:rPr>
            <w:sz w:val="20"/>
            <w:color w:val="0000ff"/>
          </w:rPr>
          <w:t xml:space="preserve">порядке</w:t>
        </w:r>
      </w:hyperlink>
      <w:r>
        <w:rPr>
          <w:sz w:val="20"/>
        </w:rPr>
        <w:t xml:space="preserve">, установленном Министерством энергетики Российской Федерации, значения соотношения потребления активной и реактивной мощности для отдельных энергопринимающих устройств (групп энергопринимающих устройств), в отношении которых заключен договор, если документами о технологическом присоединении таких устройств предусмотрены требования к регулированию реактивной мощности, самостоятельно, если такие энергопринимающие устройства присоединены к объектам электросетевого хозяйства напряжением 35 кВ и ниже, а в случае если энергопринимающие устройства присоединены к объектам электросетевого хозяйства напряжением выше 35 кВ - с учетом заданных субъектом оперативно-диспетчерского управления в электроэнергетике значений соотношения потребления активной и реактивной мощности на шинах напряжением 110 кВ и выше объектов электросетевого хозяйства данной сетевой организации;</w:t>
      </w:r>
    </w:p>
    <w:p>
      <w:pPr>
        <w:pStyle w:val="0"/>
        <w:jc w:val="both"/>
      </w:pPr>
      <w:r>
        <w:rPr>
          <w:sz w:val="20"/>
        </w:rPr>
        <w:t xml:space="preserve">(пп. "в" в ред. </w:t>
      </w:r>
      <w:hyperlink w:history="0" r:id="rId235"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13.08.2018 N 937)</w:t>
      </w:r>
    </w:p>
    <w:p>
      <w:pPr>
        <w:pStyle w:val="0"/>
        <w:spacing w:before="200" w:line-rule="auto"/>
        <w:ind w:firstLine="540"/>
        <w:jc w:val="both"/>
      </w:pPr>
      <w:r>
        <w:rPr>
          <w:sz w:val="20"/>
        </w:rPr>
        <w:t xml:space="preserve">г) в порядке и сроки, установленные договором, информировать потребителя услуг (потребителя электрической энергии, в интересах которого заключается договор) об аварийных ситуациях в электрических сетях, ремонтных и профилактических работах, влияющих на исполнение обязательств по договору;</w:t>
      </w:r>
    </w:p>
    <w:p>
      <w:pPr>
        <w:pStyle w:val="0"/>
        <w:spacing w:before="200" w:line-rule="auto"/>
        <w:ind w:firstLine="540"/>
        <w:jc w:val="both"/>
      </w:pPr>
      <w:r>
        <w:rPr>
          <w:sz w:val="20"/>
        </w:rPr>
        <w:t xml:space="preserve">д) беспрепятственно допускать уполномоченных представителей потребителей услуг в пункты контроля и учета количества и качества электрической энергии, переданной данному потребителю, в порядке и случаях, установленных договором;</w:t>
      </w:r>
    </w:p>
    <w:p>
      <w:pPr>
        <w:pStyle w:val="0"/>
        <w:spacing w:before="200" w:line-rule="auto"/>
        <w:ind w:firstLine="540"/>
        <w:jc w:val="both"/>
      </w:pPr>
      <w:r>
        <w:rPr>
          <w:sz w:val="20"/>
        </w:rPr>
        <w:t xml:space="preserve">е) осуществлять коммерческий учет электрической энергии (мощности) на розничных рынках электрической энергии и для целей оказания коммунальных услуг по электроснабжению, электроснабжение которых не осуществляется с использованием общего имущества в соответствии с </w:t>
      </w:r>
      <w:hyperlink w:history="0" r:id="rId236" w:tooltip="Постановление Правительства РФ от 06.05.2011 N 354 (ред. от 28.04.2022)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Правилами</w:t>
        </w:r>
      </w:hyperlink>
      <w:r>
        <w:rPr>
          <w:sz w:val="20"/>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Основными </w:t>
      </w:r>
      <w:hyperlink w:history="0" r:id="rId237"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положениями</w:t>
        </w:r>
      </w:hyperlink>
      <w:r>
        <w:rPr>
          <w:sz w:val="20"/>
        </w:rP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pPr>
        <w:pStyle w:val="0"/>
        <w:jc w:val="both"/>
      </w:pPr>
      <w:r>
        <w:rPr>
          <w:sz w:val="20"/>
        </w:rPr>
        <w:t xml:space="preserve">(пп. "е" введен </w:t>
      </w:r>
      <w:hyperlink w:history="0" r:id="rId238" w:tooltip="Постановление Правительства РФ от 18.04.2020 N 55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18.04.2020 N 554)</w:t>
      </w:r>
    </w:p>
    <w:p>
      <w:pPr>
        <w:pStyle w:val="0"/>
        <w:spacing w:before="200" w:line-rule="auto"/>
        <w:ind w:firstLine="540"/>
        <w:jc w:val="both"/>
      </w:pPr>
      <w:r>
        <w:rPr>
          <w:sz w:val="20"/>
        </w:rPr>
        <w:t xml:space="preserve">ж) предоставление минимального функционала интеллектуальных систем учета электрической энергии (мощности) в порядке и случаях, которые установлены </w:t>
      </w:r>
      <w:hyperlink w:history="0" r:id="rId239" w:tooltip="Постановление Правительства РФ от 19.06.2020 N 890 (ред. от 28.12.2021)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0"/>
            <w:color w:val="0000ff"/>
          </w:rPr>
          <w:t xml:space="preserve">правилами</w:t>
        </w:r>
      </w:hyperlink>
      <w:r>
        <w:rPr>
          <w:sz w:val="20"/>
        </w:rPr>
        <w:t xml:space="preserve"> предоставления доступа к минимальному набору функций интеллектуальных систем учета электрической энергии (мощности), предусмотренными </w:t>
      </w:r>
      <w:hyperlink w:history="0" r:id="rId240" w:tooltip="Федеральный закон от 26.03.2003 N 35-ФЗ (ред. от 11.06.2022) &quot;Об электроэнергетике&quot; (с изм. и доп., вступ. в силу с 01.07.2022) {КонсультантПлюс}">
        <w:r>
          <w:rPr>
            <w:sz w:val="20"/>
            <w:color w:val="0000ff"/>
          </w:rPr>
          <w:t xml:space="preserve">пунктом 1 статьи 21</w:t>
        </w:r>
      </w:hyperlink>
      <w:r>
        <w:rPr>
          <w:sz w:val="20"/>
        </w:rPr>
        <w:t xml:space="preserve"> Федерального закона "Об электроэнергетике";</w:t>
      </w:r>
    </w:p>
    <w:p>
      <w:pPr>
        <w:pStyle w:val="0"/>
        <w:jc w:val="both"/>
      </w:pPr>
      <w:r>
        <w:rPr>
          <w:sz w:val="20"/>
        </w:rPr>
        <w:t xml:space="preserve">(пп. "ж" введен </w:t>
      </w:r>
      <w:hyperlink w:history="0" r:id="rId241" w:tooltip="Постановление Правительства РФ от 18.04.2020 N 55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18.04.2020 N 554)</w:t>
      </w:r>
    </w:p>
    <w:p>
      <w:pPr>
        <w:pStyle w:val="0"/>
        <w:spacing w:before="200" w:line-rule="auto"/>
        <w:ind w:firstLine="540"/>
        <w:jc w:val="both"/>
      </w:pPr>
      <w:r>
        <w:rPr>
          <w:sz w:val="20"/>
        </w:rPr>
        <w:t xml:space="preserve">з) обеспечивать проведение замеров на энергопринимающих устройствах (объектах электроэнергетики), в отношении которых заключен договор, и во всех точках поставки, в которых установлены и введены в эксплуатацию приборы учета (измерительные комплексы) начиная с 1 июля 2020 г.</w:t>
      </w:r>
    </w:p>
    <w:p>
      <w:pPr>
        <w:pStyle w:val="0"/>
        <w:jc w:val="both"/>
      </w:pPr>
      <w:r>
        <w:rPr>
          <w:sz w:val="20"/>
        </w:rPr>
        <w:t xml:space="preserve">(пп. "з" введен </w:t>
      </w:r>
      <w:hyperlink w:history="0" r:id="rId242" w:tooltip="Постановление Правительства РФ от 18.04.2020 N 55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18.04.2020 N 554)</w:t>
      </w:r>
    </w:p>
    <w:bookmarkStart w:id="294" w:name="P294"/>
    <w:bookmarkEnd w:id="294"/>
    <w:p>
      <w:pPr>
        <w:pStyle w:val="0"/>
        <w:spacing w:before="200" w:line-rule="auto"/>
        <w:ind w:firstLine="540"/>
        <w:jc w:val="both"/>
      </w:pPr>
      <w:r>
        <w:rPr>
          <w:sz w:val="20"/>
        </w:rPr>
        <w:t xml:space="preserve">15(1). Обязательства потребителя услуг определяются в размере стоимости оказанных услуг, установленном в соответствии с настоящим пунктом.</w:t>
      </w:r>
    </w:p>
    <w:p>
      <w:pPr>
        <w:pStyle w:val="0"/>
        <w:spacing w:before="200" w:line-rule="auto"/>
        <w:ind w:firstLine="540"/>
        <w:jc w:val="both"/>
      </w:pPr>
      <w:r>
        <w:rPr>
          <w:sz w:val="20"/>
        </w:rPr>
        <w:t xml:space="preserve">Стоимость услуг по передаче электрической энергии определяется исходя из тарифа на услуги по передаче электрической энергии, определяемого в соответствии с </w:t>
      </w:r>
      <w:hyperlink w:history="0" w:anchor="P536" w:tooltip="V. Порядок установления тарифов на услуги по передаче">
        <w:r>
          <w:rPr>
            <w:sz w:val="20"/>
            <w:color w:val="0000ff"/>
          </w:rPr>
          <w:t xml:space="preserve">разделом V</w:t>
        </w:r>
      </w:hyperlink>
      <w:r>
        <w:rPr>
          <w:sz w:val="20"/>
        </w:rPr>
        <w:t xml:space="preserve"> настоящих Правил, и объема (объемов) оказанных услуг по передаче электрической энергии.</w:t>
      </w:r>
    </w:p>
    <w:p>
      <w:pPr>
        <w:pStyle w:val="0"/>
        <w:spacing w:before="200" w:line-rule="auto"/>
        <w:ind w:firstLine="540"/>
        <w:jc w:val="both"/>
      </w:pPr>
      <w:r>
        <w:rPr>
          <w:sz w:val="20"/>
        </w:rPr>
        <w:t xml:space="preserve">Объем услуг по передаче электрической энергии, оказанных организацией по управлению единой национальной (общероссийской) электрической сетью, определяется в отношении энергопринимающего устройства (в случае,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(далее - совокупность энергопринимающих устройств), - в отношении совокупности энергопринимающих устройств) потребителя электрической энергии (мощности) в следующем порядке:</w:t>
      </w:r>
    </w:p>
    <w:p>
      <w:pPr>
        <w:pStyle w:val="0"/>
        <w:spacing w:before="200" w:line-rule="auto"/>
        <w:ind w:firstLine="540"/>
        <w:jc w:val="both"/>
      </w:pPr>
      <w:r>
        <w:rPr>
          <w:sz w:val="20"/>
        </w:rPr>
        <w:t xml:space="preserve">объем услуг по передаче электрической энергии, оплачиваемых потребителем электрической энергии (мощности)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равен произведению объема потребления электрической энергии на соответствующем уровне напряжения и норматива потерь электрической энергии при ее передаче по электрическим сетям единой национальной (общероссийской) электрической сети, утвержденного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pPr>
        <w:pStyle w:val="0"/>
        <w:spacing w:before="200" w:line-rule="auto"/>
        <w:ind w:firstLine="540"/>
        <w:jc w:val="both"/>
      </w:pPr>
      <w:r>
        <w:rPr>
          <w:sz w:val="20"/>
        </w:rPr>
        <w:t xml:space="preserve">объем услуг по передаче электрической энергии, оплачиваемых потребителем электрической энергии (мощности)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до 1 января 2015 г. равен величине заявленной мощности, а с 1 января 2015 г. определяется в порядке, предусмотренном настоящим пунктом для определения объема услуг по передаче электрической энергии за расчетный период, оказанных прочими сетевыми организациями.</w:t>
      </w:r>
    </w:p>
    <w:p>
      <w:pPr>
        <w:pStyle w:val="0"/>
        <w:spacing w:before="200" w:line-rule="auto"/>
        <w:ind w:firstLine="540"/>
        <w:jc w:val="both"/>
      </w:pPr>
      <w:r>
        <w:rPr>
          <w:sz w:val="20"/>
        </w:rPr>
        <w:t xml:space="preserve">До 1 января 2015 г. в случае, если в течение расчетного периода регулирования за любые 2 и более часа будет выявлено превышение заявленной мощности более чем на 10 процентов, то начиная с расчетного периода, в котором выявлено такое превышение, и до конца расчетного периода регулирования обязательства по оплате оказанных организацией по управлению единой национальной (общероссийской) электрической сетью услуг по передаче электрической энергии (за исключением обязательств сетевых организаций) определяются исходя из наибольшего за расчетный период регулирования почасового значения потребления электрической энергии.</w:t>
      </w:r>
    </w:p>
    <w:p>
      <w:pPr>
        <w:pStyle w:val="0"/>
        <w:spacing w:before="200" w:line-rule="auto"/>
        <w:ind w:firstLine="540"/>
        <w:jc w:val="both"/>
      </w:pPr>
      <w:r>
        <w:rPr>
          <w:sz w:val="20"/>
        </w:rPr>
        <w:t xml:space="preserve">Объемы услуг по передаче электрической энергии за расчетный период, оказанных прочими сетевыми организациями, определяются в зависимости от применяемого в соответствии с </w:t>
      </w:r>
      <w:hyperlink w:history="0" r:id="rId243"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Основами ценообразования</w:t>
        </w:r>
      </w:hyperlink>
      <w:r>
        <w:rPr>
          <w:sz w:val="20"/>
        </w:rPr>
        <w:t xml:space="preserve"> в области регулируемых цен (тарифов) в электроэнергетике к потребителю электрической энергии (мощности) варианта цены (тарифа) на услуги по передаче электрической энергии в отношении энергопринимающего устройства (совокупности энергопринимающих устройств) потребителя электрической энергии (мощности) в следующем порядке:</w:t>
      </w:r>
    </w:p>
    <w:p>
      <w:pPr>
        <w:pStyle w:val="0"/>
        <w:spacing w:before="200" w:line-rule="auto"/>
        <w:ind w:firstLine="540"/>
        <w:jc w:val="both"/>
      </w:pPr>
      <w:r>
        <w:rPr>
          <w:sz w:val="20"/>
        </w:rPr>
        <w:t xml:space="preserve">объем услуг по передаче электрической энергии, оплачиваемых потребителем электрической энергии (мощности) за расчетный период по одноставочной цене (тарифу) на услуги по передаче электрической энергии, определяется в отношении каждого из уровней напряжения, по которым дифференцируются такие цены (тарифы), равным объему потребления электрической энергии на соответствующем уровне напряжения;</w:t>
      </w:r>
    </w:p>
    <w:p>
      <w:pPr>
        <w:pStyle w:val="0"/>
        <w:spacing w:before="200" w:line-rule="auto"/>
        <w:ind w:firstLine="540"/>
        <w:jc w:val="both"/>
      </w:pPr>
      <w:r>
        <w:rPr>
          <w:sz w:val="20"/>
        </w:rPr>
        <w:t xml:space="preserve">объем услуг по передаче электрической энергии, оплачиваемых потребителем электрической энергии (мощности) за расчетный период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определяется в отношении каждого из уровней напряжения, по которым дифференцируются такие цены (тарифы), равным объему потребления электрической энергии на соответствующем уровне напряжения;</w:t>
      </w:r>
    </w:p>
    <w:p>
      <w:pPr>
        <w:pStyle w:val="0"/>
        <w:spacing w:before="200" w:line-rule="auto"/>
        <w:ind w:firstLine="540"/>
        <w:jc w:val="both"/>
      </w:pPr>
      <w:r>
        <w:rPr>
          <w:sz w:val="20"/>
        </w:rPr>
        <w:t xml:space="preserve">объем услуг по передаче электрической энергии, оплачиваемых потребителем электрической энергии (мощности)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определяется в отношении каждого уровня напряжения, по которым дифференцируется такая цена (тариф), равным среднему арифметическому значению из максимальных значений в каждые рабочие сутки расчетного периода из суммарных по всем точкам поставки на соответствующем уровне напряжения, относящимся к энергопринимающему устройству (совокупности энергопринимающих устройств) потребителя электрической энергии (мощности) почасовых объемов потребления электрической энергии в установленные системным оператором плановые часы пиковой нагрузки.</w:t>
      </w:r>
    </w:p>
    <w:p>
      <w:pPr>
        <w:pStyle w:val="0"/>
        <w:spacing w:before="200" w:line-rule="auto"/>
        <w:ind w:firstLine="540"/>
        <w:jc w:val="both"/>
      </w:pPr>
      <w:r>
        <w:rPr>
          <w:sz w:val="20"/>
        </w:rPr>
        <w:t xml:space="preserve">Определение обязательств гарантирующего поставщика (энергосбытовой, энергоснабжающей организации), действующего в интересах обслуживаемых им по договорам энергоснабжения потребителей электрической энергии (мощности), по оплате им услуг по передаче электрической энергии осуществляется в соответствии с требованиями настоящего пункта в отношении каждого уровня напряжения по совокупности точек поставки каждого из обслуживаемых им потребителей электрической энергии (мощности) (за исключением населения и приравненных к нему категорий потребителей), соответствующих энергопринимающему устройству (совокупности энергопринимающих устройств) исходя из варианта цены (тарифа), применяемого в отношении соответствующего потребителя электрической энергии (мощности) в соответствии с </w:t>
      </w:r>
      <w:hyperlink w:history="0" r:id="rId244"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Основами ценообразования</w:t>
        </w:r>
      </w:hyperlink>
      <w:r>
        <w:rPr>
          <w:sz w:val="20"/>
        </w:rPr>
        <w:t xml:space="preserve"> в области регулируемых цен (тарифов) в электроэнергетике, и объема услуг по передаче электрической энергии, оплачиваемых потребителем электрической энергии (мощности), определенного в порядке, предусмотренном настоящим пунктом. При этом изменение варианта цены (тарифа) на услуги по передаче электрической энергии, применяемого в отношении соответствующего потребителя электрической энергии (мощности) в соответствии с </w:t>
      </w:r>
      <w:hyperlink w:history="0" r:id="rId245"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Основами</w:t>
        </w:r>
      </w:hyperlink>
      <w:r>
        <w:rPr>
          <w:sz w:val="20"/>
        </w:rPr>
        <w:t xml:space="preserve"> ценообразования в области регулируемых цен (тарифов) в электроэнергетике, по истечении 1 месяца со дня официального опубликования решений органов исполнительной власти субъектов Российской Федерации в области государственного регулирования тарифов об установлении соответствующих цен (тарифов) допускается только при согласовании потребителем услуг указанного изменения с сетевой организацией. Сетевая организация не вправе требовать применения иного способа определения обязательств по оплате услуг по передаче электрической энергии гарантирующего поставщика (энергосбытовой, энергоснабжающей организации).</w:t>
      </w:r>
    </w:p>
    <w:p>
      <w:pPr>
        <w:pStyle w:val="0"/>
        <w:spacing w:before="200" w:line-rule="auto"/>
        <w:ind w:firstLine="540"/>
        <w:jc w:val="both"/>
      </w:pPr>
      <w:r>
        <w:rPr>
          <w:sz w:val="20"/>
        </w:rPr>
        <w:t xml:space="preserve">В случае если в качестве потребителя услуг по передаче электрической энергии выступает сетевая организация, объем услуг по передаче электрической энергии, оказанных другой сетевой организацией, в том числе организацией по управлению единой национальной (общероссийской) электрической сетью, определяется в отношении объектов электросетевого хозяйства в соответствии с настоящим пунктом в зависимости от применяемого в соответствии с </w:t>
      </w:r>
      <w:hyperlink w:history="0" r:id="rId246"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Основами ценообразования</w:t>
        </w:r>
      </w:hyperlink>
      <w:r>
        <w:rPr>
          <w:sz w:val="20"/>
        </w:rPr>
        <w:t xml:space="preserve"> в области регулируемых цен (тарифов) в электроэнергетике к потребителю услуг варианта цены (тарифа) на услуги по передаче электрической энергии в следующем порядке:</w:t>
      </w:r>
    </w:p>
    <w:p>
      <w:pPr>
        <w:pStyle w:val="0"/>
        <w:spacing w:before="200" w:line-rule="auto"/>
        <w:ind w:firstLine="540"/>
        <w:jc w:val="both"/>
      </w:pPr>
      <w:r>
        <w:rPr>
          <w:sz w:val="20"/>
        </w:rPr>
        <w:t xml:space="preserve">объем услуг по передаче электрической энергии, оплачиваемых потребителем услуг за расчетный период по одноставочной цене (тарифу) на услуги по передаче электрической энергии, а также объем услуг по передаче электрической энергии, оплачиваемых потребителем услуг за расчетный период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определяются в порядке, предусмотренном настоящим пунктом для определения такого объема услуг по передаче электрической энергии, оплачиваемых потребителями электрической энергии (мощности);</w:t>
      </w:r>
    </w:p>
    <w:p>
      <w:pPr>
        <w:pStyle w:val="0"/>
        <w:spacing w:before="200" w:line-rule="auto"/>
        <w:ind w:firstLine="540"/>
        <w:jc w:val="both"/>
      </w:pPr>
      <w:r>
        <w:rPr>
          <w:sz w:val="20"/>
        </w:rPr>
        <w:t xml:space="preserve">объем услуг по передаче электрической энергии, оплачиваемых потребителем услуг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равен величине заявленной мощности, определенной в соответствии с </w:t>
      </w:r>
      <w:hyperlink w:history="0" w:anchor="P477" w:tooltip="38. Договор между смежными сетевыми организациями должен содержать следующие существенные условия:">
        <w:r>
          <w:rPr>
            <w:sz w:val="20"/>
            <w:color w:val="0000ff"/>
          </w:rPr>
          <w:t xml:space="preserve">пунктом 38</w:t>
        </w:r>
      </w:hyperlink>
      <w:r>
        <w:rPr>
          <w:sz w:val="20"/>
        </w:rPr>
        <w:t xml:space="preserve"> настоящих Правил.</w:t>
      </w:r>
    </w:p>
    <w:p>
      <w:pPr>
        <w:pStyle w:val="0"/>
        <w:spacing w:before="200" w:line-rule="auto"/>
        <w:ind w:firstLine="540"/>
        <w:jc w:val="both"/>
      </w:pPr>
      <w:r>
        <w:rPr>
          <w:sz w:val="20"/>
        </w:rPr>
        <w:t xml:space="preserve">Объемы потребления электрической энергии для целей настоящего пункта определяются в порядке, установленном </w:t>
      </w:r>
      <w:hyperlink w:history="0" r:id="rId247" w:tooltip="Постановление Правительства РФ от 27.12.2010 N 1172 (ред. от 01.06.2022)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quot; {КонсультантПлюс}">
        <w:r>
          <w:rPr>
            <w:sz w:val="20"/>
            <w:color w:val="0000ff"/>
          </w:rPr>
          <w:t xml:space="preserve">Правилами</w:t>
        </w:r>
      </w:hyperlink>
      <w:r>
        <w:rPr>
          <w:sz w:val="20"/>
        </w:rPr>
        <w:t xml:space="preserve"> оптового рынка электрической энергии и мощности - для субъектов оптового рынка и </w:t>
      </w:r>
      <w:hyperlink w:history="0" r:id="rId248"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Основными положениями</w:t>
        </w:r>
      </w:hyperlink>
      <w:r>
        <w:rPr>
          <w:sz w:val="20"/>
        </w:rPr>
        <w:t xml:space="preserve"> функционирования розничных рынков электрической энергии - для субъектов розничных рынков.</w:t>
      </w:r>
    </w:p>
    <w:p>
      <w:pPr>
        <w:pStyle w:val="0"/>
        <w:spacing w:before="200" w:line-rule="auto"/>
        <w:ind w:firstLine="540"/>
        <w:jc w:val="both"/>
      </w:pPr>
      <w:r>
        <w:rPr>
          <w:sz w:val="20"/>
        </w:rPr>
        <w:t xml:space="preserve">В случае нарушения сетевой организацией обязанностей по обеспечению коммерческого учета электрической энергии (мощности) на розничных рынках электрической энергии (мощности) и для оказания коммунальных услуг по электроснабжению, предусмотренных </w:t>
      </w:r>
      <w:hyperlink w:history="0" r:id="rId249" w:tooltip="Федеральный закон от 26.03.2003 N 35-ФЗ (ред. от 11.06.2022) &quot;Об электроэнергетике&quot; (с изм. и доп., вступ. в силу с 01.07.2022) {КонсультантПлюс}">
        <w:r>
          <w:rPr>
            <w:sz w:val="20"/>
            <w:color w:val="0000ff"/>
          </w:rPr>
          <w:t xml:space="preserve">пунктом 5 статьи 37</w:t>
        </w:r>
      </w:hyperlink>
      <w:r>
        <w:rPr>
          <w:sz w:val="20"/>
        </w:rPr>
        <w:t xml:space="preserve"> Федерального закона "Об электроэнергетике", стоимость услуг по передаче электрической энергии определяется с учетом особенностей, установленных </w:t>
      </w:r>
      <w:hyperlink w:history="0" r:id="rId250"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разделом X</w:t>
        </w:r>
      </w:hyperlink>
      <w:r>
        <w:rPr>
          <w:sz w:val="20"/>
        </w:rPr>
        <w:t xml:space="preserve"> Основных положений функционирования розничных рынков электрической энергии и </w:t>
      </w:r>
      <w:hyperlink w:history="0" r:id="rId251" w:tooltip="Постановление Правительства РФ от 06.05.2011 N 354 (ред. от 28.04.2022)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разделом VII</w:t>
        </w:r>
      </w:hyperlink>
      <w:r>
        <w:rPr>
          <w:sz w:val="20"/>
        </w:rP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pPr>
        <w:pStyle w:val="0"/>
        <w:jc w:val="both"/>
      </w:pPr>
      <w:r>
        <w:rPr>
          <w:sz w:val="20"/>
        </w:rPr>
        <w:t xml:space="preserve">(абзац введен </w:t>
      </w:r>
      <w:hyperlink w:history="0" r:id="rId252"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29.06.2020 N 950)</w:t>
      </w:r>
    </w:p>
    <w:p>
      <w:pPr>
        <w:pStyle w:val="0"/>
        <w:jc w:val="both"/>
      </w:pPr>
      <w:r>
        <w:rPr>
          <w:sz w:val="20"/>
        </w:rPr>
        <w:t xml:space="preserve">(п. 15(1) в ред. </w:t>
      </w:r>
      <w:hyperlink w:history="0" r:id="rId253" w:tooltip="Постановление Правительства РФ от 31.07.2014 N 740 &quot;О внесении изменений в постановление Правительства Российской Федерации от 27 декабря 2004 г. N 861 в целях уточнения порядка определения объема услуг по передаче электрической энергии, оплачиваемых потребителями услуг&quot; {КонсультантПлюс}">
        <w:r>
          <w:rPr>
            <w:sz w:val="20"/>
            <w:color w:val="0000ff"/>
          </w:rPr>
          <w:t xml:space="preserve">Постановления</w:t>
        </w:r>
      </w:hyperlink>
      <w:r>
        <w:rPr>
          <w:sz w:val="20"/>
        </w:rPr>
        <w:t xml:space="preserve"> Правительства РФ от 31.07.2014 N 740)</w:t>
      </w:r>
    </w:p>
    <w:p>
      <w:pPr>
        <w:pStyle w:val="0"/>
        <w:spacing w:before="200" w:line-rule="auto"/>
        <w:ind w:firstLine="540"/>
        <w:jc w:val="both"/>
      </w:pPr>
      <w:r>
        <w:rPr>
          <w:sz w:val="20"/>
        </w:rPr>
        <w:t xml:space="preserve">15(2). При расчете и применении цены (тарифа) на услуги по передаче электрической энергии, дифференцированной по уровням напряжения в соответствии с </w:t>
      </w:r>
      <w:hyperlink w:history="0" r:id="rId254"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Основами ценообразования</w:t>
        </w:r>
      </w:hyperlink>
      <w:r>
        <w:rPr>
          <w:sz w:val="20"/>
        </w:rPr>
        <w:t xml:space="preserve"> в области регулируемых цен (тарифов) в электроэнергетике, уровень напряжения в отношении каждой точки поставки определяется в следующем порядке:</w:t>
      </w:r>
    </w:p>
    <w:p>
      <w:pPr>
        <w:pStyle w:val="0"/>
        <w:spacing w:before="200" w:line-rule="auto"/>
        <w:ind w:firstLine="540"/>
        <w:jc w:val="both"/>
      </w:pPr>
      <w:r>
        <w:rPr>
          <w:sz w:val="20"/>
        </w:rPr>
        <w:t xml:space="preserve">в случае если энергопринимающее устройство потребителя электрической энергии (мощности) расположено в субъекте Российской Федерации, на территории которого введен в соответствии с </w:t>
      </w:r>
      <w:hyperlink w:history="0" r:id="rId255"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Основами ценообразования</w:t>
        </w:r>
      </w:hyperlink>
      <w:r>
        <w:rPr>
          <w:sz w:val="20"/>
        </w:rPr>
        <w:t xml:space="preserve"> в области регулируемых цен (тарифов) в электроэнергетике уровень напряжения ВН1, и присоединено, в том числе опосредованно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через бесхозяйные объекты электросетевого хозяйства к объектам электросетевого хозяйства, переданным в аренду организацией по управлению единой национальной (общероссийской) электрической сетью, принимается уровень напряжения ВН1;</w:t>
      </w:r>
    </w:p>
    <w:p>
      <w:pPr>
        <w:pStyle w:val="0"/>
        <w:spacing w:before="200" w:line-rule="auto"/>
        <w:ind w:firstLine="540"/>
        <w:jc w:val="both"/>
      </w:pPr>
      <w:r>
        <w:rPr>
          <w:sz w:val="20"/>
        </w:rPr>
        <w:t xml:space="preserve">в иных случаях, если граница раздела балансовой принадлежности объектов электросетевого хозяйства сетевой организации и энергопринимающих устройств и (или) иных объектов электроэнергетики потребителя электрической энергии (мощности) установлена на объектах электросетевого хозяйства, на которых происходит преобразование уровней напряжения (трансформация), принимается уровень напряжения, соответствующий значению питающего (высшего) напряжения указанных объектов электросетевого хозяйства;</w:t>
      </w:r>
    </w:p>
    <w:p>
      <w:pPr>
        <w:pStyle w:val="0"/>
        <w:spacing w:before="200" w:line-rule="auto"/>
        <w:ind w:firstLine="540"/>
        <w:jc w:val="both"/>
      </w:pPr>
      <w:r>
        <w:rPr>
          <w:sz w:val="20"/>
        </w:rPr>
        <w:t xml:space="preserve">в иных случаях, если энергопринимающее устройство и (или) иные объекты электроэнергетики потребителя электрической энергии (мощности)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принимается наиболее высокий уровень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w:t>
      </w:r>
    </w:p>
    <w:p>
      <w:pPr>
        <w:pStyle w:val="0"/>
        <w:spacing w:before="200" w:line-rule="auto"/>
        <w:ind w:firstLine="540"/>
        <w:jc w:val="both"/>
      </w:pPr>
      <w:r>
        <w:rPr>
          <w:sz w:val="20"/>
        </w:rPr>
        <w:t xml:space="preserve">в иных случаях принимается уровень напряжения, на котором подключены энергопринимающие устройства и (или) иные объекты электроэнергетики потребителя электрической энергии (мощности), а в случае, если такие энергопринимающие устройства и (или) иные объекты электроэнергетики потребителя электрической энергии (мощности) подключены к объектам электросетевого хозяйства сетевой организации опосредованно через объекты электросетевого хозяйства лиц, не оказывающих услуги по передаче электрической энергии, или через бесхозяйные объекты электросетевого хозяйства, принимается уровень напряжения, на котором подключены объекты указанных лиц или бесхозяйные объекты к объектам электросетевого хозяйства сетевой организации.</w:t>
      </w:r>
    </w:p>
    <w:p>
      <w:pPr>
        <w:pStyle w:val="0"/>
        <w:spacing w:before="200" w:line-rule="auto"/>
        <w:ind w:firstLine="540"/>
        <w:jc w:val="both"/>
      </w:pPr>
      <w:r>
        <w:rPr>
          <w:sz w:val="20"/>
        </w:rPr>
        <w:t xml:space="preserve">Положения настоящего пункта не распространяются на население и приравненных к нему категорий потребителей.</w:t>
      </w:r>
    </w:p>
    <w:p>
      <w:pPr>
        <w:pStyle w:val="0"/>
        <w:spacing w:before="200" w:line-rule="auto"/>
        <w:ind w:firstLine="540"/>
        <w:jc w:val="both"/>
      </w:pPr>
      <w:r>
        <w:rPr>
          <w:sz w:val="20"/>
        </w:rPr>
        <w:t xml:space="preserve">Абзацы седьмой - десятый утратили силу. - </w:t>
      </w:r>
      <w:hyperlink w:history="0" r:id="rId256" w:tooltip="Постановление Правительства РФ от 21.12.2016 N 1419 &quot;О внесении изменений в Правила недискриминационного доступа к услугам по передаче электрической энергии и оказания этих услуг по вопросам синхронизации расчетов за услуги по передаче электрической энергии&quot; {КонсультантПлюс}">
        <w:r>
          <w:rPr>
            <w:sz w:val="20"/>
            <w:color w:val="0000ff"/>
          </w:rPr>
          <w:t xml:space="preserve">Постановление</w:t>
        </w:r>
      </w:hyperlink>
      <w:r>
        <w:rPr>
          <w:sz w:val="20"/>
        </w:rPr>
        <w:t xml:space="preserve"> Правительства РФ от 21.12.2016 N 1419.</w:t>
      </w:r>
    </w:p>
    <w:p>
      <w:pPr>
        <w:pStyle w:val="0"/>
        <w:spacing w:before="200" w:line-rule="auto"/>
        <w:ind w:firstLine="540"/>
        <w:jc w:val="both"/>
      </w:pPr>
      <w:r>
        <w:rPr>
          <w:sz w:val="20"/>
        </w:rPr>
        <w:t xml:space="preserve">В случае возникновения оснований для уплаты потребителю электрической энергии (мощности) сетевой организацией неустойки, предусмотренной </w:t>
      </w:r>
      <w:hyperlink w:history="0" w:anchor="P835" w:tooltip="ПРАВИЛА">
        <w:r>
          <w:rPr>
            <w:sz w:val="20"/>
            <w:color w:val="0000ff"/>
          </w:rPr>
          <w:t xml:space="preserve">Правилами</w:t>
        </w:r>
      </w:hyperlink>
      <w:r>
        <w:rPr>
          <w:sz w:val="20"/>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сетевая организация не вправе требовать от потребителя оплаты оказанных услуг по передаче электрической энергии до уплаты потребителю указанной неустойки. Потребитель электрической энергии (мощности) обязан оплатить услуги по передаче электрической энергии, оказанные такой сетевой организацией, в течение 3 рабочих дней с даты уплаты сетевой организацией потребителю указанной неустойки.</w:t>
      </w:r>
    </w:p>
    <w:p>
      <w:pPr>
        <w:pStyle w:val="0"/>
        <w:jc w:val="both"/>
      </w:pPr>
      <w:r>
        <w:rPr>
          <w:sz w:val="20"/>
        </w:rPr>
        <w:t xml:space="preserve">(абзац введен </w:t>
      </w:r>
      <w:hyperlink w:history="0" r:id="rId257" w:tooltip="Постановление Правительства РФ от 05.10.2016 N 999 (с изм. от 30.06.2022) &quot;О внесении изменений в акты Правительства Российской Федерации по вопросам формирования мер ответственности за несоблюдение сроков осуществления мероприятий по технологическому присоединению&quot; {КонсультантПлюс}">
        <w:r>
          <w:rPr>
            <w:sz w:val="20"/>
            <w:color w:val="0000ff"/>
          </w:rPr>
          <w:t xml:space="preserve">Постановлением</w:t>
        </w:r>
      </w:hyperlink>
      <w:r>
        <w:rPr>
          <w:sz w:val="20"/>
        </w:rPr>
        <w:t xml:space="preserve"> Правительства РФ от 05.10.2016 N 999)</w:t>
      </w:r>
    </w:p>
    <w:p>
      <w:pPr>
        <w:pStyle w:val="0"/>
        <w:jc w:val="both"/>
      </w:pPr>
      <w:r>
        <w:rPr>
          <w:sz w:val="20"/>
        </w:rPr>
        <w:t xml:space="preserve">(п. 15(2) в ред. </w:t>
      </w:r>
      <w:hyperlink w:history="0" r:id="rId258" w:tooltip="Постановление Правительства РФ от 31.07.2014 N 740 &quot;О внесении изменений в постановление Правительства Российской Федерации от 27 декабря 2004 г. N 861 в целях уточнения порядка определения объема услуг по передаче электрической энергии, оплачиваемых потребителями услуг&quot; {КонсультантПлюс}">
        <w:r>
          <w:rPr>
            <w:sz w:val="20"/>
            <w:color w:val="0000ff"/>
          </w:rPr>
          <w:t xml:space="preserve">Постановления</w:t>
        </w:r>
      </w:hyperlink>
      <w:r>
        <w:rPr>
          <w:sz w:val="20"/>
        </w:rPr>
        <w:t xml:space="preserve"> Правительства РФ от 31.07.2014 N 740)</w:t>
      </w:r>
    </w:p>
    <w:bookmarkStart w:id="322" w:name="P322"/>
    <w:bookmarkEnd w:id="322"/>
    <w:p>
      <w:pPr>
        <w:pStyle w:val="0"/>
        <w:spacing w:before="200" w:line-rule="auto"/>
        <w:ind w:firstLine="540"/>
        <w:jc w:val="both"/>
      </w:pPr>
      <w:r>
        <w:rPr>
          <w:sz w:val="20"/>
        </w:rPr>
        <w:t xml:space="preserve">15(3). 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населения и приравненных к нему категорий потребителей, за исключением исполнителей коммунальной услуги, до 12-го числа месяца, следующего за расчетным периодом.</w:t>
      </w:r>
    </w:p>
    <w:bookmarkStart w:id="323" w:name="P323"/>
    <w:bookmarkEnd w:id="323"/>
    <w:p>
      <w:pPr>
        <w:pStyle w:val="0"/>
        <w:spacing w:before="200" w:line-rule="auto"/>
        <w:ind w:firstLine="540"/>
        <w:jc w:val="both"/>
      </w:pPr>
      <w:r>
        <w:rPr>
          <w:sz w:val="20"/>
        </w:rPr>
        <w:t xml:space="preserve">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исполнителей коммунальной услуги, до 17-го числа месяца, следующего за расчетным периодом.</w:t>
      </w:r>
    </w:p>
    <w:bookmarkStart w:id="324" w:name="P324"/>
    <w:bookmarkEnd w:id="324"/>
    <w:p>
      <w:pPr>
        <w:pStyle w:val="0"/>
        <w:spacing w:before="200" w:line-rule="auto"/>
        <w:ind w:firstLine="540"/>
        <w:jc w:val="both"/>
      </w:pPr>
      <w:r>
        <w:rPr>
          <w:sz w:val="20"/>
        </w:rPr>
        <w:t xml:space="preserve">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прочих потребителей, в следующем порядке:</w:t>
      </w:r>
    </w:p>
    <w:p>
      <w:pPr>
        <w:pStyle w:val="0"/>
        <w:spacing w:before="200" w:line-rule="auto"/>
        <w:ind w:firstLine="540"/>
        <w:jc w:val="both"/>
      </w:pPr>
      <w:r>
        <w:rPr>
          <w:sz w:val="20"/>
        </w:rPr>
        <w:t xml:space="preserve">30 процентов стоимости услуг по передаче электрической энергии в подлежащем оплате объеме оказываемых услуг в месяце, за который осуществляется оплата, вносится до 12-го числа этого месяца;</w:t>
      </w:r>
    </w:p>
    <w:bookmarkStart w:id="326" w:name="P326"/>
    <w:bookmarkEnd w:id="326"/>
    <w:p>
      <w:pPr>
        <w:pStyle w:val="0"/>
        <w:spacing w:before="200" w:line-rule="auto"/>
        <w:ind w:firstLine="540"/>
        <w:jc w:val="both"/>
      </w:pPr>
      <w:r>
        <w:rPr>
          <w:sz w:val="20"/>
        </w:rPr>
        <w:t xml:space="preserve">40 процентов стоимости услуг по передаче электрической энергии в подлежащем оплате объеме оказываемых услуг в месяце, за который осуществляется оплата, вносится до 27-го числа этого месяца.</w:t>
      </w:r>
    </w:p>
    <w:p>
      <w:pPr>
        <w:pStyle w:val="0"/>
        <w:spacing w:before="200" w:line-rule="auto"/>
        <w:ind w:firstLine="540"/>
        <w:jc w:val="both"/>
      </w:pPr>
      <w:r>
        <w:rPr>
          <w:sz w:val="20"/>
        </w:rPr>
        <w:t xml:space="preserve">Стоимость услуг по передаче электрической энергии в подлежащем оплате объеме оказываемых услуг в месяце, за который осуществляется оплата, определяется исходя из цен (тарифов) на услуги по передаче электрической энергии, определенных в соответствии с </w:t>
      </w:r>
      <w:hyperlink w:history="0" r:id="rId259"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Основами</w:t>
        </w:r>
      </w:hyperlink>
      <w:r>
        <w:rPr>
          <w:sz w:val="20"/>
        </w:rPr>
        <w:t xml:space="preserve"> ценообразования в области регулируемых цен (тарифов) в электроэнергетике для предшествующего расчетного периода.</w:t>
      </w:r>
    </w:p>
    <w:p>
      <w:pPr>
        <w:pStyle w:val="0"/>
        <w:spacing w:before="200" w:line-rule="auto"/>
        <w:ind w:firstLine="540"/>
        <w:jc w:val="both"/>
      </w:pPr>
      <w:r>
        <w:rPr>
          <w:sz w:val="20"/>
        </w:rPr>
        <w:t xml:space="preserve">Подлежащий оплате объем услуг по передаче электрической энергии в месяце, за который осуществляется оплата, принимается равным определяемому в соответствии с </w:t>
      </w:r>
      <w:hyperlink w:history="0" w:anchor="P294" w:tooltip="15(1). Обязательства потребителя услуг определяются в размере стоимости оказанных услуг, установленном в соответствии с настоящим пунктом.">
        <w:r>
          <w:rPr>
            <w:sz w:val="20"/>
            <w:color w:val="0000ff"/>
          </w:rPr>
          <w:t xml:space="preserve">пунктом 15(1)</w:t>
        </w:r>
      </w:hyperlink>
      <w:r>
        <w:rPr>
          <w:sz w:val="20"/>
        </w:rPr>
        <w:t xml:space="preserve"> настоящих Правил объему услуг по передаче электрической энергии за предшествующий расчетный период.</w:t>
      </w:r>
    </w:p>
    <w:p>
      <w:pPr>
        <w:pStyle w:val="0"/>
        <w:spacing w:before="200" w:line-rule="auto"/>
        <w:ind w:firstLine="540"/>
        <w:jc w:val="both"/>
      </w:pPr>
      <w:r>
        <w:rPr>
          <w:sz w:val="20"/>
        </w:rPr>
        <w:t xml:space="preserve">Потребители услуг по передаче электрической энергии (за исключением гарантирующих поставщиков, энергосбытовых, энергоснабжающих организаций - потребителей услуг по передаче электрической энергии, оказываемых в интересах населения и приравненных к нему категорий потребителей, включая исполнителей коммунальной услуги, а также прочих потребителей) оплачивают 50 процентов стоимости оказываемых им услуг по передаче электрической энергии на условиях предоплаты.</w:t>
      </w:r>
    </w:p>
    <w:bookmarkStart w:id="330" w:name="P330"/>
    <w:bookmarkEnd w:id="330"/>
    <w:p>
      <w:pPr>
        <w:pStyle w:val="0"/>
        <w:spacing w:before="200" w:line-rule="auto"/>
        <w:ind w:firstLine="540"/>
        <w:jc w:val="both"/>
      </w:pPr>
      <w:r>
        <w:rPr>
          <w:sz w:val="20"/>
        </w:rPr>
        <w:t xml:space="preserve">Стоимость объема услуг по передаче электрической энергии, оказываемых в интересах потребителей электрической энергии (мощности) (за исключением населения и приравненных к нему категорий потребителей, включая исполнителей коммунальной услуги), за расчетный период, уменьшенная на величину средств, внесенных потребителем услуг по передаче электрической энергии в качестве оплаты оказанных услуг по передаче электрической энергии в месяце, за который осуществляется оплата, либо на условиях предоплаты, оплачивается до 20-го числа месяца, следующего за расчетным периодом.</w:t>
      </w:r>
    </w:p>
    <w:p>
      <w:pPr>
        <w:pStyle w:val="0"/>
        <w:spacing w:before="200" w:line-rule="auto"/>
        <w:ind w:firstLine="540"/>
        <w:jc w:val="both"/>
      </w:pPr>
      <w:r>
        <w:rPr>
          <w:sz w:val="20"/>
        </w:rPr>
        <w:t xml:space="preserve">Излишне уплаченная за услуги по передаче электрической энергии сумма засчитывается в счет платежа, подлежащего уплате за следующий месяц.</w:t>
      </w:r>
    </w:p>
    <w:p>
      <w:pPr>
        <w:pStyle w:val="0"/>
        <w:jc w:val="both"/>
      </w:pPr>
      <w:r>
        <w:rPr>
          <w:sz w:val="20"/>
        </w:rPr>
        <w:t xml:space="preserve">(п. 15(3) в ред. </w:t>
      </w:r>
      <w:hyperlink w:history="0" r:id="rId260" w:tooltip="Постановление Правительства РФ от 21.12.2016 N 1419 &quot;О внесении изменений в Правила недискриминационного доступа к услугам по передаче электрической энергии и оказания этих услуг по вопросам синхронизации расчетов за услуги по передаче электрической энергии&quot; {КонсультантПлюс}">
        <w:r>
          <w:rPr>
            <w:sz w:val="20"/>
            <w:color w:val="0000ff"/>
          </w:rPr>
          <w:t xml:space="preserve">Постановления</w:t>
        </w:r>
      </w:hyperlink>
      <w:r>
        <w:rPr>
          <w:sz w:val="20"/>
        </w:rPr>
        <w:t xml:space="preserve"> Правительства РФ от 21.12.2016 N 1419)</w:t>
      </w:r>
    </w:p>
    <w:p>
      <w:pPr>
        <w:pStyle w:val="0"/>
        <w:spacing w:before="200" w:line-rule="auto"/>
        <w:ind w:firstLine="540"/>
        <w:jc w:val="both"/>
      </w:pPr>
      <w:r>
        <w:rPr>
          <w:sz w:val="20"/>
        </w:rPr>
        <w:t xml:space="preserve">15(4). Для потребителя услуг (потребителей услуг,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объем оказываемых услуг по передаче электрической энергии которому является преимущественным для территориальной сетевой организации, соответствующей установленным Правительством Российской Федерации </w:t>
      </w:r>
      <w:hyperlink w:history="0" r:id="rId261"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критериям</w:t>
        </w:r>
      </w:hyperlink>
      <w:r>
        <w:rPr>
          <w:sz w:val="20"/>
        </w:rPr>
        <w:t xml:space="preserve"> отнесения сетевых организаций к сетевым организациям, обслуживающим преимущественно одного потребителя (покупателя, действующего в интересах такого потребителя), стоимость услуги по передаче электрической энергии определяется и оплачивается исходя из объема (объемов) оказанных услуг по передаче электрической энергии, определяемого в соответствии с </w:t>
      </w:r>
      <w:hyperlink w:history="0" w:anchor="P294" w:tooltip="15(1). Обязательства потребителя услуг определяются в размере стоимости оказанных услуг, установленном в соответствии с настоящим пунктом.">
        <w:r>
          <w:rPr>
            <w:sz w:val="20"/>
            <w:color w:val="0000ff"/>
          </w:rPr>
          <w:t xml:space="preserve">пунктом 15(1)</w:t>
        </w:r>
      </w:hyperlink>
      <w:r>
        <w:rPr>
          <w:sz w:val="20"/>
        </w:rPr>
        <w:t xml:space="preserve"> настоящих Правил, цен (тарифов) на услуги по передаче электрической энергии для сетевой организации, обслуживающей преимущественно одного потребителя, и цен (тарифов) на услуги по передаче электрической энергии прочих сетевых организаций, объекты электросетевого хозяйства которых используются для передачи электрической энергии такому потребителю. В случае если прочими сетевыми организациями, объекты электросетевого хозяйства которых используются для передачи электрической энергии такому потребителю, являются в том числе территориальные сетевые организации, оплата оказываемых ими услуг осуществляется по установленному на территории соответствующего субъекта Российской Федерации единому котловому тарифу на услуги по передаче электрической энергии.</w:t>
      </w:r>
    </w:p>
    <w:p>
      <w:pPr>
        <w:pStyle w:val="0"/>
        <w:jc w:val="both"/>
      </w:pPr>
      <w:r>
        <w:rPr>
          <w:sz w:val="20"/>
        </w:rPr>
        <w:t xml:space="preserve">(п. 15(4) в ред. </w:t>
      </w:r>
      <w:hyperlink w:history="0" r:id="rId262" w:tooltip="Постановление Правительства РФ от 07.07.2015 N 680 &quot;О внесении изменений в некоторые акты Правительства Российской Федерации по вопросам оплаты услуг по передаче электрической энергии отдельными категориями потребителей&quot; {КонсультантПлюс}">
        <w:r>
          <w:rPr>
            <w:sz w:val="20"/>
            <w:color w:val="0000ff"/>
          </w:rPr>
          <w:t xml:space="preserve">Постановления</w:t>
        </w:r>
      </w:hyperlink>
      <w:r>
        <w:rPr>
          <w:sz w:val="20"/>
        </w:rPr>
        <w:t xml:space="preserve"> Правительства РФ от 07.07.2015 N 680)</w:t>
      </w:r>
    </w:p>
    <w:bookmarkStart w:id="335" w:name="P335"/>
    <w:bookmarkEnd w:id="335"/>
    <w:p>
      <w:pPr>
        <w:pStyle w:val="0"/>
        <w:spacing w:before="200" w:line-rule="auto"/>
        <w:ind w:firstLine="540"/>
        <w:jc w:val="both"/>
      </w:pPr>
      <w:r>
        <w:rPr>
          <w:sz w:val="20"/>
        </w:rPr>
        <w:t xml:space="preserve">15(5). Расчеты между сетевой организацией и потребителем услуг по передаче электрической энергии - гарантирующим поставщиком при получении сетевой организацией уведомления от указанного потребителя об одностороннем отказе от исполнения договора в связи с планируемым заключением соглашения о передаче функций гарантирующего поставщика в соответствии с </w:t>
      </w:r>
      <w:hyperlink w:history="0" r:id="rId263"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пунктом 227(1)</w:t>
        </w:r>
      </w:hyperlink>
      <w:r>
        <w:rPr>
          <w:sz w:val="20"/>
        </w:rPr>
        <w:t xml:space="preserve"> Основных положений функционирования розничных рынков электрической энергии осуществляются на основании счета, который сетевая организация в течение 5 рабочих дней со дня получения указанного уведомления обязана направить такому потребителю. Указанный счет включает в себя:</w:t>
      </w:r>
    </w:p>
    <w:p>
      <w:pPr>
        <w:pStyle w:val="0"/>
        <w:spacing w:before="200" w:line-rule="auto"/>
        <w:ind w:firstLine="540"/>
        <w:jc w:val="both"/>
      </w:pPr>
      <w:r>
        <w:rPr>
          <w:sz w:val="20"/>
        </w:rPr>
        <w:t xml:space="preserve">сумму задолженности потребителя услуг по передаче электрической энергии - гарантирующего поставщика по договору, об одностороннем отказе от исполнения которого указано в уведомлении такого потребителя, на дату получения уведомления (при ее наличии);</w:t>
      </w:r>
    </w:p>
    <w:p>
      <w:pPr>
        <w:pStyle w:val="0"/>
        <w:spacing w:before="200" w:line-rule="auto"/>
        <w:ind w:firstLine="540"/>
        <w:jc w:val="both"/>
      </w:pPr>
      <w:r>
        <w:rPr>
          <w:sz w:val="20"/>
        </w:rPr>
        <w:t xml:space="preserve">стоимость услуг по передаче электрической энергии, рассчитанную исходя из тарифа на услуги по передаче электрической энергии, определяемого в соответствии с </w:t>
      </w:r>
      <w:hyperlink w:history="0" w:anchor="P536" w:tooltip="V. Порядок установления тарифов на услуги по передаче">
        <w:r>
          <w:rPr>
            <w:sz w:val="20"/>
            <w:color w:val="0000ff"/>
          </w:rPr>
          <w:t xml:space="preserve">разделом V</w:t>
        </w:r>
      </w:hyperlink>
      <w:r>
        <w:rPr>
          <w:sz w:val="20"/>
        </w:rPr>
        <w:t xml:space="preserve"> настоящих Правил, и прогнозируемого сетевой организацией объема услуг по передаче электрической энергии, которые будут оказаны по договору до заявляемой в уведомлении даты расторжения договора, определяемого исходя из объема услуг, оказанных в расчетном периоде, предшествующем периоду, в котором выставлен счет, за вычетом суммы произведенных гарантирующим поставщиком платежей в соответствии с </w:t>
      </w:r>
      <w:hyperlink w:history="0" w:anchor="P324" w:tooltip="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прочих потребителей, в следующем порядке:">
        <w:r>
          <w:rPr>
            <w:sz w:val="20"/>
            <w:color w:val="0000ff"/>
          </w:rPr>
          <w:t xml:space="preserve">абзацами третьим</w:t>
        </w:r>
      </w:hyperlink>
      <w:r>
        <w:rPr>
          <w:sz w:val="20"/>
        </w:rPr>
        <w:t xml:space="preserve"> - </w:t>
      </w:r>
      <w:hyperlink w:history="0" w:anchor="P326" w:tooltip="40 процентов стоимости услуг по передаче электрической энергии в подлежащем оплате объеме оказываемых услуг в месяце, за который осуществляется оплата, вносится до 27-го числа этого месяца.">
        <w:r>
          <w:rPr>
            <w:sz w:val="20"/>
            <w:color w:val="0000ff"/>
          </w:rPr>
          <w:t xml:space="preserve">пятым пункта 15(3)</w:t>
        </w:r>
      </w:hyperlink>
      <w:r>
        <w:rPr>
          <w:sz w:val="20"/>
        </w:rPr>
        <w:t xml:space="preserve"> настоящих Правил.</w:t>
      </w:r>
    </w:p>
    <w:p>
      <w:pPr>
        <w:pStyle w:val="0"/>
        <w:spacing w:before="200" w:line-rule="auto"/>
        <w:ind w:firstLine="540"/>
        <w:jc w:val="both"/>
      </w:pPr>
      <w:r>
        <w:rPr>
          <w:sz w:val="20"/>
        </w:rPr>
        <w:t xml:space="preserve">Выставленный в соответствии с </w:t>
      </w:r>
      <w:hyperlink w:history="0" w:anchor="P335" w:tooltip="15(5). Расчеты между сетевой организацией и потребителем услуг по передаче электрической энергии - гарантирующим поставщиком при получении сетевой организацией уведомления от указанного потребителя об одностороннем отказе от исполнения договора в связи с планируемым заключением соглашения о передаче функций гарантирующего поставщика в соответствии с пунктом 227(1) Основных положений функционирования розничных рынков электрической энергии осуществляются на основании счета, который сетевая организация в те...">
        <w:r>
          <w:rPr>
            <w:sz w:val="20"/>
            <w:color w:val="0000ff"/>
          </w:rPr>
          <w:t xml:space="preserve">абзацем первым</w:t>
        </w:r>
      </w:hyperlink>
      <w:r>
        <w:rPr>
          <w:sz w:val="20"/>
        </w:rPr>
        <w:t xml:space="preserve"> настоящего пункта счет должен быть оплачен потребителем услуг по передаче электрической энергии - гарантирующим поставщиком не позднее 15 рабочих дней до заявленной в уведомлении даты расторжения договора.</w:t>
      </w:r>
    </w:p>
    <w:p>
      <w:pPr>
        <w:pStyle w:val="0"/>
        <w:spacing w:before="200" w:line-rule="auto"/>
        <w:ind w:firstLine="540"/>
        <w:jc w:val="both"/>
      </w:pPr>
      <w:r>
        <w:rPr>
          <w:sz w:val="20"/>
        </w:rPr>
        <w:t xml:space="preserve">Для осуществления окончательных расчетов за оказанные услуги по передаче электрической энергии потребитель и сетевая организация в соответствии с </w:t>
      </w:r>
      <w:hyperlink w:history="0" r:id="rId264"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Основными положениями</w:t>
        </w:r>
      </w:hyperlink>
      <w:r>
        <w:rPr>
          <w:sz w:val="20"/>
        </w:rPr>
        <w:t xml:space="preserve"> функционирования розничных рынков электрической энергии и договором обязаны обеспечить предоставление показаний приборов учета электрической энергии и мощности, используемых для расчетов по договору, на день его расторжения.</w:t>
      </w:r>
    </w:p>
    <w:p>
      <w:pPr>
        <w:pStyle w:val="0"/>
        <w:spacing w:before="200" w:line-rule="auto"/>
        <w:ind w:firstLine="540"/>
        <w:jc w:val="both"/>
      </w:pPr>
      <w:r>
        <w:rPr>
          <w:sz w:val="20"/>
        </w:rPr>
        <w:t xml:space="preserve">Окончательные расчеты за услуги по передаче электрической энергии должны быть произведены сторонами договора в сроки, предусмотренные </w:t>
      </w:r>
      <w:hyperlink w:history="0" w:anchor="P322" w:tooltip="15(3). 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населения и приравненных к нему категорий потребителей, за исключением исполнителей коммунальной услуги, до 12-го числа месяца, следующего за расчетным периодом.">
        <w:r>
          <w:rPr>
            <w:sz w:val="20"/>
            <w:color w:val="0000ff"/>
          </w:rPr>
          <w:t xml:space="preserve">абзацами первым</w:t>
        </w:r>
      </w:hyperlink>
      <w:r>
        <w:rPr>
          <w:sz w:val="20"/>
        </w:rPr>
        <w:t xml:space="preserve">, </w:t>
      </w:r>
      <w:hyperlink w:history="0" w:anchor="P323" w:tooltip="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исполнителей коммунальной услуги, до 17-го числа месяца, следующего за расчетным периодом.">
        <w:r>
          <w:rPr>
            <w:sz w:val="20"/>
            <w:color w:val="0000ff"/>
          </w:rPr>
          <w:t xml:space="preserve">вторым</w:t>
        </w:r>
      </w:hyperlink>
      <w:r>
        <w:rPr>
          <w:sz w:val="20"/>
        </w:rPr>
        <w:t xml:space="preserve"> и </w:t>
      </w:r>
      <w:hyperlink w:history="0" w:anchor="P330" w:tooltip="Стоимость объема услуг по передаче электрической энергии, оказываемых в интересах потребителей электрической энергии (мощности) (за исключением населения и приравненных к нему категорий потребителей, включая исполнителей коммунальной услуги), за расчетный период, уменьшенная на величину средств, внесенных потребителем услуг по передаче электрической энергии в качестве оплаты оказанных услуг по передаче электрической энергии в месяце, за который осуществляется оплата, либо на условиях предоплаты, оплачива...">
        <w:r>
          <w:rPr>
            <w:sz w:val="20"/>
            <w:color w:val="0000ff"/>
          </w:rPr>
          <w:t xml:space="preserve">девятым пункта 15(3)</w:t>
        </w:r>
      </w:hyperlink>
      <w:r>
        <w:rPr>
          <w:sz w:val="20"/>
        </w:rPr>
        <w:t xml:space="preserve"> настоящих Правил.</w:t>
      </w:r>
    </w:p>
    <w:p>
      <w:pPr>
        <w:pStyle w:val="0"/>
        <w:jc w:val="both"/>
      </w:pPr>
      <w:r>
        <w:rPr>
          <w:sz w:val="20"/>
        </w:rPr>
        <w:t xml:space="preserve">(п. 15(5) введен </w:t>
      </w:r>
      <w:hyperlink w:history="0" r:id="rId265" w:tooltip="Постановление Правительства РФ от 22.06.2019 N 800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22.06.2019 N 800)</w:t>
      </w:r>
    </w:p>
    <w:p>
      <w:pPr>
        <w:pStyle w:val="0"/>
        <w:spacing w:before="200" w:line-rule="auto"/>
        <w:ind w:firstLine="540"/>
        <w:jc w:val="both"/>
      </w:pPr>
      <w:r>
        <w:rPr>
          <w:sz w:val="20"/>
        </w:rPr>
        <w:t xml:space="preserve">16. В случае отклонения потребителя услуг от установленных договором значений соотношения потребления активной и реактивной мощности в результате участия в регулировании реактивной мощности по соглашению с сетевой организацией он оплачивает услуги по передаче электрической энергии, в том числе в составе конечного тарифа (цены) на электрическую энергию, поставляемую ему по договору энергоснабжения, с учетом понижающего коэффициента, устанавливаемого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pPr>
        <w:pStyle w:val="0"/>
        <w:spacing w:before="200" w:line-rule="auto"/>
        <w:ind w:firstLine="540"/>
        <w:jc w:val="both"/>
      </w:pPr>
      <w:r>
        <w:rPr>
          <w:sz w:val="20"/>
        </w:rPr>
        <w:t xml:space="preserve">По факту выявления сетевой организацией на основании показаний приборов учета нарушений значений соотношения потребления активной и реактивной мощности составляется акт, который направляется потребителю. Потребитель электрической энергии в течение 10 рабочих дней с даты получения акта письменно уведомляет о сроке, в течение которого он обеспечит соблюдение установленных характеристик путем самостоятельной установки устройств, обеспечивающих регулирование реактивной мощности, или о невозможности выполнить указанное требование и согласии на применение повышающего коэффициента к стоимости услуг по передаче электрической энергии. Указанный срок не может превышать 6 месяцев. В случае если по истечении 10 рабочих дней уведомление потребителем услуг не направлено, сетевая организация, а также гарантирующий поставщик (энергоснабжающая, энергосбытовая организации) по договору энергоснабжения применяют повышающий коэффициент к тарифу на услуги по передаче электрической энергии (в том числе в составе конечного тарифа (цены) на электрическую энергию). Повышающий коэффициент применяется до установки соответствующих устройств потребителем услуг, допустившим нарушение значений соотношения потребления активной и реактивной мощности.</w:t>
      </w:r>
    </w:p>
    <w:p>
      <w:pPr>
        <w:pStyle w:val="0"/>
        <w:spacing w:before="200" w:line-rule="auto"/>
        <w:ind w:firstLine="540"/>
        <w:jc w:val="both"/>
      </w:pPr>
      <w:r>
        <w:rPr>
          <w:sz w:val="20"/>
        </w:rPr>
        <w:t xml:space="preserve">Размер указанных повышающего и понижающего коэффициентов устанавливается в соответствии с </w:t>
      </w:r>
      <w:hyperlink w:history="0" r:id="rId266" w:tooltip="Приказ ФСТ РФ от 31.08.2010 N 219-э/6 &quot;Об утверждении Методических указаний по расчету повышающих (понижающих) коэффициентов к тарифам на услуги по передаче электрической энергии в зависимости от соотношения потребления активной и реактивной мощности для отдельных энергопринимающих устройств (групп энергопринимающих устройств) потребителей электрической энергии, применяемых для определения обязательств сторон по договорам об оказании услуг по передаче электрической энергии по единой национальной (общероссий {КонсультантПлюс}">
        <w:r>
          <w:rPr>
            <w:sz w:val="20"/>
            <w:color w:val="0000ff"/>
          </w:rPr>
          <w:t xml:space="preserve">методическими указаниями</w:t>
        </w:r>
      </w:hyperlink>
      <w:r>
        <w:rPr>
          <w:sz w:val="20"/>
        </w:rPr>
        <w:t xml:space="preserve">, утверждаемыми федеральным органом исполнительной власти в области государственного регулирования тарифов.</w:t>
      </w:r>
    </w:p>
    <w:p>
      <w:pPr>
        <w:pStyle w:val="0"/>
        <w:spacing w:before="200" w:line-rule="auto"/>
        <w:ind w:firstLine="540"/>
        <w:jc w:val="both"/>
      </w:pPr>
      <w:r>
        <w:rPr>
          <w:sz w:val="20"/>
        </w:rPr>
        <w:t xml:space="preserve">Убытки, возникающие у сетевой организации или третьих лиц в связи с нарушением установленных значений соотношения потребления активной и реактивной мощности, возмещаются лицом, допустившим такое нарушение в соответствии с гражданским законодательством Российской Федерации.</w:t>
      </w:r>
    </w:p>
    <w:p>
      <w:pPr>
        <w:pStyle w:val="0"/>
        <w:spacing w:before="200" w:line-rule="auto"/>
        <w:ind w:firstLine="540"/>
        <w:jc w:val="both"/>
      </w:pPr>
      <w:r>
        <w:rPr>
          <w:sz w:val="20"/>
        </w:rPr>
        <w:t xml:space="preserve">17. В случае установки на энергопринимающих устройствах потребителей услуг устройств релейной защиты и автоматики их сохранность и надежное функционирование, а также возможность своевременного выполнения команд системного оператора (субъекта оперативно-диспетчерского управления технологически изолированной территориальной электроэнергетической системы) обеспечиваются потребителем услуг, если договором не предусмотрено, что указанные действия осуществляет сетевая организация.</w:t>
      </w:r>
    </w:p>
    <w:p>
      <w:pPr>
        <w:pStyle w:val="0"/>
        <w:jc w:val="both"/>
      </w:pPr>
      <w:r>
        <w:rPr>
          <w:sz w:val="20"/>
        </w:rPr>
        <w:t xml:space="preserve">(в ред. Постановлений Правительства РФ от 04.05.2012 </w:t>
      </w:r>
      <w:hyperlink w:history="0" r:id="rId267"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N 442</w:t>
        </w:r>
      </w:hyperlink>
      <w:r>
        <w:rPr>
          <w:sz w:val="20"/>
        </w:rPr>
        <w:t xml:space="preserve">, от 13.08.2018 </w:t>
      </w:r>
      <w:hyperlink w:history="0" r:id="rId268"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N 937</w:t>
        </w:r>
      </w:hyperlink>
      <w:r>
        <w:rPr>
          <w:sz w:val="20"/>
        </w:rPr>
        <w:t xml:space="preserve">)</w:t>
      </w:r>
    </w:p>
    <w:p>
      <w:pPr>
        <w:pStyle w:val="0"/>
        <w:spacing w:before="200" w:line-rule="auto"/>
        <w:ind w:firstLine="540"/>
        <w:jc w:val="both"/>
      </w:pPr>
      <w:r>
        <w:rPr>
          <w:sz w:val="20"/>
        </w:rPr>
        <w:t xml:space="preserve">В случае если при заключении потребителем услуг и сетевой организацией договора об осуществлении технологического присоединения в технические условия для технологического присоединения не были включены требования о подключении энергопринимающих устройств потребителя услуг к устройствам релейной защиты и автоматики, включая устройства специального автоматического отключения нагрузки и устройства, обеспечивающие дистанционный ввод графиков временного отключения потребления в соответствии с диспетчерскими командами субъекта оперативно-диспетчерского управления, соответствующие условия предусматриваются договором между теми же сторонами. Мероприятия по оснащению энергопринимающих устройств потребителей услуг устройствами релейной защиты и автоматики осуществляются в соответствии с требованиями соответствующего субъекта оперативно-диспетчерского управления сетевой организацией на основании указанных условий договора, если иное не установлено соглашением сторон.</w:t>
      </w:r>
    </w:p>
    <w:p>
      <w:pPr>
        <w:pStyle w:val="0"/>
        <w:jc w:val="both"/>
      </w:pPr>
      <w:r>
        <w:rPr>
          <w:sz w:val="20"/>
        </w:rPr>
        <w:t xml:space="preserve">(в ред. </w:t>
      </w:r>
      <w:hyperlink w:history="0" r:id="rId269"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13.08.2018 N 937)</w:t>
      </w:r>
    </w:p>
    <w:p>
      <w:pPr>
        <w:pStyle w:val="0"/>
        <w:spacing w:before="200" w:line-rule="auto"/>
        <w:ind w:firstLine="540"/>
        <w:jc w:val="both"/>
      </w:pPr>
      <w:r>
        <w:rPr>
          <w:sz w:val="20"/>
        </w:rPr>
        <w:t xml:space="preserve">Невыполнение потребителем услуг условий договора, касающихся обеспечения функционирования устройств релейной защиты и автоматики, является основанием для введения ограничения режима потребления электрической энергии такому потребителю и (или) для направления ему предложения о расторжении договора в связи с существенным нарушением потребителем услуг условий договора.</w:t>
      </w:r>
    </w:p>
    <w:p>
      <w:pPr>
        <w:pStyle w:val="0"/>
        <w:jc w:val="both"/>
      </w:pPr>
      <w:r>
        <w:rPr>
          <w:sz w:val="20"/>
        </w:rPr>
        <w:t xml:space="preserve">(в ред. Постановлений Правительства РФ от 04.05.2012 </w:t>
      </w:r>
      <w:hyperlink w:history="0" r:id="rId270"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N 442</w:t>
        </w:r>
      </w:hyperlink>
      <w:r>
        <w:rPr>
          <w:sz w:val="20"/>
        </w:rPr>
        <w:t xml:space="preserve">, от 13.08.2018 </w:t>
      </w:r>
      <w:hyperlink w:history="0" r:id="rId271"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N 937</w:t>
        </w:r>
      </w:hyperlink>
      <w:r>
        <w:rPr>
          <w:sz w:val="20"/>
        </w:rPr>
        <w:t xml:space="preserve">)</w:t>
      </w:r>
    </w:p>
    <w:bookmarkStart w:id="352" w:name="P352"/>
    <w:bookmarkEnd w:id="352"/>
    <w:p>
      <w:pPr>
        <w:pStyle w:val="0"/>
        <w:spacing w:before="200" w:line-rule="auto"/>
        <w:ind w:firstLine="540"/>
        <w:jc w:val="both"/>
      </w:pPr>
      <w:r>
        <w:rPr>
          <w:sz w:val="20"/>
        </w:rPr>
        <w:t xml:space="preserve">18. Лицо, которое намерено заключить договор (далее - заявитель), направляет в сетевую организацию:</w:t>
      </w:r>
    </w:p>
    <w:bookmarkStart w:id="353" w:name="P353"/>
    <w:bookmarkEnd w:id="353"/>
    <w:p>
      <w:pPr>
        <w:pStyle w:val="0"/>
        <w:spacing w:before="200" w:line-rule="auto"/>
        <w:ind w:firstLine="540"/>
        <w:jc w:val="both"/>
      </w:pPr>
      <w:r>
        <w:rPr>
          <w:sz w:val="20"/>
        </w:rPr>
        <w:t xml:space="preserve">а) заявление о заключении договора с указанием следующих сведений, подтверждаемых прилагаемыми к нему копиями документов:</w:t>
      </w:r>
    </w:p>
    <w:p>
      <w:pPr>
        <w:pStyle w:val="0"/>
        <w:spacing w:before="200" w:line-rule="auto"/>
        <w:ind w:firstLine="540"/>
        <w:jc w:val="both"/>
      </w:pPr>
      <w:r>
        <w:rPr>
          <w:sz w:val="20"/>
        </w:rPr>
        <w:t xml:space="preserve">в отношении заявителей (потребителей электрической энергии) - физических лиц, за исключением индивидуальных предпринимателей, - фамилия, имя и отчество, дата и номер договора энергоснабжения, место нахождения энергопринимающих устройств, в отношении которых заявитель намерен заключить договор;</w:t>
      </w:r>
    </w:p>
    <w:p>
      <w:pPr>
        <w:pStyle w:val="0"/>
        <w:spacing w:before="200" w:line-rule="auto"/>
        <w:ind w:firstLine="540"/>
        <w:jc w:val="both"/>
      </w:pPr>
      <w:r>
        <w:rPr>
          <w:sz w:val="20"/>
        </w:rPr>
        <w:t xml:space="preserve">в отношении заявителей (потребителей электрической энергии) - юридических лиц и индивидуальных предпринимателей - наименование, идентификационный номер налогоплательщика, дата и номер договора энергоснабжения (договора купли-продажи (поставки) электрической энергии (мощности)), заключенного на оптовом и (или) розничном рынках электрической энергии, место нахождения заявителя, место нахождения энергопринимающих устройств, в отношении которых заявитель намерен заключить договор, а также в случае, если в границах балансовой принадлежности помимо энергопринимающих устройств расположены объекты по производству электрической энергии (мощности), - место нахождения таких объектов;</w:t>
      </w:r>
    </w:p>
    <w:p>
      <w:pPr>
        <w:pStyle w:val="0"/>
        <w:spacing w:before="200" w:line-rule="auto"/>
        <w:ind w:firstLine="540"/>
        <w:jc w:val="both"/>
      </w:pPr>
      <w:r>
        <w:rPr>
          <w:sz w:val="20"/>
        </w:rPr>
        <w:t xml:space="preserve">величина максимальной мощности энергопринимающих устройств, в отношении которых заявитель намерен заключить договор, с ее распределением по точкам поставки;</w:t>
      </w:r>
    </w:p>
    <w:p>
      <w:pPr>
        <w:pStyle w:val="0"/>
        <w:spacing w:before="200" w:line-rule="auto"/>
        <w:ind w:firstLine="540"/>
        <w:jc w:val="both"/>
      </w:pPr>
      <w:r>
        <w:rPr>
          <w:sz w:val="20"/>
        </w:rPr>
        <w:t xml:space="preserve">срок начала оказания услуг по передаче электрической энергии, подтверждаемый выпиской из договора энергоснабжения о дате начала снабжения электрической энергией указанного в заявлении потребителя электрической энергии, представляемой гарантирующим поставщиком или энергосбытовой организацией, или выпиской из договора купли-продажи (поставки) электрической энергии (мощности), содержащей сведения о дате начала продажи электрической энергии потребителю электрической энергии, о точках поставки по договору, а также о реквизитах лица, выступающего продавцом по такому договору, представляемой заявителем, который заключил такой договор, либо выпиской из договора о присоединении к торговой системе оптового рынка электрической энергии и мощности, предоставляемой заявителем;</w:t>
      </w:r>
    </w:p>
    <w:p>
      <w:pPr>
        <w:pStyle w:val="0"/>
        <w:spacing w:before="200" w:line-rule="auto"/>
        <w:ind w:firstLine="540"/>
        <w:jc w:val="both"/>
      </w:pPr>
      <w:r>
        <w:rPr>
          <w:sz w:val="20"/>
        </w:rPr>
        <w:t xml:space="preserve">б) акт об осуществлении технологического присоединения (при его наличии);</w:t>
      </w:r>
    </w:p>
    <w:p>
      <w:pPr>
        <w:pStyle w:val="0"/>
        <w:spacing w:before="200" w:line-rule="auto"/>
        <w:ind w:firstLine="540"/>
        <w:jc w:val="both"/>
      </w:pPr>
      <w:r>
        <w:rPr>
          <w:sz w:val="20"/>
        </w:rPr>
        <w:t xml:space="preserve">в) однолинейную схему электрической сети заявителя (потребителя электрической энергии, в интересах которого заключается договор) с указанием точек присоединения к объектам электросетевого хозяйства;</w:t>
      </w:r>
    </w:p>
    <w:p>
      <w:pPr>
        <w:pStyle w:val="0"/>
        <w:spacing w:before="200" w:line-rule="auto"/>
        <w:ind w:firstLine="540"/>
        <w:jc w:val="both"/>
      </w:pPr>
      <w:r>
        <w:rPr>
          <w:sz w:val="20"/>
        </w:rPr>
        <w:t xml:space="preserve">г) акт разграничения балансовой принадлежности электросетей и </w:t>
      </w:r>
      <w:hyperlink w:history="0" w:anchor="P3179" w:tooltip="ТИПОВОЙ ДОГОВОР">
        <w:r>
          <w:rPr>
            <w:sz w:val="20"/>
            <w:color w:val="0000ff"/>
          </w:rPr>
          <w:t xml:space="preserve">акт</w:t>
        </w:r>
      </w:hyperlink>
      <w:r>
        <w:rPr>
          <w:sz w:val="20"/>
        </w:rPr>
        <w:t xml:space="preserve"> разграничения эксплуатационной ответственности сторон (при их наличии);</w:t>
      </w:r>
    </w:p>
    <w:p>
      <w:pPr>
        <w:pStyle w:val="0"/>
        <w:spacing w:before="200" w:line-rule="auto"/>
        <w:ind w:firstLine="540"/>
        <w:jc w:val="both"/>
      </w:pPr>
      <w:r>
        <w:rPr>
          <w:sz w:val="20"/>
        </w:rPr>
        <w:t xml:space="preserve">д) документы, содержащие описание приборов учета, установленных в отношении энергопринимающих устройств, с указанием типов приборов учета и их классов точности, мест их установки, заводских номеров, даты предыдущей и очередной государственной поверки, межповерочного интервала;</w:t>
      </w:r>
    </w:p>
    <w:p>
      <w:pPr>
        <w:pStyle w:val="0"/>
        <w:spacing w:before="200" w:line-rule="auto"/>
        <w:ind w:firstLine="540"/>
        <w:jc w:val="both"/>
      </w:pPr>
      <w:r>
        <w:rPr>
          <w:sz w:val="20"/>
        </w:rPr>
        <w:t xml:space="preserve">е) копию договора об оказании услуг по оперативно-диспетчерскому управлению - в случае заключения договора с организацией по управлению единой национальной (общероссийской) электрической сетью;</w:t>
      </w:r>
    </w:p>
    <w:p>
      <w:pPr>
        <w:pStyle w:val="0"/>
        <w:spacing w:before="200" w:line-rule="auto"/>
        <w:ind w:firstLine="540"/>
        <w:jc w:val="both"/>
      </w:pPr>
      <w:r>
        <w:rPr>
          <w:sz w:val="20"/>
        </w:rPr>
        <w:t xml:space="preserve">ж) проект договора - по желанию заявителя;</w:t>
      </w:r>
    </w:p>
    <w:p>
      <w:pPr>
        <w:pStyle w:val="0"/>
        <w:spacing w:before="200" w:line-rule="auto"/>
        <w:ind w:firstLine="540"/>
        <w:jc w:val="both"/>
      </w:pPr>
      <w:r>
        <w:rPr>
          <w:sz w:val="20"/>
        </w:rPr>
        <w:t xml:space="preserve">з) акт согласования технологической и (или) аварийной брони (при его наличии).</w:t>
      </w:r>
    </w:p>
    <w:p>
      <w:pPr>
        <w:pStyle w:val="0"/>
        <w:jc w:val="both"/>
      </w:pPr>
      <w:r>
        <w:rPr>
          <w:sz w:val="20"/>
        </w:rPr>
        <w:t xml:space="preserve">(п. 18 в ред. </w:t>
      </w:r>
      <w:hyperlink w:history="0" r:id="rId272"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spacing w:before="200" w:line-rule="auto"/>
        <w:ind w:firstLine="540"/>
        <w:jc w:val="both"/>
      </w:pPr>
      <w:r>
        <w:rPr>
          <w:sz w:val="20"/>
        </w:rPr>
        <w:t xml:space="preserve">18(1). В случае если прошло не более 3 лет с даты расторжения договора, ранее заключенного заявителем с сетевой организацией, и если заявитель имеет намерение вновь заключить договор с той же сетевой организацией и в отношении тех же энергопринимающих устройств, при условии что за указанный срок не было внесено изменений в документы о технологическом присоединении, он направляет в сетевую организацию заявление о заключении соответствующего договора с указанием информации, указанной в </w:t>
      </w:r>
      <w:hyperlink w:history="0" w:anchor="P353" w:tooltip="а) заявление о заключении договора с указанием следующих сведений, подтверждаемых прилагаемыми к нему копиями документов:">
        <w:r>
          <w:rPr>
            <w:sz w:val="20"/>
            <w:color w:val="0000ff"/>
          </w:rPr>
          <w:t xml:space="preserve">подпункте "а" пункта 18</w:t>
        </w:r>
      </w:hyperlink>
      <w:r>
        <w:rPr>
          <w:sz w:val="20"/>
        </w:rPr>
        <w:t xml:space="preserve"> настоящих Правил, с приложением подтверждающих эту информацию документов и по желанию - проект договора. В этом случае иные документы, указанные в </w:t>
      </w:r>
      <w:hyperlink w:history="0" w:anchor="P352" w:tooltip="18. Лицо, которое намерено заключить договор (далее - заявитель), направляет в сетевую организацию:">
        <w:r>
          <w:rPr>
            <w:sz w:val="20"/>
            <w:color w:val="0000ff"/>
          </w:rPr>
          <w:t xml:space="preserve">пункте 18</w:t>
        </w:r>
      </w:hyperlink>
      <w:r>
        <w:rPr>
          <w:sz w:val="20"/>
        </w:rPr>
        <w:t xml:space="preserve"> настоящих Правил, заявитель обязан предоставить только при условии, если в них имеются изменения относительно документов, предоставленных им сетевой организации при заключении предыдущего договора, а при отсутствии таких изменений сетевая организация при заключении договора использует документы, предоставленные ей при заключении предыдущего договора.</w:t>
      </w:r>
    </w:p>
    <w:p>
      <w:pPr>
        <w:pStyle w:val="0"/>
        <w:jc w:val="both"/>
      </w:pPr>
      <w:r>
        <w:rPr>
          <w:sz w:val="20"/>
        </w:rPr>
        <w:t xml:space="preserve">(п. 18(1) введен </w:t>
      </w:r>
      <w:hyperlink w:history="0" r:id="rId273"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Постановлением</w:t>
        </w:r>
      </w:hyperlink>
      <w:r>
        <w:rPr>
          <w:sz w:val="20"/>
        </w:rPr>
        <w:t xml:space="preserve"> Правительства РФ от 04.05.2012 N 442)</w:t>
      </w:r>
    </w:p>
    <w:p>
      <w:pPr>
        <w:pStyle w:val="0"/>
        <w:spacing w:before="200" w:line-rule="auto"/>
        <w:ind w:firstLine="540"/>
        <w:jc w:val="both"/>
      </w:pPr>
      <w:r>
        <w:rPr>
          <w:sz w:val="20"/>
        </w:rPr>
        <w:t xml:space="preserve">18(2).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сетевой организации, но в отношении которых подана заявка об осуществлении технологического присоединения к электрическим сетям сетевой организации, заключение договора осуществляется с учетом особенностей, предусмотренных </w:t>
      </w:r>
      <w:hyperlink w:history="0" w:anchor="P835" w:tooltip="ПРАВИЛА">
        <w:r>
          <w:rPr>
            <w:sz w:val="20"/>
            <w:color w:val="0000ff"/>
          </w:rPr>
          <w:t xml:space="preserve">Правилами</w:t>
        </w:r>
      </w:hyperlink>
      <w:r>
        <w:rPr>
          <w:sz w:val="20"/>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pStyle w:val="0"/>
        <w:jc w:val="both"/>
      </w:pPr>
      <w:r>
        <w:rPr>
          <w:sz w:val="20"/>
        </w:rPr>
        <w:t xml:space="preserve">(п. 18(2) введен </w:t>
      </w:r>
      <w:hyperlink w:history="0" r:id="rId274" w:tooltip="Постановление Правительства РФ от 10.02.2014 N 95 &quot;О внесении изменений в акты Правительства Российской Федерации в части обязанности гарантирующих поставщиков заключить договор энергоснабжения (купли-продажи (поставки) электрической энергии (мощности)) с потребителям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Постановлением</w:t>
        </w:r>
      </w:hyperlink>
      <w:r>
        <w:rPr>
          <w:sz w:val="20"/>
        </w:rPr>
        <w:t xml:space="preserve"> Правительства РФ от 10.02.2014 N 95)</w:t>
      </w:r>
    </w:p>
    <w:p>
      <w:pPr>
        <w:pStyle w:val="0"/>
        <w:spacing w:before="200" w:line-rule="auto"/>
        <w:ind w:firstLine="540"/>
        <w:jc w:val="both"/>
      </w:pPr>
      <w:r>
        <w:rPr>
          <w:sz w:val="20"/>
        </w:rPr>
        <w:t xml:space="preserve">18(3). Если заявление о заключении договора направлено собственнику или иному законному владельцу объектов электросетевого хозяйства, входящих в единую национальную (общероссийскую) электрическую сеть, и при этом указанный собственник или иной законный владелец ограничен в соответствии с Федеральным </w:t>
      </w:r>
      <w:hyperlink w:history="0" r:id="rId275" w:tooltip="Федеральный закон от 26.03.2003 N 35-ФЗ (ред. от 11.06.2022) &quot;Об электроэнергетике&quot; (с изм. и доп., вступ. в силу с 01.07.2022) {КонсультантПлюс}">
        <w:r>
          <w:rPr>
            <w:sz w:val="20"/>
            <w:color w:val="0000ff"/>
          </w:rPr>
          <w:t xml:space="preserve">законом</w:t>
        </w:r>
      </w:hyperlink>
      <w:r>
        <w:rPr>
          <w:sz w:val="20"/>
        </w:rP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такой собственник или иной законный владелец обязан направить заявителю в течение 5 рабочих дней со дня получения заявления уведомление об отсутствии возможности заключения договора с заявителем и необходимости заключения договора оказания услуг по передаче электрической энергии с организацией по управлению единой национальной (общероссийской) электрической сетью.</w:t>
      </w:r>
    </w:p>
    <w:p>
      <w:pPr>
        <w:pStyle w:val="0"/>
        <w:jc w:val="both"/>
      </w:pPr>
      <w:r>
        <w:rPr>
          <w:sz w:val="20"/>
        </w:rPr>
        <w:t xml:space="preserve">(п. 18(3) введен </w:t>
      </w:r>
      <w:hyperlink w:history="0" r:id="rId276" w:tooltip="Постановление Правительства РФ от 03.12.2020 N 2005 &quot;О внесении изменений в некоторые акты Правительства Российской Федерации по вопросам совершенствования регулирования отношений с участием владельцев объектов электросетевого хозяйства, входящих в единую национальную (общероссийскую) электрическую сеть&quot; {КонсультантПлюс}">
        <w:r>
          <w:rPr>
            <w:sz w:val="20"/>
            <w:color w:val="0000ff"/>
          </w:rPr>
          <w:t xml:space="preserve">Постановлением</w:t>
        </w:r>
      </w:hyperlink>
      <w:r>
        <w:rPr>
          <w:sz w:val="20"/>
        </w:rPr>
        <w:t xml:space="preserve"> Правительства РФ от 03.12.2020 N 2005)</w:t>
      </w:r>
    </w:p>
    <w:p>
      <w:pPr>
        <w:pStyle w:val="0"/>
        <w:spacing w:before="200" w:line-rule="auto"/>
        <w:ind w:firstLine="540"/>
        <w:jc w:val="both"/>
      </w:pPr>
      <w:r>
        <w:rPr>
          <w:sz w:val="20"/>
        </w:rPr>
        <w:t xml:space="preserve">19. Договоры, заключаемые для целей использования электрической энергии при предоставлении гражданам - потребителям коммунальной услуги по электроснабжению (а также в случае отсутствия централизованных теплоснабжения и (или) горячего водоснабжения для целей ее использования при предоставлении коммунальной услуги по отоплению и (или) горячему водоснабжению), либо договоры, заключаемые в интересах граждан - потребителей электрической энергии на розничных рынках, в том числе в интересах граждан, осуществляющих ведение садоводства или огородничества на земельных участках, расположенных в границах территории садоводства или огородничества, заключаются гарантирующим поставщиком (энергосбытовой организацией), обслуживающим соответствующих потребителей. Такие договоры включают условия, указанные в </w:t>
      </w:r>
      <w:hyperlink w:history="0" w:anchor="P225" w:tooltip="в) ответственность потребителя услуг и сетевой организации за состояние и обслуживание объектов электросетевого хозяйства, которая определяется балансовой принадлежностью сетевой организации и потребителя услуг (потребителя электрической энергии, в интересах которого заключается договор) и фиксируется в документах о технологическом присоединении, являющихся приложениями к договору (в случае заключения договора в интересах граждан, осуществляющих ведение садоводства или огородничества на земельных участка...">
        <w:r>
          <w:rPr>
            <w:sz w:val="20"/>
            <w:color w:val="0000ff"/>
          </w:rPr>
          <w:t xml:space="preserve">подпунктах "в"</w:t>
        </w:r>
      </w:hyperlink>
      <w:r>
        <w:rPr>
          <w:sz w:val="20"/>
        </w:rPr>
        <w:t xml:space="preserve"> - </w:t>
      </w:r>
      <w:hyperlink w:history="0" w:anchor="P231" w:tooltip="е) обязанность потребителя услуг по обеспечению эксплуатации принадлежащих ему на праве собственности или на ином законном основании устройств релейной защиты и автоматики (в том числе устройств релейной защиты, противоаварийной, режимной и сетевой автоматики, устройств регистрации аварийных процессов и событий), установленных в соответствии с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
        <w:r>
          <w:rPr>
            <w:sz w:val="20"/>
            <w:color w:val="0000ff"/>
          </w:rPr>
          <w:t xml:space="preserve">"е" пункта 13</w:t>
        </w:r>
      </w:hyperlink>
      <w:r>
        <w:rPr>
          <w:sz w:val="20"/>
        </w:rPr>
        <w:t xml:space="preserve">, </w:t>
      </w:r>
      <w:hyperlink w:history="0" w:anchor="P248" w:tooltip="а) соблюдать предусмотренный договором и документами о технологическом присоединении режим потребления (производства) электрической энергии (мощности);">
        <w:r>
          <w:rPr>
            <w:sz w:val="20"/>
            <w:color w:val="0000ff"/>
          </w:rPr>
          <w:t xml:space="preserve">подпунктах "а"</w:t>
        </w:r>
      </w:hyperlink>
      <w:r>
        <w:rPr>
          <w:sz w:val="20"/>
        </w:rPr>
        <w:t xml:space="preserve"> - </w:t>
      </w:r>
      <w:hyperlink w:history="0" w:anchor="P252" w:tooltip="в) поддерживать в надлежащем техническом состоянии принадлежащие ему средства релейной защиты и противоаварийной автоматики, приборы учета электрической энергии (мощности) и измерительные трансформаторы, используемые для коммерческого учета электрической энергии (мощности),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в том числе обеспечивать сохранность и целостность ус...">
        <w:r>
          <w:rPr>
            <w:sz w:val="20"/>
            <w:color w:val="0000ff"/>
          </w:rPr>
          <w:t xml:space="preserve">"в"</w:t>
        </w:r>
      </w:hyperlink>
      <w:r>
        <w:rPr>
          <w:sz w:val="20"/>
        </w:rPr>
        <w:t xml:space="preserve"> (при наличии соответствующего оборудования), </w:t>
      </w:r>
      <w:hyperlink w:history="0" w:anchor="P266" w:tooltip="л) беспрепятственно допускать уполномоченных представителей сетевой организации в пункты контроля и учета количества и качества переданной электрической энергии в порядке и случаях, установленных договором;">
        <w:r>
          <w:rPr>
            <w:sz w:val="20"/>
            <w:color w:val="0000ff"/>
          </w:rPr>
          <w:t xml:space="preserve">"л"</w:t>
        </w:r>
      </w:hyperlink>
      <w:r>
        <w:rPr>
          <w:sz w:val="20"/>
        </w:rPr>
        <w:t xml:space="preserve"> и </w:t>
      </w:r>
      <w:hyperlink w:history="0" w:anchor="P267" w:tooltip="м) 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учета электрической энергии (мощности) с использованием приборов учета, в том числе в части:">
        <w:r>
          <w:rPr>
            <w:sz w:val="20"/>
            <w:color w:val="0000ff"/>
          </w:rPr>
          <w:t xml:space="preserve">"м" пункта 14</w:t>
        </w:r>
      </w:hyperlink>
      <w:r>
        <w:rPr>
          <w:sz w:val="20"/>
        </w:rPr>
        <w:t xml:space="preserve">, </w:t>
      </w:r>
      <w:hyperlink w:history="0" w:anchor="P281" w:tooltip="а) обеспечить передачу электрической энергии в точке поставки потребителя услуг (потребителя электрической энергии, в интересах которого заключается договор), качество и параметры которой должны соответствовать обязательным требованиям, установленным нормативными правовыми актами Российской Федерации, регулирующими отношения в сфере электроэнергетики, с соблюдением величин аварийной и технологической брони;">
        <w:r>
          <w:rPr>
            <w:sz w:val="20"/>
            <w:color w:val="0000ff"/>
          </w:rPr>
          <w:t xml:space="preserve">подпунктах "а"</w:t>
        </w:r>
      </w:hyperlink>
      <w:r>
        <w:rPr>
          <w:sz w:val="20"/>
        </w:rPr>
        <w:t xml:space="preserve">, </w:t>
      </w:r>
      <w:hyperlink w:history="0" w:anchor="P283" w:tooltip="б) осуществлять передачу электрической энергии в соответствии с согласованной категорией надежности энергопринимающих устройств потребителя услуг (потребителя электрической энергии, в интересах которого заключается договор);">
        <w:r>
          <w:rPr>
            <w:sz w:val="20"/>
            <w:color w:val="0000ff"/>
          </w:rPr>
          <w:t xml:space="preserve">"б"</w:t>
        </w:r>
      </w:hyperlink>
      <w:r>
        <w:rPr>
          <w:sz w:val="20"/>
        </w:rPr>
        <w:t xml:space="preserve"> и </w:t>
      </w:r>
      <w:hyperlink w:history="0" w:anchor="P284" w:tooltip="в) определять в порядке, установленном Министерством энергетики Российской Федерации, значения соотношения потребления активной и реактивной мощности для отдельных энергопринимающих устройств (групп энергопринимающих устройств), в отношении которых заключен договор, если документами о технологическом присоединении таких устройств предусмотрены требования к регулированию реактивной мощности, самостоятельно, если такие энергопринимающие устройства присоединены к объектам электросетевого хозяйства напряжени...">
        <w:r>
          <w:rPr>
            <w:sz w:val="20"/>
            <w:color w:val="0000ff"/>
          </w:rPr>
          <w:t xml:space="preserve">"г" пункта 15</w:t>
        </w:r>
      </w:hyperlink>
      <w:r>
        <w:rPr>
          <w:sz w:val="20"/>
        </w:rPr>
        <w:t xml:space="preserve"> настоящих Правил.</w:t>
      </w:r>
    </w:p>
    <w:p>
      <w:pPr>
        <w:pStyle w:val="0"/>
        <w:jc w:val="both"/>
      </w:pPr>
      <w:r>
        <w:rPr>
          <w:sz w:val="20"/>
        </w:rPr>
        <w:t xml:space="preserve">(в ред. Постановлений Правительства РФ от 04.05.2012 </w:t>
      </w:r>
      <w:hyperlink w:history="0" r:id="rId277"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N 442</w:t>
        </w:r>
      </w:hyperlink>
      <w:r>
        <w:rPr>
          <w:sz w:val="20"/>
        </w:rPr>
        <w:t xml:space="preserve">, от 10.11.2017 </w:t>
      </w:r>
      <w:hyperlink w:history="0" r:id="rId278" w:tooltip="Постановление Правительства РФ от 10.11.2017 N 1351 (ред. от 09.10.2021) &quot;О внесении изменений в некоторые акты Правительства Российской Федерации по вопросам повышения доступности энергетической инфраструктуры в отношении отдельных групп потребителей&quot; {КонсультантПлюс}">
        <w:r>
          <w:rPr>
            <w:sz w:val="20"/>
            <w:color w:val="0000ff"/>
          </w:rPr>
          <w:t xml:space="preserve">N 1351</w:t>
        </w:r>
      </w:hyperlink>
      <w:r>
        <w:rPr>
          <w:sz w:val="20"/>
        </w:rPr>
        <w:t xml:space="preserve">, от 21.12.2018 </w:t>
      </w:r>
      <w:hyperlink w:history="0" r:id="rId279"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sz w:val="20"/>
            <w:color w:val="0000ff"/>
          </w:rPr>
          <w:t xml:space="preserve">N 1622</w:t>
        </w:r>
      </w:hyperlink>
      <w:r>
        <w:rPr>
          <w:sz w:val="20"/>
        </w:rPr>
        <w:t xml:space="preserve">)</w:t>
      </w:r>
    </w:p>
    <w:p>
      <w:pPr>
        <w:pStyle w:val="0"/>
        <w:spacing w:before="200" w:line-rule="auto"/>
        <w:ind w:firstLine="540"/>
        <w:jc w:val="both"/>
      </w:pPr>
      <w:r>
        <w:rPr>
          <w:sz w:val="20"/>
        </w:rPr>
        <w:t xml:space="preserve">20. Сетевая организация в течение 30 дней с даты получения документов, предусмотренных в </w:t>
      </w:r>
      <w:hyperlink w:history="0" w:anchor="P352" w:tooltip="18. Лицо, которое намерено заключить договор (далее - заявитель), направляет в сетевую организацию:">
        <w:r>
          <w:rPr>
            <w:sz w:val="20"/>
            <w:color w:val="0000ff"/>
          </w:rPr>
          <w:t xml:space="preserve">пункте 18</w:t>
        </w:r>
      </w:hyperlink>
      <w:r>
        <w:rPr>
          <w:sz w:val="20"/>
        </w:rPr>
        <w:t xml:space="preserve"> настоящих Правил, обязана их рассмотреть и направить заявителю подписанный сетевой организацией проект договора или мотивированный отказ от его заключения либо протокол разногласий к проекту договора в установленном порядке.</w:t>
      </w:r>
    </w:p>
    <w:p>
      <w:pPr>
        <w:pStyle w:val="0"/>
        <w:jc w:val="both"/>
      </w:pPr>
      <w:r>
        <w:rPr>
          <w:sz w:val="20"/>
        </w:rPr>
        <w:t xml:space="preserve">(в ред. </w:t>
      </w:r>
      <w:hyperlink w:history="0" r:id="rId280"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spacing w:before="200" w:line-rule="auto"/>
        <w:ind w:firstLine="540"/>
        <w:jc w:val="both"/>
      </w:pPr>
      <w:r>
        <w:rPr>
          <w:sz w:val="20"/>
        </w:rPr>
        <w:t xml:space="preserve">21. В случае отсутствия в представленных документах сведений, указанных в </w:t>
      </w:r>
      <w:hyperlink w:history="0" w:anchor="P352" w:tooltip="18. Лицо, которое намерено заключить договор (далее - заявитель), направляет в сетевую организацию:">
        <w:r>
          <w:rPr>
            <w:sz w:val="20"/>
            <w:color w:val="0000ff"/>
          </w:rPr>
          <w:t xml:space="preserve">подпункте "а" пункта 18</w:t>
        </w:r>
      </w:hyperlink>
      <w:r>
        <w:rPr>
          <w:sz w:val="20"/>
        </w:rPr>
        <w:t xml:space="preserve"> настоящих Правил, сетевая организация в течение 6 рабочих дней уведомляет об этом заявителя и в 30-дневный срок с даты получения недостающих сведений рассматривает заявление.</w:t>
      </w:r>
    </w:p>
    <w:p>
      <w:pPr>
        <w:pStyle w:val="0"/>
        <w:spacing w:before="200" w:line-rule="auto"/>
        <w:ind w:firstLine="540"/>
        <w:jc w:val="both"/>
      </w:pPr>
      <w:r>
        <w:rPr>
          <w:sz w:val="20"/>
        </w:rPr>
        <w:t xml:space="preserve">22. Заявитель, получивший от сетевой организации проект договора, заполняет его в части сведений о заявителе и направляет 1 подписанный им экземпляр проекта договора сетевой организации.</w:t>
      </w:r>
    </w:p>
    <w:p>
      <w:pPr>
        <w:pStyle w:val="0"/>
        <w:spacing w:before="200" w:line-rule="auto"/>
        <w:ind w:firstLine="540"/>
        <w:jc w:val="both"/>
      </w:pPr>
      <w:r>
        <w:rPr>
          <w:sz w:val="20"/>
        </w:rPr>
        <w:t xml:space="preserve">23. Договор считается заключенным с даты получения сетевой организацией подписанного заявителем проекта договора, если иное не установлено договором или решением суда.</w:t>
      </w:r>
    </w:p>
    <w:p>
      <w:pPr>
        <w:pStyle w:val="0"/>
        <w:spacing w:before="200" w:line-rule="auto"/>
        <w:ind w:firstLine="540"/>
        <w:jc w:val="both"/>
      </w:pPr>
      <w:r>
        <w:rPr>
          <w:sz w:val="20"/>
        </w:rPr>
        <w:t xml:space="preserve">Абзац утратил силу. - </w:t>
      </w:r>
      <w:hyperlink w:history="0" r:id="rId281"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Постановление</w:t>
        </w:r>
      </w:hyperlink>
      <w:r>
        <w:rPr>
          <w:sz w:val="20"/>
        </w:rPr>
        <w:t xml:space="preserve"> Правительства РФ от 04.05.2012 N 442.</w:t>
      </w:r>
    </w:p>
    <w:p>
      <w:pPr>
        <w:pStyle w:val="0"/>
        <w:spacing w:before="200" w:line-rule="auto"/>
        <w:ind w:firstLine="540"/>
        <w:jc w:val="both"/>
      </w:pPr>
      <w:r>
        <w:rPr>
          <w:sz w:val="20"/>
        </w:rPr>
        <w:t xml:space="preserve">В случае если заявитель направляет в адрес сетевой организации подписанный со своей стороны проект договора в отношении энергопринимающих устройств, в отношении которых заключен договор об осуществлении технологического присоединения к электрическим сетям, до завершения процедуры технологического присоединения, исполнение обязательств по договору осуществляется начиная с указанных в договоре даты и времени, но не позднее даты подписания сетевой организацией и потребителем акта о технологическом присоединении соответствующих энергопринимающих устройств.</w:t>
      </w:r>
    </w:p>
    <w:p>
      <w:pPr>
        <w:pStyle w:val="0"/>
        <w:jc w:val="both"/>
      </w:pPr>
      <w:r>
        <w:rPr>
          <w:sz w:val="20"/>
        </w:rPr>
        <w:t xml:space="preserve">(абзац введен </w:t>
      </w:r>
      <w:hyperlink w:history="0" r:id="rId282" w:tooltip="Постановление Правительства РФ от 10.02.2014 N 95 &quot;О внесении изменений в акты Правительства Российской Федерации в части обязанности гарантирующих поставщиков заключить договор энергоснабжения (купли-продажи (поставки) электрической энергии (мощности)) с потребителям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Постановлением</w:t>
        </w:r>
      </w:hyperlink>
      <w:r>
        <w:rPr>
          <w:sz w:val="20"/>
        </w:rPr>
        <w:t xml:space="preserve"> Правительства РФ от 10.02.2014 N 95)</w:t>
      </w:r>
    </w:p>
    <w:p>
      <w:pPr>
        <w:pStyle w:val="0"/>
        <w:spacing w:before="200" w:line-rule="auto"/>
        <w:ind w:firstLine="540"/>
        <w:jc w:val="both"/>
      </w:pPr>
      <w:r>
        <w:rPr>
          <w:sz w:val="20"/>
        </w:rPr>
        <w:t xml:space="preserve">24. Сетевая организация вправе отказаться от заключения договора в случае:</w:t>
      </w:r>
    </w:p>
    <w:p>
      <w:pPr>
        <w:pStyle w:val="0"/>
        <w:spacing w:before="200" w:line-rule="auto"/>
        <w:ind w:firstLine="540"/>
        <w:jc w:val="both"/>
      </w:pPr>
      <w:r>
        <w:rPr>
          <w:sz w:val="20"/>
        </w:rPr>
        <w:t xml:space="preserve">а) отсутствия у потребителя услуг заключенного договора об оказании услуг по оперативно-диспетчерскому управлению - в случае заключения договора с организацией по управлению единой национальной (общероссийской) электрической сетью;</w:t>
      </w:r>
    </w:p>
    <w:p>
      <w:pPr>
        <w:pStyle w:val="0"/>
        <w:spacing w:before="200" w:line-rule="auto"/>
        <w:ind w:firstLine="540"/>
        <w:jc w:val="both"/>
      </w:pPr>
      <w:r>
        <w:rPr>
          <w:sz w:val="20"/>
        </w:rPr>
        <w:t xml:space="preserve">б) утратил силу. - </w:t>
      </w:r>
      <w:hyperlink w:history="0" r:id="rId283"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Постановление</w:t>
        </w:r>
      </w:hyperlink>
      <w:r>
        <w:rPr>
          <w:sz w:val="20"/>
        </w:rPr>
        <w:t xml:space="preserve"> Правительства РФ от 04.05.2012 N 442;</w:t>
      </w:r>
    </w:p>
    <w:p>
      <w:pPr>
        <w:pStyle w:val="0"/>
        <w:spacing w:before="200" w:line-rule="auto"/>
        <w:ind w:firstLine="540"/>
        <w:jc w:val="both"/>
      </w:pPr>
      <w:r>
        <w:rPr>
          <w:sz w:val="20"/>
        </w:rPr>
        <w:t xml:space="preserve">в)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в отношении которых не заключен договор об осуществлении технологического присоединения к электрическим сетям этой сетевой организации, и (или) которые имеют технологическое присоединение к объектам электросетевого хозяйства, выбывшим из владения этой сетевой организации в установленном законом порядке. При этом обязательным условием для заключения договора с гарантирующими поставщиками и энергосбытовыми организациями является наличие технологического присоединения потребителей электрической энергии, в чьих интересах заключается такой договор, или заключенного договора об осуществлении технологического присоединения к электрическим сетям сетевой организации энергопринимающих устройств, в отношении которых заключается договор, а для организаций, осуществляющих деятельность по экспорту-импорту электрической энергии, - наличие соединения электрических сетей этой сетевой организации с электрическими сетями соседних государств, по территориям которых осуществляются экспортно-импортные поставки электрической энергии;</w:t>
      </w:r>
    </w:p>
    <w:p>
      <w:pPr>
        <w:pStyle w:val="0"/>
        <w:jc w:val="both"/>
      </w:pPr>
      <w:r>
        <w:rPr>
          <w:sz w:val="20"/>
        </w:rPr>
        <w:t xml:space="preserve">(пп. "в" в ред. </w:t>
      </w:r>
      <w:hyperlink w:history="0" r:id="rId284" w:tooltip="Постановление Правительства РФ от 10.02.2014 N 95 &quot;О внесении изменений в акты Правительства Российской Федерации в части обязанности гарантирующих поставщиков заключить договор энергоснабжения (купли-продажи (поставки) электрической энергии (мощности)) с потребителям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Постановления</w:t>
        </w:r>
      </w:hyperlink>
      <w:r>
        <w:rPr>
          <w:sz w:val="20"/>
        </w:rPr>
        <w:t xml:space="preserve"> Правительства РФ от 10.02.2014 N 95)</w:t>
      </w:r>
    </w:p>
    <w:p>
      <w:pPr>
        <w:pStyle w:val="0"/>
        <w:spacing w:before="200" w:line-rule="auto"/>
        <w:ind w:firstLine="540"/>
        <w:jc w:val="both"/>
      </w:pPr>
      <w:r>
        <w:rPr>
          <w:sz w:val="20"/>
        </w:rPr>
        <w:t xml:space="preserve">г) отсутствия у организации по управлению единой национальной (общероссийской) электрической сетью возможности оказания услуг по передаче электрической энергии в отношении энергопринимающих устройств (энергетических установок), присоединенных к объектам электросетевого хозяйства, входящим в единую национальную (общероссийскую) электрическую сеть и принадлежащим лицам, которые ограничены в соответствии с Федеральным </w:t>
      </w:r>
      <w:hyperlink w:history="0" r:id="rId285" w:tooltip="Федеральный закон от 26.03.2003 N 35-ФЗ (ред. от 11.06.2022) &quot;Об электроэнергетике&quot; (с изм. и доп., вступ. в силу с 01.07.2022) {КонсультантПлюс}">
        <w:r>
          <w:rPr>
            <w:sz w:val="20"/>
            <w:color w:val="0000ff"/>
          </w:rPr>
          <w:t xml:space="preserve">законом</w:t>
        </w:r>
      </w:hyperlink>
      <w:r>
        <w:rPr>
          <w:sz w:val="20"/>
        </w:rP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вследствие незаключения этими лицами договора, определяющего порядок использования указанных объектов, с организацией по управлению единой национальной (общероссийской) электрической сетью.</w:t>
      </w:r>
    </w:p>
    <w:p>
      <w:pPr>
        <w:pStyle w:val="0"/>
        <w:jc w:val="both"/>
      </w:pPr>
      <w:r>
        <w:rPr>
          <w:sz w:val="20"/>
        </w:rPr>
        <w:t xml:space="preserve">(пп. "г" введен </w:t>
      </w:r>
      <w:hyperlink w:history="0" r:id="rId286" w:tooltip="Постановление Правительства РФ от 15.06.2009 N 492 (ред. от 22.10.2012) &quot;О существенных условиях и порядке разрешения разногласий о праве заключения договоров в отношении объектов электросетевого хозяйства, входящих в единую национальную (общероссийскую) электрическую сеть&quot; (вместе с &quot;Правилами разрешения разногласий о праве заключения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ли иным законным владел {КонсультантПлюс}">
        <w:r>
          <w:rPr>
            <w:sz w:val="20"/>
            <w:color w:val="0000ff"/>
          </w:rPr>
          <w:t xml:space="preserve">Постановлением</w:t>
        </w:r>
      </w:hyperlink>
      <w:r>
        <w:rPr>
          <w:sz w:val="20"/>
        </w:rPr>
        <w:t xml:space="preserve"> Правительства РФ от 15.06.2009 N 492)</w:t>
      </w:r>
    </w:p>
    <w:p>
      <w:pPr>
        <w:pStyle w:val="0"/>
        <w:spacing w:before="200" w:line-rule="auto"/>
        <w:ind w:firstLine="540"/>
        <w:jc w:val="both"/>
      </w:pPr>
      <w:r>
        <w:rPr>
          <w:sz w:val="20"/>
        </w:rPr>
        <w:t xml:space="preserve">24(1). Сетевая организация не вправе отказаться от заключения договора в случае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в отношении которых заключен договор об осуществлении технологического присоединения к электрическим сетям этой сетевой организации.</w:t>
      </w:r>
    </w:p>
    <w:p>
      <w:pPr>
        <w:pStyle w:val="0"/>
        <w:jc w:val="both"/>
      </w:pPr>
      <w:r>
        <w:rPr>
          <w:sz w:val="20"/>
        </w:rPr>
        <w:t xml:space="preserve">(п. 24(1) введен </w:t>
      </w:r>
      <w:hyperlink w:history="0" r:id="rId287" w:tooltip="Постановление Правительства РФ от 10.02.2014 N 95 &quot;О внесении изменений в акты Правительства Российской Федерации в части обязанности гарантирующих поставщиков заключить договор энергоснабжения (купли-продажи (поставки) электрической энергии (мощности)) с потребителям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Постановлением</w:t>
        </w:r>
      </w:hyperlink>
      <w:r>
        <w:rPr>
          <w:sz w:val="20"/>
        </w:rPr>
        <w:t xml:space="preserve"> Правительства РФ от 10.02.2014 N 95)</w:t>
      </w:r>
    </w:p>
    <w:p>
      <w:pPr>
        <w:pStyle w:val="0"/>
        <w:spacing w:before="200" w:line-rule="auto"/>
        <w:ind w:firstLine="540"/>
        <w:jc w:val="both"/>
      </w:pPr>
      <w:r>
        <w:rPr>
          <w:sz w:val="20"/>
        </w:rPr>
        <w:t xml:space="preserve">25. Необоснованное уклонение или отказ сетевой организации от заключения договора могут быть обжалованы потребителем услуг в порядке, установленном законодательством Российской Федерации.</w:t>
      </w:r>
    </w:p>
    <w:p>
      <w:pPr>
        <w:pStyle w:val="0"/>
        <w:spacing w:before="200" w:line-rule="auto"/>
        <w:ind w:firstLine="540"/>
        <w:jc w:val="both"/>
      </w:pPr>
      <w:r>
        <w:rPr>
          <w:sz w:val="20"/>
        </w:rPr>
        <w:t xml:space="preserve">26. Утратил силу. - </w:t>
      </w:r>
      <w:hyperlink w:history="0" r:id="rId288"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Постановление</w:t>
        </w:r>
      </w:hyperlink>
      <w:r>
        <w:rPr>
          <w:sz w:val="20"/>
        </w:rPr>
        <w:t xml:space="preserve"> Правительства РФ от 04.05.2012 N 442.</w:t>
      </w:r>
    </w:p>
    <w:p>
      <w:pPr>
        <w:pStyle w:val="0"/>
        <w:spacing w:before="200" w:line-rule="auto"/>
        <w:ind w:firstLine="540"/>
        <w:jc w:val="both"/>
      </w:pPr>
      <w:r>
        <w:rPr>
          <w:sz w:val="20"/>
        </w:rPr>
        <w:t xml:space="preserve">27. При наличии оснований для отказа от заключения договора сетевая организация обязана не позднее 30 дней с даты получения заявления или проекта договора, указанных в </w:t>
      </w:r>
      <w:hyperlink w:history="0" w:anchor="P352" w:tooltip="18. Лицо, которое намерено заключить договор (далее - заявитель), направляет в сетевую организацию:">
        <w:r>
          <w:rPr>
            <w:sz w:val="20"/>
            <w:color w:val="0000ff"/>
          </w:rPr>
          <w:t xml:space="preserve">пункте 18</w:t>
        </w:r>
      </w:hyperlink>
      <w:r>
        <w:rPr>
          <w:sz w:val="20"/>
        </w:rPr>
        <w:t xml:space="preserve"> настоящих Правил, направить заявителю мотивированный отказ от заключения договора в письменной форме с приложением обосновывающих документов.</w:t>
      </w:r>
    </w:p>
    <w:p>
      <w:pPr>
        <w:pStyle w:val="0"/>
        <w:spacing w:before="200" w:line-rule="auto"/>
        <w:ind w:firstLine="540"/>
        <w:jc w:val="both"/>
      </w:pPr>
      <w:r>
        <w:rPr>
          <w:sz w:val="20"/>
        </w:rPr>
        <w:t xml:space="preserve">28. Обязательным условием для начала оказания услуг по передаче электрической энергии потребителю услуг является начало исполнения потребителем услуг договора энергоснабжения (договора купли-продажи (поставки) электрической энергии (мощности)) на оптовом и (или) розничном рынках электрической энергии.</w:t>
      </w:r>
    </w:p>
    <w:p>
      <w:pPr>
        <w:pStyle w:val="0"/>
        <w:spacing w:before="200" w:line-rule="auto"/>
        <w:ind w:firstLine="540"/>
        <w:jc w:val="both"/>
      </w:pPr>
      <w:r>
        <w:rPr>
          <w:sz w:val="20"/>
        </w:rPr>
        <w:t xml:space="preserve">Дата начала исполнения договора энергоснабжения (договора купли-продажи (поставки) электрической энергии (мощности)) определяется в соответствии с </w:t>
      </w:r>
      <w:hyperlink w:history="0" r:id="rId289"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Основными положениями</w:t>
        </w:r>
      </w:hyperlink>
      <w:r>
        <w:rPr>
          <w:sz w:val="20"/>
        </w:rPr>
        <w:t xml:space="preserve"> функционирования розничных рынков электрической энергии или договором о присоединении к торговой системе оптового рынка электрической энергии и мощности. При этом дата начала поставки электрической энергии по договору купли-продажи (поставки) электрической энергии (мощности) не может быть ранее даты заключения договора об оказании услуг по передаче электрической энергии.</w:t>
      </w:r>
    </w:p>
    <w:p>
      <w:pPr>
        <w:pStyle w:val="0"/>
        <w:jc w:val="both"/>
      </w:pPr>
      <w:r>
        <w:rPr>
          <w:sz w:val="20"/>
        </w:rPr>
        <w:t xml:space="preserve">(п. 28 в ред. </w:t>
      </w:r>
      <w:hyperlink w:history="0" r:id="rId290"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spacing w:before="200" w:line-rule="auto"/>
        <w:ind w:firstLine="540"/>
        <w:jc w:val="both"/>
      </w:pPr>
      <w:r>
        <w:rPr>
          <w:sz w:val="20"/>
        </w:rPr>
        <w:t xml:space="preserve">29. Сетевая организация в порядке и по основаниям, которые указаны в </w:t>
      </w:r>
      <w:hyperlink w:history="0" r:id="rId291"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Правилах</w:t>
        </w:r>
      </w:hyperlink>
      <w:r>
        <w:rPr>
          <w:sz w:val="20"/>
        </w:rPr>
        <w:t xml:space="preserve"> полного и (или) частичного ограничения режима потребления электрической энергии, вводит полное и (или) частичное ограничение режима потребления электрической энергии в отношении потребителя электрической энергии (мощности).</w:t>
      </w:r>
    </w:p>
    <w:p>
      <w:pPr>
        <w:pStyle w:val="0"/>
        <w:spacing w:before="200" w:line-rule="auto"/>
        <w:ind w:firstLine="540"/>
        <w:jc w:val="both"/>
      </w:pPr>
      <w:r>
        <w:rPr>
          <w:sz w:val="20"/>
        </w:rPr>
        <w:t xml:space="preserve">Сетевая организация вправе инициировать в связи с наступлением обстоятельств, определенных </w:t>
      </w:r>
      <w:hyperlink w:history="0" r:id="rId292"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Правилами</w:t>
        </w:r>
      </w:hyperlink>
      <w:r>
        <w:rPr>
          <w:sz w:val="20"/>
        </w:rPr>
        <w:t xml:space="preserve"> полного и (или) частичного ограничения режима потребления электрической энергии, введение полного и (или) частичного ограничения режима потребления электрической энергии в отношении потребителя электрической энергии (мощности).</w:t>
      </w:r>
    </w:p>
    <w:p>
      <w:pPr>
        <w:pStyle w:val="0"/>
        <w:spacing w:before="200" w:line-rule="auto"/>
        <w:ind w:firstLine="540"/>
        <w:jc w:val="both"/>
      </w:pPr>
      <w:r>
        <w:rPr>
          <w:sz w:val="20"/>
        </w:rPr>
        <w:t xml:space="preserve">Введение полного и (или) частичного ограничения режима потребления электрической энергии в отношении потребителя электрической энергии (мощности) не влечет за собой расторжение договора оказания услуг по передаче электрической энергии и не освобождает такого потребителя электрической энергии (мощности) от обязанности оплатить сетевой организации в полном размере стоимость оказанных услуг, а также от ответственности за ненадлежащее исполнение потребителем электрической энергии (мощности) своих обязательств по такому договору.</w:t>
      </w:r>
    </w:p>
    <w:p>
      <w:pPr>
        <w:pStyle w:val="0"/>
        <w:jc w:val="both"/>
      </w:pPr>
      <w:r>
        <w:rPr>
          <w:sz w:val="20"/>
        </w:rPr>
        <w:t xml:space="preserve">(п. 29 в ред. </w:t>
      </w:r>
      <w:hyperlink w:history="0" r:id="rId293" w:tooltip="Постановление Правительства РФ от 24.05.2017 N 624 &quot;О внесении изменений в некоторые акты Правительства Российской Федерации по вопросам введения полного и (или) частичного ограничения режима потребления электрической энергии, а также применения печатей хозяйственных обществ&quot; {КонсультантПлюс}">
        <w:r>
          <w:rPr>
            <w:sz w:val="20"/>
            <w:color w:val="0000ff"/>
          </w:rPr>
          <w:t xml:space="preserve">Постановления</w:t>
        </w:r>
      </w:hyperlink>
      <w:r>
        <w:rPr>
          <w:sz w:val="20"/>
        </w:rPr>
        <w:t xml:space="preserve"> Правительства РФ от 24.05.2017 N 624)</w:t>
      </w:r>
    </w:p>
    <w:p>
      <w:pPr>
        <w:pStyle w:val="0"/>
        <w:spacing w:before="200" w:line-rule="auto"/>
        <w:ind w:firstLine="540"/>
        <w:jc w:val="both"/>
      </w:pPr>
      <w:r>
        <w:rPr>
          <w:sz w:val="20"/>
        </w:rPr>
        <w:t xml:space="preserve">30. В случае если потребитель электрической энергии (мощности) планирует осуществлять куплю-продажу электрической энергии (мощности) на оптовом рынке с использованием точек поставки розничного рынка или осуществляет в отношении точек поставки розничного рынка, совпадающих с точками поставки, входящими в состав групп точек поставки на оптовом рынке, куплю-продажу электрической энергии (мощности) на оптовом рынке, в отношении которых установлены приборы учета, присоединенные к интеллектуальной системе учета электрической энергии (мощности), то сетевая организация, являющаяся владельцем данной интеллектуальной системы учета электрической энергии (мощности), не вправе препятствовать использованию указанным потребителем электрической энергии (мощности) таких приборов учета и (или) интеллектуальной системы учета электрической энергии (мощности) в целях его участия в торговле электрической энергией и мощностью на оптовом рынке. Такая сетевая организация предоставляет потребителю данные в отношении указанной точки (точек) поставки, соответствующие требованиям правил предоставления доступа к минимальному набору функций интеллектуальных систем учета электрической энергии (мощности), для использования их в расчетах на оптовом и (или) розничных рынках электроэнергии (мощности).</w:t>
      </w:r>
    </w:p>
    <w:p>
      <w:pPr>
        <w:pStyle w:val="0"/>
        <w:jc w:val="both"/>
      </w:pPr>
      <w:r>
        <w:rPr>
          <w:sz w:val="20"/>
        </w:rPr>
        <w:t xml:space="preserve">(п. 30 в ред. </w:t>
      </w:r>
      <w:hyperlink w:history="0" r:id="rId294" w:tooltip="Постановление Правительства РФ от 29.10.2021 N 1852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29.10.2021 N 1852)</w:t>
      </w:r>
    </w:p>
    <w:p>
      <w:pPr>
        <w:pStyle w:val="0"/>
        <w:spacing w:before="200" w:line-rule="auto"/>
        <w:ind w:firstLine="540"/>
        <w:jc w:val="both"/>
      </w:pPr>
      <w:r>
        <w:rPr>
          <w:sz w:val="20"/>
        </w:rPr>
        <w:t xml:space="preserve">30(1). При присоединении к электрической сети, в том числе опосредованном, и заключении договора за любым потребителем услуг закрепляется право на получение электрической энергии в любой период времени действия договора в пределах максимальной мощности, определенной договором, качество и параметры которой должны соответствовать обязательным требованиям, установленным нормативными актами.</w:t>
      </w:r>
    </w:p>
    <w:p>
      <w:pPr>
        <w:pStyle w:val="0"/>
        <w:spacing w:before="200" w:line-rule="auto"/>
        <w:ind w:firstLine="540"/>
        <w:jc w:val="both"/>
      </w:pPr>
      <w:r>
        <w:rPr>
          <w:sz w:val="20"/>
        </w:rPr>
        <w:t xml:space="preserve">Ограничение права на получение электрической энергии (мощности) возможно только в соответствии с </w:t>
      </w:r>
      <w:hyperlink w:history="0" r:id="rId295"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Правилами</w:t>
        </w:r>
      </w:hyperlink>
      <w:r>
        <w:rPr>
          <w:sz w:val="20"/>
        </w:rPr>
        <w:t xml:space="preserve"> полного и (или) частичного ограничения режима потребления электрической энергии.</w:t>
      </w:r>
    </w:p>
    <w:p>
      <w:pPr>
        <w:pStyle w:val="0"/>
        <w:spacing w:before="200" w:line-rule="auto"/>
        <w:ind w:firstLine="540"/>
        <w:jc w:val="both"/>
      </w:pPr>
      <w:r>
        <w:rPr>
          <w:sz w:val="20"/>
        </w:rPr>
        <w:t xml:space="preserve">При осуществлении доступа к услугам по передаче электрической энергии в условиях ограниченной пропускной способности электрических сетей исключается возможность взимания дополнительной платы.</w:t>
      </w:r>
    </w:p>
    <w:p>
      <w:pPr>
        <w:pStyle w:val="0"/>
        <w:jc w:val="both"/>
      </w:pPr>
      <w:r>
        <w:rPr>
          <w:sz w:val="20"/>
        </w:rPr>
        <w:t xml:space="preserve">(п. 30(1) введен </w:t>
      </w:r>
      <w:hyperlink w:history="0" r:id="rId296"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13.08.2018 N 937)</w:t>
      </w:r>
    </w:p>
    <w:p>
      <w:pPr>
        <w:pStyle w:val="0"/>
        <w:spacing w:before="200" w:line-rule="auto"/>
        <w:ind w:firstLine="540"/>
        <w:jc w:val="both"/>
      </w:pPr>
      <w:r>
        <w:rPr>
          <w:sz w:val="20"/>
        </w:rPr>
        <w:t xml:space="preserve">31. Утратил силу. - </w:t>
      </w:r>
      <w:hyperlink w:history="0" r:id="rId297"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Постановление</w:t>
        </w:r>
      </w:hyperlink>
      <w:r>
        <w:rPr>
          <w:sz w:val="20"/>
        </w:rPr>
        <w:t xml:space="preserve"> Правительства РФ от 04.05.2012 N 442.</w:t>
      </w:r>
    </w:p>
    <w:bookmarkStart w:id="408" w:name="P408"/>
    <w:bookmarkEnd w:id="408"/>
    <w:p>
      <w:pPr>
        <w:pStyle w:val="0"/>
        <w:spacing w:before="200" w:line-rule="auto"/>
        <w:ind w:firstLine="540"/>
        <w:jc w:val="both"/>
      </w:pPr>
      <w:r>
        <w:rPr>
          <w:sz w:val="20"/>
        </w:rPr>
        <w:t xml:space="preserve">31(1). В целях исполнения договора в части условий о величинах технологической и (или) аварийной брони потребитель электрической энергии, энергопринимающее устройство которого отнесено к первой категории надежности, а также потребитель электрической энергии, частичное или полное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относящийся к категориям, определенным в </w:t>
      </w:r>
      <w:hyperlink w:history="0" r:id="rId298"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приложении</w:t>
        </w:r>
      </w:hyperlink>
      <w:r>
        <w:rPr>
          <w:sz w:val="20"/>
        </w:rPr>
        <w:t xml:space="preserve"> к Правилам полного и (или) частичного ограничения режима потребления электрической энергии, в отношении которого при осуществлении технологического присоединения энергопринимающих устройств к объектам электросетевого хозяйства не был составлен и согласован с сетевой организацией акт согласования технологической и (или) аварийной брони либо он нуждается в изменении в связи с наступлением указанных в </w:t>
      </w:r>
      <w:hyperlink w:history="0" w:anchor="P413" w:tooltip="31(2). Акт согласования технологической и (или) аварийной брони должен быть оформлен вновь в следующих случаях:">
        <w:r>
          <w:rPr>
            <w:sz w:val="20"/>
            <w:color w:val="0000ff"/>
          </w:rPr>
          <w:t xml:space="preserve">пункте 31(2)</w:t>
        </w:r>
      </w:hyperlink>
      <w:r>
        <w:rPr>
          <w:sz w:val="20"/>
        </w:rPr>
        <w:t xml:space="preserve"> настоящих Правил случаев, обязаны составить и согласовать такой акт в порядке, установленном </w:t>
      </w:r>
      <w:hyperlink w:history="0" w:anchor="P423" w:tooltip="31(4). Потребитель электрической энергии (мощности), указанный в пункте 31(1) настоящих Правил, составляет и направляет в 2 экземплярах проект акта согласования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технологически присоединены (непосредственно или опосредовано) энергопринимающие устройства такого потре...">
        <w:r>
          <w:rPr>
            <w:sz w:val="20"/>
            <w:color w:val="0000ff"/>
          </w:rPr>
          <w:t xml:space="preserve">пунктом 31(4)</w:t>
        </w:r>
      </w:hyperlink>
      <w:r>
        <w:rPr>
          <w:sz w:val="20"/>
        </w:rPr>
        <w:t xml:space="preserve"> настоящих Правил.</w:t>
      </w:r>
    </w:p>
    <w:p>
      <w:pPr>
        <w:pStyle w:val="0"/>
        <w:jc w:val="both"/>
      </w:pPr>
      <w:r>
        <w:rPr>
          <w:sz w:val="20"/>
        </w:rPr>
        <w:t xml:space="preserve">(в ред. </w:t>
      </w:r>
      <w:hyperlink w:history="0" r:id="rId299" w:tooltip="Постановление Правительства РФ от 17.09.2018 N 1096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sz w:val="20"/>
            <w:color w:val="0000ff"/>
          </w:rPr>
          <w:t xml:space="preserve">Постановления</w:t>
        </w:r>
      </w:hyperlink>
      <w:r>
        <w:rPr>
          <w:sz w:val="20"/>
        </w:rPr>
        <w:t xml:space="preserve"> Правительства РФ от 17.09.2018 N 1096)</w:t>
      </w:r>
    </w:p>
    <w:p>
      <w:pPr>
        <w:pStyle w:val="0"/>
        <w:spacing w:before="200" w:line-rule="auto"/>
        <w:ind w:firstLine="540"/>
        <w:jc w:val="both"/>
      </w:pPr>
      <w:r>
        <w:rPr>
          <w:sz w:val="20"/>
        </w:rPr>
        <w:t xml:space="preserve">Потребители электрической энергии (мощности), ограничение режима потребления электрической энергии (мощности) которых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не относящиеся к категориям, определенным в </w:t>
      </w:r>
      <w:hyperlink w:history="0" r:id="rId300"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приложении</w:t>
        </w:r>
      </w:hyperlink>
      <w:r>
        <w:rPr>
          <w:sz w:val="20"/>
        </w:rPr>
        <w:t xml:space="preserve"> к Правилам полного и (или) частичного ограничения режима потребления электрической энергии, и энергопринимающие устройства которых не отнесены к первой категории надежности, вправе составить и согласовать с сетевой организацией акт согласования технологической и (или) аварийной брони в порядке, предусмотренном для потребителей, энергопринимающие устройства которых отнесены к первой категории надежности.</w:t>
      </w:r>
    </w:p>
    <w:p>
      <w:pPr>
        <w:pStyle w:val="0"/>
        <w:jc w:val="both"/>
      </w:pPr>
      <w:r>
        <w:rPr>
          <w:sz w:val="20"/>
        </w:rPr>
        <w:t xml:space="preserve">(абзац введен </w:t>
      </w:r>
      <w:hyperlink w:history="0" r:id="rId301" w:tooltip="Постановление Правительства РФ от 17.09.2018 N 1096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sz w:val="20"/>
            <w:color w:val="0000ff"/>
          </w:rPr>
          <w:t xml:space="preserve">Постановлением</w:t>
        </w:r>
      </w:hyperlink>
      <w:r>
        <w:rPr>
          <w:sz w:val="20"/>
        </w:rPr>
        <w:t xml:space="preserve"> Правительства РФ от 17.09.2018 N 1096)</w:t>
      </w:r>
    </w:p>
    <w:p>
      <w:pPr>
        <w:pStyle w:val="0"/>
        <w:jc w:val="both"/>
      </w:pPr>
      <w:r>
        <w:rPr>
          <w:sz w:val="20"/>
        </w:rPr>
        <w:t xml:space="preserve">(п. 31(1) введен </w:t>
      </w:r>
      <w:hyperlink w:history="0" r:id="rId302"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Постановлением</w:t>
        </w:r>
      </w:hyperlink>
      <w:r>
        <w:rPr>
          <w:sz w:val="20"/>
        </w:rPr>
        <w:t xml:space="preserve"> Правительства РФ от 04.05.2012 N 442)</w:t>
      </w:r>
    </w:p>
    <w:bookmarkStart w:id="413" w:name="P413"/>
    <w:bookmarkEnd w:id="413"/>
    <w:p>
      <w:pPr>
        <w:pStyle w:val="0"/>
        <w:spacing w:before="200" w:line-rule="auto"/>
        <w:ind w:firstLine="540"/>
        <w:jc w:val="both"/>
      </w:pPr>
      <w:r>
        <w:rPr>
          <w:sz w:val="20"/>
        </w:rPr>
        <w:t xml:space="preserve">31(2). Акт согласования технологической и (или) аварийной брони должен быть оформлен вновь в следующих случаях:</w:t>
      </w:r>
    </w:p>
    <w:p>
      <w:pPr>
        <w:pStyle w:val="0"/>
        <w:spacing w:before="200" w:line-rule="auto"/>
        <w:ind w:firstLine="540"/>
        <w:jc w:val="both"/>
      </w:pPr>
      <w:r>
        <w:rPr>
          <w:sz w:val="20"/>
        </w:rPr>
        <w:t xml:space="preserve">изменение схемы внутреннего электроснабжения потребителя электрической энергии (мощности) и (или) категории надежности, если это не влечет за собой изменение схемы внешнего электроснабжения энергопринимающих устройств;</w:t>
      </w:r>
    </w:p>
    <w:p>
      <w:pPr>
        <w:pStyle w:val="0"/>
        <w:spacing w:before="200" w:line-rule="auto"/>
        <w:ind w:firstLine="540"/>
        <w:jc w:val="both"/>
      </w:pPr>
      <w:r>
        <w:rPr>
          <w:sz w:val="20"/>
        </w:rPr>
        <w:t xml:space="preserve">изменение технологического процесса осуществляемой с использованием энергопринимающих устройств деятельности;</w:t>
      </w:r>
    </w:p>
    <w:p>
      <w:pPr>
        <w:pStyle w:val="0"/>
        <w:spacing w:before="200" w:line-rule="auto"/>
        <w:ind w:firstLine="540"/>
        <w:jc w:val="both"/>
      </w:pPr>
      <w:r>
        <w:rPr>
          <w:sz w:val="20"/>
        </w:rPr>
        <w:t xml:space="preserve">смена собственника или иного законного владельца ранее присоединенных энергопринимающих устройств, в отношении которого оформлен акт;</w:t>
      </w:r>
    </w:p>
    <w:p>
      <w:pPr>
        <w:pStyle w:val="0"/>
        <w:spacing w:before="200" w:line-rule="auto"/>
        <w:ind w:firstLine="540"/>
        <w:jc w:val="both"/>
      </w:pPr>
      <w:r>
        <w:rPr>
          <w:sz w:val="20"/>
        </w:rPr>
        <w:t xml:space="preserve">иные случаи, определяемые актом.</w:t>
      </w:r>
    </w:p>
    <w:p>
      <w:pPr>
        <w:pStyle w:val="0"/>
        <w:spacing w:before="200" w:line-rule="auto"/>
        <w:ind w:firstLine="540"/>
        <w:jc w:val="both"/>
      </w:pPr>
      <w:r>
        <w:rPr>
          <w:sz w:val="20"/>
        </w:rPr>
        <w:t xml:space="preserve">Действие ранее составленного акта согласования технологической и (или) аварийной брони прекращается со дня подписания сетевой организацией и потребителем электрической энергии (мощности) нового акта согласования технологической и (или) аварийной брони.</w:t>
      </w:r>
    </w:p>
    <w:p>
      <w:pPr>
        <w:pStyle w:val="0"/>
        <w:spacing w:before="200" w:line-rule="auto"/>
        <w:ind w:firstLine="540"/>
        <w:jc w:val="both"/>
      </w:pPr>
      <w:r>
        <w:rPr>
          <w:sz w:val="20"/>
        </w:rPr>
        <w:t xml:space="preserve">В случае наступления обстоятельств, предусмотренных настоящим пунктом, потребитель электрической энергии (мощности), указанный в </w:t>
      </w:r>
      <w:hyperlink w:history="0" w:anchor="P408" w:tooltip="31(1). В целях исполнения договора в части условий о величинах технологической и (или) аварийной брони потребитель электрической энергии, энергопринимающее устройство которого отнесено к первой категории надежности, а также потребитель электрической энергии, частичное или полное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ийся к категориям, определенным в приложении к Правилам полного и (или) части...">
        <w:r>
          <w:rPr>
            <w:sz w:val="20"/>
            <w:color w:val="0000ff"/>
          </w:rPr>
          <w:t xml:space="preserve">пункте 31(1)</w:t>
        </w:r>
      </w:hyperlink>
      <w:r>
        <w:rPr>
          <w:sz w:val="20"/>
        </w:rPr>
        <w:t xml:space="preserve"> настоящих Правил, в течение 20 календарных дней со дня их наступления составляет и направляет в 2 экземплярах проект нового акта согласования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технологически присоединены (непосредственно или опосредовано) его энергопринимающие устройства, любым способом, позволяющим подтвердить факт его получения. При этом согласование и оформление акта согласования технологической и (или) аварийной брони осуществляются в порядке, указанном в </w:t>
      </w:r>
      <w:hyperlink w:history="0" w:anchor="P423" w:tooltip="31(4). Потребитель электрической энергии (мощности), указанный в пункте 31(1) настоящих Правил, составляет и направляет в 2 экземплярах проект акта согласования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технологически присоединены (непосредственно или опосредовано) энергопринимающие устройства такого потре...">
        <w:r>
          <w:rPr>
            <w:sz w:val="20"/>
            <w:color w:val="0000ff"/>
          </w:rPr>
          <w:t xml:space="preserve">пункте 31(4)</w:t>
        </w:r>
      </w:hyperlink>
      <w:r>
        <w:rPr>
          <w:sz w:val="20"/>
        </w:rPr>
        <w:t xml:space="preserve"> настоящих Правил.</w:t>
      </w:r>
    </w:p>
    <w:p>
      <w:pPr>
        <w:pStyle w:val="0"/>
        <w:jc w:val="both"/>
      </w:pPr>
      <w:r>
        <w:rPr>
          <w:sz w:val="20"/>
        </w:rPr>
        <w:t xml:space="preserve">(п. 31(2) в ред. </w:t>
      </w:r>
      <w:hyperlink w:history="0" r:id="rId303" w:tooltip="Постановление Правительства РФ от 17.09.2018 N 1096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sz w:val="20"/>
            <w:color w:val="0000ff"/>
          </w:rPr>
          <w:t xml:space="preserve">Постановления</w:t>
        </w:r>
      </w:hyperlink>
      <w:r>
        <w:rPr>
          <w:sz w:val="20"/>
        </w:rPr>
        <w:t xml:space="preserve"> Правительства РФ от 17.09.2018 N 1096)</w:t>
      </w:r>
    </w:p>
    <w:p>
      <w:pPr>
        <w:pStyle w:val="0"/>
        <w:spacing w:before="200" w:line-rule="auto"/>
        <w:ind w:firstLine="540"/>
        <w:jc w:val="both"/>
      </w:pPr>
      <w:r>
        <w:rPr>
          <w:sz w:val="20"/>
        </w:rPr>
        <w:t xml:space="preserve">31(3). Акт технологической и (или) аварийной брони подлежит включению в договор в качестве приложения вплоть до истечения срока его действия либо до расторжения договора. Если этот акт был составлен после заключения договора, то он подлежит включению в договор в качестве приложения с даты его согласования с сетевой организацией.</w:t>
      </w:r>
    </w:p>
    <w:p>
      <w:pPr>
        <w:pStyle w:val="0"/>
        <w:jc w:val="both"/>
      </w:pPr>
      <w:r>
        <w:rPr>
          <w:sz w:val="20"/>
        </w:rPr>
        <w:t xml:space="preserve">(п. 31(3) введен </w:t>
      </w:r>
      <w:hyperlink w:history="0" r:id="rId304"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Постановлением</w:t>
        </w:r>
      </w:hyperlink>
      <w:r>
        <w:rPr>
          <w:sz w:val="20"/>
        </w:rPr>
        <w:t xml:space="preserve"> Правительства РФ от 04.05.2012 N 442)</w:t>
      </w:r>
    </w:p>
    <w:bookmarkStart w:id="423" w:name="P423"/>
    <w:bookmarkEnd w:id="423"/>
    <w:p>
      <w:pPr>
        <w:pStyle w:val="0"/>
        <w:spacing w:before="200" w:line-rule="auto"/>
        <w:ind w:firstLine="540"/>
        <w:jc w:val="both"/>
      </w:pPr>
      <w:r>
        <w:rPr>
          <w:sz w:val="20"/>
        </w:rPr>
        <w:t xml:space="preserve">31(4). Потребитель электрической энергии (мощности), указанный в </w:t>
      </w:r>
      <w:hyperlink w:history="0" w:anchor="P408" w:tooltip="31(1). В целях исполнения договора в части условий о величинах технологической и (или) аварийной брони потребитель электрической энергии, энергопринимающее устройство которого отнесено к первой категории надежности, а также потребитель электрической энергии, частичное или полное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ийся к категориям, определенным в приложении к Правилам полного и (или) части...">
        <w:r>
          <w:rPr>
            <w:sz w:val="20"/>
            <w:color w:val="0000ff"/>
          </w:rPr>
          <w:t xml:space="preserve">пункте 31(1)</w:t>
        </w:r>
      </w:hyperlink>
      <w:r>
        <w:rPr>
          <w:sz w:val="20"/>
        </w:rPr>
        <w:t xml:space="preserve"> настоящих Правил, составляет и направляет в 2 экземплярах проект акта согласования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технологически присоединены (непосредственно или опосредовано) энергопринимающие устройства такого потребителя, любым способом, позволяющим подтвердить факт его получения, до заключения договора оказания услуг по передаче электрической энергии или в течение 30 календарных дней со дня заключения такого договора, или в сроки, установленные </w:t>
      </w:r>
      <w:hyperlink w:history="0" w:anchor="P413" w:tooltip="31(2). Акт согласования технологической и (или) аварийной брони должен быть оформлен вновь в следующих случаях:">
        <w:r>
          <w:rPr>
            <w:sz w:val="20"/>
            <w:color w:val="0000ff"/>
          </w:rPr>
          <w:t xml:space="preserve">пунктом 31(2)</w:t>
        </w:r>
      </w:hyperlink>
      <w:r>
        <w:rPr>
          <w:sz w:val="20"/>
        </w:rPr>
        <w:t xml:space="preserve"> настоящих Правил. Сетевая организация обязана в течение 10 рабочих дней со дня получения проекта указанного акта рассмотреть его, подписать и направить 1 экземпляр указанному потребителю. При необходимости проведения осмотра (обследования) энергопринимающих устройств, в отношении которых заключен договор, указанный срок может быть продлен, но не более чем на 10 рабочих дней.</w:t>
      </w:r>
    </w:p>
    <w:p>
      <w:pPr>
        <w:pStyle w:val="0"/>
        <w:spacing w:before="200" w:line-rule="auto"/>
        <w:ind w:firstLine="540"/>
        <w:jc w:val="both"/>
      </w:pPr>
      <w:r>
        <w:rPr>
          <w:sz w:val="20"/>
        </w:rPr>
        <w:t xml:space="preserve">Акт согласования технологической и (или) аварийной брони составляется по </w:t>
      </w:r>
      <w:hyperlink w:history="0" r:id="rId305" w:tooltip="Приказ Минэнерго России от 06.06.2013 N 290 (ред. от 18.10.2018) &quot;Об утверждении Правил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quot; (Зарегистрировано в Минюсте России 09.08.2013 N 29348) {КонсультантПлюс}">
        <w:r>
          <w:rPr>
            <w:sz w:val="20"/>
            <w:color w:val="0000ff"/>
          </w:rPr>
          <w:t xml:space="preserve">форме</w:t>
        </w:r>
      </w:hyperlink>
      <w:r>
        <w:rPr>
          <w:sz w:val="20"/>
        </w:rPr>
        <w:t xml:space="preserve"> и в соответствии с требованиями, предусмотренными </w:t>
      </w:r>
      <w:hyperlink w:history="0" r:id="rId306" w:tooltip="Приказ Минэнерго России от 06.06.2013 N 290 (ред. от 18.10.2018) &quot;Об утверждении Правил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quot; (Зарегистрировано в Минюсте России 09.08.2013 N 29348) {КонсультантПлюс}">
        <w:r>
          <w:rPr>
            <w:sz w:val="20"/>
            <w:color w:val="0000ff"/>
          </w:rPr>
          <w:t xml:space="preserve">правилами</w:t>
        </w:r>
      </w:hyperlink>
      <w:r>
        <w:rPr>
          <w:sz w:val="20"/>
        </w:rP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pPr>
        <w:pStyle w:val="0"/>
        <w:spacing w:before="200" w:line-rule="auto"/>
        <w:ind w:firstLine="540"/>
        <w:jc w:val="both"/>
      </w:pPr>
      <w:r>
        <w:rPr>
          <w:sz w:val="20"/>
        </w:rPr>
        <w:t xml:space="preserve">К проекту акта согласования технологической и (или) аварийной брони должны быть приложены документы, предусмотренные </w:t>
      </w:r>
      <w:hyperlink w:history="0" w:anchor="P1186" w:tooltip="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ым последствиям, относящихся к категориям, определенным в приложении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quot;О...">
        <w:r>
          <w:rPr>
            <w:sz w:val="20"/>
            <w:color w:val="0000ff"/>
          </w:rPr>
          <w:t xml:space="preserve">пунктом 14(2)</w:t>
        </w:r>
      </w:hyperlink>
      <w:r>
        <w:rPr>
          <w:sz w:val="20"/>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pStyle w:val="0"/>
        <w:spacing w:before="200" w:line-rule="auto"/>
        <w:ind w:firstLine="540"/>
        <w:jc w:val="both"/>
      </w:pPr>
      <w:r>
        <w:rPr>
          <w:sz w:val="20"/>
        </w:rPr>
        <w:t xml:space="preserve">При рассмотрении проекта акта согласования технологической и (или) аварийной брони сетевая организация обязана осуществить проверку представленных сведений в целях определения величин технологической и аварийной брони. При необходимости сетевая организация вправе осуществить осмотр (обследование) энергопринимающих устройств потребителя электрической энергии, объектов электроэнергетики в целях проверки представленных потребителем сведений и проекта акта согласования технологической и (или) аварийной брони.</w:t>
      </w:r>
    </w:p>
    <w:p>
      <w:pPr>
        <w:pStyle w:val="0"/>
        <w:spacing w:before="200" w:line-rule="auto"/>
        <w:ind w:firstLine="540"/>
        <w:jc w:val="both"/>
      </w:pPr>
      <w:r>
        <w:rPr>
          <w:sz w:val="20"/>
        </w:rPr>
        <w:t xml:space="preserve">В случае несогласия сетевой организации с представленным заявителем проектом акта согласования технологической и (или) аварийной брони, в том числе по результатам проведенной сетевой организацией проверки,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относительно величины технологической и (или) аварийной брони, то в качестве согласованной величины технологической и (или) аварийной брони принимается величина, указанная в таких замечаниях.</w:t>
      </w:r>
    </w:p>
    <w:p>
      <w:pPr>
        <w:pStyle w:val="0"/>
        <w:spacing w:before="200" w:line-rule="auto"/>
        <w:ind w:firstLine="540"/>
        <w:jc w:val="both"/>
      </w:pPr>
      <w:r>
        <w:rPr>
          <w:sz w:val="20"/>
        </w:rPr>
        <w:t xml:space="preserve">В случае если энергопринимающие устройства потребителя электрической энергии (мощности) технологически присоединены к объектам электросетевого хозяйства 2 и более сетевых организаций, акт согласования технологической и (или) аварийной брони согласовывается и подписывается между указанным потребителем и данными сетевыми организациями, при этом потребитель одновременно направляет проект такого акта в адрес каждой сетевой организации любым способом, позволяющим подтвердить факт его получения. Сетевые организации обязаны в течение 30 рабочих дней со дня получения проекта указанного акта рассмотреть его, подписать и направить 1 экземпляр акта потребителю.</w:t>
      </w:r>
    </w:p>
    <w:p>
      <w:pPr>
        <w:pStyle w:val="0"/>
        <w:jc w:val="both"/>
      </w:pPr>
      <w:r>
        <w:rPr>
          <w:sz w:val="20"/>
        </w:rPr>
        <w:t xml:space="preserve">(п. 31(4) в ред. </w:t>
      </w:r>
      <w:hyperlink w:history="0" r:id="rId307" w:tooltip="Постановление Правительства РФ от 17.09.2018 N 1096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sz w:val="20"/>
            <w:color w:val="0000ff"/>
          </w:rPr>
          <w:t xml:space="preserve">Постановления</w:t>
        </w:r>
      </w:hyperlink>
      <w:r>
        <w:rPr>
          <w:sz w:val="20"/>
        </w:rPr>
        <w:t xml:space="preserve"> Правительства РФ от 17.09.2018 N 1096)</w:t>
      </w:r>
    </w:p>
    <w:p>
      <w:pPr>
        <w:pStyle w:val="0"/>
        <w:spacing w:before="200" w:line-rule="auto"/>
        <w:ind w:firstLine="540"/>
        <w:jc w:val="both"/>
      </w:pPr>
      <w:r>
        <w:rPr>
          <w:sz w:val="20"/>
        </w:rPr>
        <w:t xml:space="preserve">31(5). В договор включаются условия, соответствующие установленной документами о технологическом присоединении категории надежности энергопринимающих устройств, в отношении которых заключен договор:</w:t>
      </w:r>
    </w:p>
    <w:p>
      <w:pPr>
        <w:pStyle w:val="0"/>
        <w:spacing w:before="200" w:line-rule="auto"/>
        <w:ind w:firstLine="540"/>
        <w:jc w:val="both"/>
      </w:pPr>
      <w:r>
        <w:rPr>
          <w:sz w:val="20"/>
        </w:rPr>
        <w:t xml:space="preserve">а) о допустимом числе часов ограничения режима потребления в год, не связанного с неисполнением потребителем услуг (потребителем электрической энергии, в интересах которого заключен договор) обязательств по соответствующим договорам и их расторжением, а также с обстоятельствами непреодолимой силы и иными основаниями, исключающим ответственность сетевых организаций, гарантирующих поставщиков, энергосбытовых организаций и иных субъектов электроэнергетики перед потребителем услуг (потребителем электрической энергии, в интересах которого заключен договор) в соответствии с законодательством Российской Федерации и условиями договоров. Условие о допустимом числе часов отключений потребления в год не исключает обязанность потребителя услуг (потребителя электрической энергии, в интересах которого заключен договор) совершать действия, предусмотренные </w:t>
      </w:r>
      <w:hyperlink w:history="0" r:id="rId308"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Правилами</w:t>
        </w:r>
      </w:hyperlink>
      <w:r>
        <w:rPr>
          <w:sz w:val="20"/>
        </w:rPr>
        <w:t xml:space="preserve"> полного и (или) частичного ограничения режима потребления электрической энергии, направленные на введение в отношении него полного или частичного ограничения режима потребления по истечении указанного допустимого числа часов отключений потребления в год;</w:t>
      </w:r>
    </w:p>
    <w:p>
      <w:pPr>
        <w:pStyle w:val="0"/>
        <w:spacing w:before="200" w:line-rule="auto"/>
        <w:ind w:firstLine="540"/>
        <w:jc w:val="both"/>
      </w:pPr>
      <w:r>
        <w:rPr>
          <w:sz w:val="20"/>
        </w:rPr>
        <w:t xml:space="preserve">б) о сроке восстановления энергоснабжения энергопринимающих устройств, в отношении которых заключен договор.</w:t>
      </w:r>
    </w:p>
    <w:p>
      <w:pPr>
        <w:pStyle w:val="0"/>
        <w:jc w:val="both"/>
      </w:pPr>
      <w:r>
        <w:rPr>
          <w:sz w:val="20"/>
        </w:rPr>
        <w:t xml:space="preserve">(п. 31(5) введен </w:t>
      </w:r>
      <w:hyperlink w:history="0" r:id="rId309"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Постановлением</w:t>
        </w:r>
      </w:hyperlink>
      <w:r>
        <w:rPr>
          <w:sz w:val="20"/>
        </w:rPr>
        <w:t xml:space="preserve"> Правительства РФ от 04.05.2012 N 442)</w:t>
      </w:r>
    </w:p>
    <w:p>
      <w:pPr>
        <w:pStyle w:val="0"/>
        <w:spacing w:before="200" w:line-rule="auto"/>
        <w:ind w:firstLine="540"/>
        <w:jc w:val="both"/>
      </w:pPr>
      <w:r>
        <w:rPr>
          <w:sz w:val="20"/>
        </w:rPr>
        <w:t xml:space="preserve">31(6). Категория надежности обусловливает содержание обязательств сетевой организации по обеспечению надежности снабжения электрической энергией энергопринимающих устройств, в отношении которых заключен договор.</w:t>
      </w:r>
    </w:p>
    <w:p>
      <w:pPr>
        <w:pStyle w:val="0"/>
        <w:spacing w:before="200" w:line-rule="auto"/>
        <w:ind w:firstLine="540"/>
        <w:jc w:val="both"/>
      </w:pPr>
      <w:r>
        <w:rPr>
          <w:sz w:val="20"/>
        </w:rPr>
        <w:t xml:space="preserve">Для первой и второй категорий надежности допустимое число часов отключения в год и сроки восстановления энергоснабжения определяются сторонами в договоре в зависимости от параметров схемы электроснабжения, наличия резервных источников питания и особенностей технологического процесса осуществляемой потребителем услуг (потребителем электрической энергии, в интересах которого заключен договор) деятельности, но не могут быть более величин, предусмотренных для третьей категории надежности.</w:t>
      </w:r>
    </w:p>
    <w:p>
      <w:pPr>
        <w:pStyle w:val="0"/>
        <w:spacing w:before="200" w:line-rule="auto"/>
        <w:ind w:firstLine="540"/>
        <w:jc w:val="both"/>
      </w:pPr>
      <w:r>
        <w:rPr>
          <w:sz w:val="20"/>
        </w:rPr>
        <w:t xml:space="preserve">Для первой категории надежности срок восстановления энергоснабжения не может превышать время автоматического восстановления питания, а допустимое число часов отключения в год не может быть более величины, предусмотренной для второй категории надежности.</w:t>
      </w:r>
    </w:p>
    <w:p>
      <w:pPr>
        <w:pStyle w:val="0"/>
        <w:jc w:val="both"/>
      </w:pPr>
      <w:r>
        <w:rPr>
          <w:sz w:val="20"/>
        </w:rPr>
        <w:t xml:space="preserve">(абзац введен </w:t>
      </w:r>
      <w:hyperlink w:history="0" r:id="rId310"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13.08.2018 N 937)</w:t>
      </w:r>
    </w:p>
    <w:p>
      <w:pPr>
        <w:pStyle w:val="0"/>
        <w:spacing w:before="200" w:line-rule="auto"/>
        <w:ind w:firstLine="540"/>
        <w:jc w:val="both"/>
      </w:pPr>
      <w:r>
        <w:rPr>
          <w:sz w:val="20"/>
        </w:rPr>
        <w:t xml:space="preserve">Для второй категории надежности срок восстановления энергоснабжения определяется временем автоматического восстановления питания либо в случае отсутствия устройств автоматики для ввода резервного источника - временем выполнения оперативным персоналом сетевой организации переключений в электроустановках.</w:t>
      </w:r>
    </w:p>
    <w:p>
      <w:pPr>
        <w:pStyle w:val="0"/>
        <w:jc w:val="both"/>
      </w:pPr>
      <w:r>
        <w:rPr>
          <w:sz w:val="20"/>
        </w:rPr>
        <w:t xml:space="preserve">(абзац введен </w:t>
      </w:r>
      <w:hyperlink w:history="0" r:id="rId311"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13.08.2018 N 937)</w:t>
      </w:r>
    </w:p>
    <w:p>
      <w:pPr>
        <w:pStyle w:val="0"/>
        <w:spacing w:before="200" w:line-rule="auto"/>
        <w:ind w:firstLine="540"/>
        <w:jc w:val="both"/>
      </w:pPr>
      <w:r>
        <w:rPr>
          <w:sz w:val="20"/>
        </w:rPr>
        <w:t xml:space="preserve">Время автоматического восстановления электроснабжения определяется при технологическом присоединении энергопринимающих устройств потребителя. В случае отсутствия указания времени автоматического восстановления электроснабжения в документах о технологическом присоединении такое время определяется сетевой организацией по согласованию с потребителем в зависимости от параметров схемы внешнего электроснабжения потребителя и применяемых в ней устройств сетевой автоматики как максимальное время действия автоматики восстановления питания от резервных источников.</w:t>
      </w:r>
    </w:p>
    <w:p>
      <w:pPr>
        <w:pStyle w:val="0"/>
        <w:jc w:val="both"/>
      </w:pPr>
      <w:r>
        <w:rPr>
          <w:sz w:val="20"/>
        </w:rPr>
        <w:t xml:space="preserve">(абзац введен </w:t>
      </w:r>
      <w:hyperlink w:history="0" r:id="rId312"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13.08.2018 N 937)</w:t>
      </w:r>
    </w:p>
    <w:p>
      <w:pPr>
        <w:pStyle w:val="0"/>
        <w:spacing w:before="200" w:line-rule="auto"/>
        <w:ind w:firstLine="540"/>
        <w:jc w:val="both"/>
      </w:pPr>
      <w:r>
        <w:rPr>
          <w:sz w:val="20"/>
        </w:rPr>
        <w:t xml:space="preserve">Требования к сроку восстановления энергоснабжения энергопринимающих устройств первой и второй категории надежности не распространяются на случаи отключения нагрузки потребления энергопринимающих устройств действием противоаварийной автоматики. В указанных случаях восстановление электроснабжения таких потребителей от электрической сети сетевой организации производится по диспетчерской команде (разрешению) соответствующего диспетчерского центра субъекта оперативно-диспетчерского управления в электроэнергетике.</w:t>
      </w:r>
    </w:p>
    <w:p>
      <w:pPr>
        <w:pStyle w:val="0"/>
        <w:jc w:val="both"/>
      </w:pPr>
      <w:r>
        <w:rPr>
          <w:sz w:val="20"/>
        </w:rPr>
        <w:t xml:space="preserve">(абзац введен </w:t>
      </w:r>
      <w:hyperlink w:history="0" r:id="rId313"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13.08.2018 N 937)</w:t>
      </w:r>
    </w:p>
    <w:p>
      <w:pPr>
        <w:pStyle w:val="0"/>
        <w:spacing w:before="200" w:line-rule="auto"/>
        <w:ind w:firstLine="540"/>
        <w:jc w:val="both"/>
      </w:pPr>
      <w:r>
        <w:rPr>
          <w:sz w:val="20"/>
        </w:rPr>
        <w:t xml:space="preserve">Для третьей категории надежности допустимое число часов отключения в год составляет 72 часа, но не более 24 часов подряд, включая срок восстановления электроснабжения, за исключением случаев, когда для производства ремонта объектов электросетевого хозяйства необходимы более длительные сроки, согласованные с Федеральной службой по экологическому, технологическому и атомному надзору.</w:t>
      </w:r>
    </w:p>
    <w:p>
      <w:pPr>
        <w:pStyle w:val="0"/>
        <w:spacing w:before="200" w:line-rule="auto"/>
        <w:ind w:firstLine="540"/>
        <w:jc w:val="both"/>
      </w:pPr>
      <w:r>
        <w:rPr>
          <w:sz w:val="20"/>
        </w:rPr>
        <w:t xml:space="preserve">Потребитель услуг (потребитель электрической энергии, в интересах которого заключен договор) обязан обеспечить поддержание автономного резервного источника питания мощностью, достаточной для обеспечения электроснабжения соответствующих электроприемников потребителя, необходимость установки которого определена в процессе технологического присоединения, в состоянии готовности к его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pPr>
        <w:pStyle w:val="0"/>
        <w:jc w:val="both"/>
      </w:pPr>
      <w:r>
        <w:rPr>
          <w:sz w:val="20"/>
        </w:rPr>
        <w:t xml:space="preserve">(в ред. </w:t>
      </w:r>
      <w:hyperlink w:history="0" r:id="rId314"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13.08.2018 N 937)</w:t>
      </w:r>
    </w:p>
    <w:p>
      <w:pPr>
        <w:pStyle w:val="0"/>
        <w:spacing w:before="200" w:line-rule="auto"/>
        <w:ind w:firstLine="540"/>
        <w:jc w:val="both"/>
      </w:pPr>
      <w:r>
        <w:rPr>
          <w:sz w:val="20"/>
        </w:rPr>
        <w:t xml:space="preserve">Если необходимость установки автономных резервных источников питания возникла после завершения технологического присоединения, то потребитель услуг (потребитель электрической энергии, в интересах которого заключен договор) обязан обеспечить его установку и подключение в порядке, установленном </w:t>
      </w:r>
      <w:hyperlink w:history="0" w:anchor="P835" w:tooltip="ПРАВИЛА">
        <w:r>
          <w:rPr>
            <w:sz w:val="20"/>
            <w:color w:val="0000ff"/>
          </w:rPr>
          <w:t xml:space="preserve">Правилами</w:t>
        </w:r>
      </w:hyperlink>
      <w:r>
        <w:rPr>
          <w:sz w:val="20"/>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pStyle w:val="0"/>
        <w:spacing w:before="200" w:line-rule="auto"/>
        <w:ind w:firstLine="540"/>
        <w:jc w:val="both"/>
      </w:pPr>
      <w:r>
        <w:rPr>
          <w:sz w:val="20"/>
        </w:rPr>
        <w:t xml:space="preserve">Сетевая организация не несет ответственности за последствия, возникшие вследствие неисполнения потребителем услуг требований настоящего пункта и повлекшие за собой повреждение оборудования, угрозу жизни и здоровью людей, экологической безопасности и (или) безопасности государства, значительный материальный ущерб, необратимые (недопустимые) нарушения непрерывных технологических процессов производства.</w:t>
      </w:r>
    </w:p>
    <w:p>
      <w:pPr>
        <w:pStyle w:val="0"/>
        <w:jc w:val="both"/>
      </w:pPr>
      <w:r>
        <w:rPr>
          <w:sz w:val="20"/>
        </w:rPr>
        <w:t xml:space="preserve">(п. 31(6) введен </w:t>
      </w:r>
      <w:hyperlink w:history="0" r:id="rId315"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Постановлением</w:t>
        </w:r>
      </w:hyperlink>
      <w:r>
        <w:rPr>
          <w:sz w:val="20"/>
        </w:rPr>
        <w:t xml:space="preserve"> Правительства РФ от 04.05.2012 N 442)</w:t>
      </w:r>
    </w:p>
    <w:p>
      <w:pPr>
        <w:pStyle w:val="0"/>
        <w:spacing w:before="200" w:line-rule="auto"/>
        <w:ind w:firstLine="540"/>
        <w:jc w:val="both"/>
      </w:pPr>
      <w:r>
        <w:rPr>
          <w:sz w:val="20"/>
        </w:rPr>
        <w:t xml:space="preserve">32. Договор, заключенный на определенный срок, считается продленным на тот же срок и на тех же условиях, если до окончания срока его действия ни одна из сторон не заявит о его прекращении, изменении либо о заключении нового договора.</w:t>
      </w:r>
    </w:p>
    <w:p>
      <w:pPr>
        <w:pStyle w:val="0"/>
        <w:spacing w:before="200" w:line-rule="auto"/>
        <w:ind w:firstLine="540"/>
        <w:jc w:val="both"/>
      </w:pPr>
      <w:r>
        <w:rPr>
          <w:sz w:val="20"/>
        </w:rPr>
        <w:t xml:space="preserve">В случае если одной из сторон до окончания срока действия договора внесено предложение о заключении нового договора, отношения сторон до заключения нового договора регулируются в соответствии с условиями ранее заключенного договора.</w:t>
      </w:r>
    </w:p>
    <w:p>
      <w:pPr>
        <w:pStyle w:val="0"/>
        <w:spacing w:before="200" w:line-rule="auto"/>
        <w:ind w:firstLine="540"/>
        <w:jc w:val="both"/>
      </w:pPr>
      <w:r>
        <w:rPr>
          <w:sz w:val="20"/>
        </w:rPr>
        <w:t xml:space="preserve">Договор после завершения процедуры временного технологического присоединения заключается на период электроснабжения энергопринимающих устройств по временной схеме электроснабжения и может быть изменен или расторгнут по основаниям, предусмотренным законодательством Российской Федерации.</w:t>
      </w:r>
    </w:p>
    <w:p>
      <w:pPr>
        <w:pStyle w:val="0"/>
        <w:jc w:val="both"/>
      </w:pPr>
      <w:r>
        <w:rPr>
          <w:sz w:val="20"/>
        </w:rPr>
        <w:t xml:space="preserve">(абзац введен </w:t>
      </w:r>
      <w:hyperlink w:history="0" r:id="rId316" w:tooltip="Постановление Правительства РФ от 26.08.2013 N 737 (ред. от 10.03.2020) &quot;О внесении изменений в некоторые акты Правительства Российской Федерации по вопросу осуществления временного технологического присоединения к электрическим сетям&quot; {КонсультантПлюс}">
        <w:r>
          <w:rPr>
            <w:sz w:val="20"/>
            <w:color w:val="0000ff"/>
          </w:rPr>
          <w:t xml:space="preserve">Постановлением</w:t>
        </w:r>
      </w:hyperlink>
      <w:r>
        <w:rPr>
          <w:sz w:val="20"/>
        </w:rPr>
        <w:t xml:space="preserve"> Правительства РФ от 26.08.2013 N 737)</w:t>
      </w:r>
    </w:p>
    <w:p>
      <w:pPr>
        <w:pStyle w:val="0"/>
        <w:spacing w:before="200" w:line-rule="auto"/>
        <w:ind w:firstLine="540"/>
        <w:jc w:val="both"/>
      </w:pPr>
      <w:r>
        <w:rPr>
          <w:sz w:val="20"/>
        </w:rPr>
        <w:t xml:space="preserve">Сетевая организация обязана в течение 10 дней с момента возникновения оснований для расторжения договора, заключенного с гарантирующим поставщиком (энергосбытовой организацией), направить потребителям, в интересах которых он действует, уведомление о предстоящем расторжении договора и предложение о заключении договора с сетевой организацией.</w:t>
      </w:r>
    </w:p>
    <w:p>
      <w:pPr>
        <w:pStyle w:val="0"/>
        <w:spacing w:before="200" w:line-rule="auto"/>
        <w:ind w:firstLine="540"/>
        <w:jc w:val="both"/>
      </w:pPr>
      <w:r>
        <w:rPr>
          <w:sz w:val="20"/>
        </w:rPr>
        <w:t xml:space="preserve">Расторжение договора не влечет за собой отсоединение энергопринимающего устройства потребителя услуг (потребителя электрической энергии, в интересах которого заключается договор) от электрической сети, за исключением случая расторжения договора, заключенного на период применения временной схемы электроснабжения.</w:t>
      </w:r>
    </w:p>
    <w:p>
      <w:pPr>
        <w:pStyle w:val="0"/>
        <w:jc w:val="both"/>
      </w:pPr>
      <w:r>
        <w:rPr>
          <w:sz w:val="20"/>
        </w:rPr>
        <w:t xml:space="preserve">(в ред. Постановлений Правительства РФ от 02.10.2009 </w:t>
      </w:r>
      <w:hyperlink w:history="0" r:id="rId317" w:tooltip="Постановление Правительства РФ от 02.10.2009 N 785 (ред. от 04.05.201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N 785</w:t>
        </w:r>
      </w:hyperlink>
      <w:r>
        <w:rPr>
          <w:sz w:val="20"/>
        </w:rPr>
        <w:t xml:space="preserve">, от 26.08.2013 </w:t>
      </w:r>
      <w:hyperlink w:history="0" r:id="rId318" w:tooltip="Постановление Правительства РФ от 26.08.2013 N 737 (ред. от 10.03.2020) &quot;О внесении изменений в некоторые акты Правительства Российской Федерации по вопросу осуществления временного технологического присоединения к электрическим сетям&quot; {КонсультантПлюс}">
        <w:r>
          <w:rPr>
            <w:sz w:val="20"/>
            <w:color w:val="0000ff"/>
          </w:rPr>
          <w:t xml:space="preserve">N 737</w:t>
        </w:r>
      </w:hyperlink>
      <w:r>
        <w:rPr>
          <w:sz w:val="20"/>
        </w:rPr>
        <w:t xml:space="preserve">)</w:t>
      </w:r>
    </w:p>
    <w:p>
      <w:pPr>
        <w:pStyle w:val="0"/>
        <w:spacing w:before="200" w:line-rule="auto"/>
        <w:ind w:firstLine="540"/>
        <w:jc w:val="both"/>
      </w:pPr>
      <w:r>
        <w:rPr>
          <w:sz w:val="20"/>
        </w:rPr>
        <w:t xml:space="preserve">33. Перерыв в передаче электрической энергии, прекращение или ограничение режима передачи электрической энергии допускаются по соглашению сторон, за исключением случаев, когда удостоверенное федеральным органом исполнительной власти, осуществляющим федеральный государственный энергетический надзор, неудовлетворительное состояние энергопринимающего устройства потребителя услуг угрожает аварией или создает угрозу жизни и безопасности. О перерыве, прекращении или ограничении передачи электрической энергии в указанных случаях сетевая организация обязана уведомить потребителя услуг в течение 3 дней с даты принятия такого решения, но не позднее чем за 24 часа до введения указанных мер.</w:t>
      </w:r>
    </w:p>
    <w:p>
      <w:pPr>
        <w:pStyle w:val="0"/>
        <w:jc w:val="both"/>
      </w:pPr>
      <w:r>
        <w:rPr>
          <w:sz w:val="20"/>
        </w:rPr>
        <w:t xml:space="preserve">(в ред. </w:t>
      </w:r>
      <w:hyperlink w:history="0" r:id="rId319" w:tooltip="Постановление Правительства РФ от 20.07.2013 N 610 (ред. от 30.06.2021) &quot;О федеральном государственном энергетическом надзоре&quot; {КонсультантПлюс}">
        <w:r>
          <w:rPr>
            <w:sz w:val="20"/>
            <w:color w:val="0000ff"/>
          </w:rPr>
          <w:t xml:space="preserve">Постановления</w:t>
        </w:r>
      </w:hyperlink>
      <w:r>
        <w:rPr>
          <w:sz w:val="20"/>
        </w:rPr>
        <w:t xml:space="preserve"> Правительства РФ от 20.07.2013 N 610)</w:t>
      </w:r>
    </w:p>
    <w:p>
      <w:pPr>
        <w:pStyle w:val="0"/>
        <w:ind w:firstLine="540"/>
        <w:jc w:val="both"/>
      </w:pPr>
      <w:r>
        <w:rPr>
          <w:sz w:val="20"/>
        </w:rPr>
      </w:r>
    </w:p>
    <w:bookmarkStart w:id="460" w:name="P460"/>
    <w:bookmarkEnd w:id="460"/>
    <w:p>
      <w:pPr>
        <w:pStyle w:val="2"/>
        <w:outlineLvl w:val="1"/>
        <w:jc w:val="center"/>
      </w:pPr>
      <w:r>
        <w:rPr>
          <w:sz w:val="20"/>
        </w:rPr>
        <w:t xml:space="preserve">III. Порядок заключения и исполнения договоров</w:t>
      </w:r>
    </w:p>
    <w:p>
      <w:pPr>
        <w:pStyle w:val="2"/>
        <w:jc w:val="center"/>
      </w:pPr>
      <w:r>
        <w:rPr>
          <w:sz w:val="20"/>
        </w:rPr>
        <w:t xml:space="preserve">между сетевыми организациями</w:t>
      </w:r>
    </w:p>
    <w:p>
      <w:pPr>
        <w:pStyle w:val="0"/>
        <w:ind w:firstLine="540"/>
        <w:jc w:val="both"/>
      </w:pPr>
      <w:r>
        <w:rPr>
          <w:sz w:val="20"/>
        </w:rPr>
      </w:r>
    </w:p>
    <w:p>
      <w:pPr>
        <w:pStyle w:val="0"/>
        <w:ind w:firstLine="540"/>
        <w:jc w:val="both"/>
      </w:pPr>
      <w:r>
        <w:rPr>
          <w:sz w:val="20"/>
        </w:rPr>
        <w:t xml:space="preserve">34. По договору между смежными сетевыми организациями одна сторона договора обязуется предоставлять другой стороне услуги по передаче электрической энергии с использованием принадлежащих ей на праве собственности или на ином законном основании объектов электросетевого хозяйства, а другая сторона обязуется оплачивать эти услуги и (или) осуществлять встречное предоставление услуг по передаче электрической энергии. Услуга предоставляется в пределах величины максимальной мощности в точках поставки, перечень которых определяется в договоре об оказании услуг по передаче электрической энергии. Потребитель услуг, предоставляемых по такому договору, определяется в соответствии с </w:t>
      </w:r>
      <w:hyperlink w:history="0" w:anchor="P512" w:tooltip="41. Потребитель услуг по договору между смежными сетевыми организациями определяется следующим образом:">
        <w:r>
          <w:rPr>
            <w:sz w:val="20"/>
            <w:color w:val="0000ff"/>
          </w:rPr>
          <w:t xml:space="preserve">пунктом 41</w:t>
        </w:r>
      </w:hyperlink>
      <w:r>
        <w:rPr>
          <w:sz w:val="20"/>
        </w:rPr>
        <w:t xml:space="preserve"> настоящих Правил.</w:t>
      </w:r>
    </w:p>
    <w:p>
      <w:pPr>
        <w:pStyle w:val="0"/>
        <w:jc w:val="both"/>
      </w:pPr>
      <w:r>
        <w:rPr>
          <w:sz w:val="20"/>
        </w:rPr>
        <w:t xml:space="preserve">(в ред. Постановлений Правительства РФ от 04.05.2012 </w:t>
      </w:r>
      <w:hyperlink w:history="0" r:id="rId320"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N 442</w:t>
        </w:r>
      </w:hyperlink>
      <w:r>
        <w:rPr>
          <w:sz w:val="20"/>
        </w:rPr>
        <w:t xml:space="preserve">, от 27.12.2019 </w:t>
      </w:r>
      <w:hyperlink w:history="0" r:id="rId321" w:tooltip="Постановление Правительства РФ от 27.12.2019 N 1892 (ред. от 16.12.2021) &quot;О внесении изменений в некоторые акты Правительства Российской Федерации по вопросам государственного регулирования цен (тарифов)&quot; {КонсультантПлюс}">
        <w:r>
          <w:rPr>
            <w:sz w:val="20"/>
            <w:color w:val="0000ff"/>
          </w:rPr>
          <w:t xml:space="preserve">N 1892</w:t>
        </w:r>
      </w:hyperlink>
      <w:r>
        <w:rPr>
          <w:sz w:val="20"/>
        </w:rPr>
        <w:t xml:space="preserve">)</w:t>
      </w:r>
    </w:p>
    <w:p>
      <w:pPr>
        <w:pStyle w:val="0"/>
        <w:spacing w:before="200" w:line-rule="auto"/>
        <w:ind w:firstLine="540"/>
        <w:jc w:val="both"/>
      </w:pPr>
      <w:r>
        <w:rPr>
          <w:sz w:val="20"/>
        </w:rPr>
        <w:t xml:space="preserve">35. При заключении договора между смежными сетевыми организациями стороны определяют принадлежащие им на праве собственности или на ином законном основании объекты электросетевого хозяйства, в отношении которых необходимо осуществить взаимную координацию изменения эксплуатационного состояния, ремонтных работ, модернизацию оборудования и иные мероприятия (далее - объекты межсетевой координации). Перечень объектов межсетевой координации является неотъемлемой частью договора между смежными сетевыми организациями.</w:t>
      </w:r>
    </w:p>
    <w:p>
      <w:pPr>
        <w:pStyle w:val="0"/>
        <w:spacing w:before="200" w:line-rule="auto"/>
        <w:ind w:firstLine="540"/>
        <w:jc w:val="both"/>
      </w:pPr>
      <w:r>
        <w:rPr>
          <w:sz w:val="20"/>
        </w:rPr>
        <w:t xml:space="preserve">В перечне объектов межсетевой координации указывается сторона, выполняющая изменение (согласующая выполнение изменения) эксплуатационного состояния линий электропередачи, оборудования и устройств объектов электросетевого хозяйства, включенных в указанный перечень, с распределением функций каждой из сетевых организаций по технологическому управлению и ведению в соответствии с </w:t>
      </w:r>
      <w:hyperlink w:history="0" r:id="rId322"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Правилами</w:t>
        </w:r>
      </w:hyperlink>
      <w:r>
        <w:rPr>
          <w:sz w:val="20"/>
        </w:rPr>
        <w:t xml:space="preserve"> технологического функционирования электроэнергетических систем.</w:t>
      </w:r>
    </w:p>
    <w:p>
      <w:pPr>
        <w:pStyle w:val="0"/>
        <w:jc w:val="both"/>
      </w:pPr>
      <w:r>
        <w:rPr>
          <w:sz w:val="20"/>
        </w:rPr>
        <w:t xml:space="preserve">(в ред. </w:t>
      </w:r>
      <w:hyperlink w:history="0" r:id="rId323"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13.08.2018 N 937)</w:t>
      </w:r>
    </w:p>
    <w:p>
      <w:pPr>
        <w:pStyle w:val="0"/>
        <w:spacing w:before="200" w:line-rule="auto"/>
        <w:ind w:firstLine="540"/>
        <w:jc w:val="both"/>
      </w:pPr>
      <w:r>
        <w:rPr>
          <w:sz w:val="20"/>
        </w:rPr>
        <w:t xml:space="preserve">В перечень объектов межсетевой координации не включаются объекты электросетевого хозяйства, которые содержатся в перечнях объектов диспетчеризации диспетчерских центров системного оператора или иных субъектов оперативно-диспетчерского управления.</w:t>
      </w:r>
    </w:p>
    <w:p>
      <w:pPr>
        <w:pStyle w:val="0"/>
        <w:spacing w:before="200" w:line-rule="auto"/>
        <w:ind w:firstLine="540"/>
        <w:jc w:val="both"/>
      </w:pPr>
      <w:r>
        <w:rPr>
          <w:sz w:val="20"/>
        </w:rPr>
        <w:t xml:space="preserve">Определение одной из сетевых организаций в качестве организации, выполняющей изменения (согласующей выполнение изменений) эксплуатационного состояния объектов межсетевой координации, не влияет на цену договора между смежными сетевыми организациями.</w:t>
      </w:r>
    </w:p>
    <w:p>
      <w:pPr>
        <w:pStyle w:val="0"/>
        <w:spacing w:before="200" w:line-rule="auto"/>
        <w:ind w:firstLine="540"/>
        <w:jc w:val="both"/>
      </w:pPr>
      <w:r>
        <w:rPr>
          <w:sz w:val="20"/>
        </w:rPr>
        <w:t xml:space="preserve">36. Сетевая организация не вправе отказать смежной сетевой организации в заключении договора.</w:t>
      </w:r>
    </w:p>
    <w:p>
      <w:pPr>
        <w:pStyle w:val="0"/>
        <w:spacing w:before="200" w:line-rule="auto"/>
        <w:ind w:firstLine="540"/>
        <w:jc w:val="both"/>
      </w:pPr>
      <w:r>
        <w:rPr>
          <w:sz w:val="20"/>
        </w:rPr>
        <w:t xml:space="preserve">Договоры между смежными сетевыми организациями заключаются в соответствии с гражданским законодательством Российской Федерации и законодательством Российской Федерации об электроэнергетике с учетом особенностей, установленных настоящими Правилами.</w:t>
      </w:r>
    </w:p>
    <w:p>
      <w:pPr>
        <w:pStyle w:val="0"/>
        <w:spacing w:before="200" w:line-rule="auto"/>
        <w:ind w:firstLine="540"/>
        <w:jc w:val="both"/>
      </w:pPr>
      <w:r>
        <w:rPr>
          <w:sz w:val="20"/>
        </w:rPr>
        <w:t xml:space="preserve">При необоснованном отказе или уклонении сетевой организации от заключения договора другая сторона вправе обратиться в суд с требованием о понуждении заключить договор и возмещении ей причиненных убытков.</w:t>
      </w:r>
    </w:p>
    <w:p>
      <w:pPr>
        <w:pStyle w:val="0"/>
        <w:spacing w:before="200" w:line-rule="auto"/>
        <w:ind w:firstLine="540"/>
        <w:jc w:val="both"/>
      </w:pPr>
      <w:r>
        <w:rPr>
          <w:sz w:val="20"/>
        </w:rPr>
        <w:t xml:space="preserve">37. Отношения, связанные с иными владельцами объектов электросетевого хозяйства, входящих в единую национальную (общероссийскую) электрическую сеть, регулируются на основании договоров о порядке использования объектов электросетевого хозяйства, входящих в единую национальную (общероссийскую) электрическую сеть. Срок действия таких договоров ограничивается переходным периодом реформирования электроэнергетики.</w:t>
      </w:r>
    </w:p>
    <w:p>
      <w:pPr>
        <w:pStyle w:val="0"/>
        <w:spacing w:before="200" w:line-rule="auto"/>
        <w:ind w:firstLine="540"/>
        <w:jc w:val="both"/>
      </w:pPr>
      <w:r>
        <w:rPr>
          <w:sz w:val="20"/>
        </w:rPr>
        <w:t xml:space="preserve">По окончании переходного периода реформирования электроэнергетики отношения по предоставлению услуг по передаче электрической энергии с использованием объектов электросетевого хозяйства, входящих в единую национальную (общероссийскую) электрическую сеть, регулируются с организацией по управлению единой национальной (общероссийской) электрической сетью, за исключением случаев, когда договоры с использованием указанных объектов заключаются собственниками таких объектов самостоятельно.</w:t>
      </w:r>
    </w:p>
    <w:p>
      <w:pPr>
        <w:pStyle w:val="0"/>
        <w:spacing w:before="200" w:line-rule="auto"/>
        <w:ind w:firstLine="540"/>
        <w:jc w:val="both"/>
      </w:pPr>
      <w:r>
        <w:rPr>
          <w:sz w:val="20"/>
        </w:rPr>
        <w:t xml:space="preserve">Отношения, связанные с оказанием услуг по передаче электрической энергии с использованием объектов электросетевого хозяйства, принадлежащих открытому акционерному обществу "Концерн по производству электрической и тепловой энергии на атомных станциях", регулируются на основании договора с организацией по управлению единой национальной (общероссийской) электрической сетью.</w:t>
      </w:r>
    </w:p>
    <w:p>
      <w:pPr>
        <w:pStyle w:val="0"/>
        <w:jc w:val="both"/>
      </w:pPr>
      <w:r>
        <w:rPr>
          <w:sz w:val="20"/>
        </w:rPr>
        <w:t xml:space="preserve">(в ред. </w:t>
      </w:r>
      <w:hyperlink w:history="0" r:id="rId324"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bookmarkStart w:id="477" w:name="P477"/>
    <w:bookmarkEnd w:id="477"/>
    <w:p>
      <w:pPr>
        <w:pStyle w:val="0"/>
        <w:spacing w:before="200" w:line-rule="auto"/>
        <w:ind w:firstLine="540"/>
        <w:jc w:val="both"/>
      </w:pPr>
      <w:r>
        <w:rPr>
          <w:sz w:val="20"/>
        </w:rPr>
        <w:t xml:space="preserve">38. Договор между смежными сетевыми организациями должен содержать следующие существенные условия:</w:t>
      </w:r>
    </w:p>
    <w:p>
      <w:pPr>
        <w:pStyle w:val="0"/>
        <w:spacing w:before="200" w:line-rule="auto"/>
        <w:ind w:firstLine="540"/>
        <w:jc w:val="both"/>
      </w:pPr>
      <w:r>
        <w:rPr>
          <w:sz w:val="20"/>
        </w:rPr>
        <w:t xml:space="preserve">а) величина максимальной мощности, в пределах которой соответствующая сторона обязуется обеспечивать передачу электрической энергии в соответствующей точке поставки;</w:t>
      </w:r>
    </w:p>
    <w:p>
      <w:pPr>
        <w:pStyle w:val="0"/>
        <w:jc w:val="both"/>
      </w:pPr>
      <w:r>
        <w:rPr>
          <w:sz w:val="20"/>
        </w:rPr>
        <w:t xml:space="preserve">(в ред. </w:t>
      </w:r>
      <w:hyperlink w:history="0" r:id="rId325"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spacing w:before="200" w:line-rule="auto"/>
        <w:ind w:firstLine="540"/>
        <w:jc w:val="both"/>
      </w:pPr>
      <w:r>
        <w:rPr>
          <w:sz w:val="20"/>
        </w:rPr>
        <w:t xml:space="preserve">б) ответственность сторон договора за состояние и обслуживание объектов электросетевого хозяйства, которая фиксируется в прилагаемом к договору акте разграничения балансовой принадлежности электросетей и эксплуатационной ответственности сторон или в акте об осуществлении технологического присоединения (при наличии в нем информации о границах балансовой принадлежности объектов электроэнергетики (энергопринимающих устройств) сторон и эксплуатационной ответственности сторон);</w:t>
      </w:r>
    </w:p>
    <w:p>
      <w:pPr>
        <w:pStyle w:val="0"/>
        <w:jc w:val="both"/>
      </w:pPr>
      <w:r>
        <w:rPr>
          <w:sz w:val="20"/>
        </w:rPr>
        <w:t xml:space="preserve">(в ред. </w:t>
      </w:r>
      <w:hyperlink w:history="0" r:id="rId326"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Постановления</w:t>
        </w:r>
      </w:hyperlink>
      <w:r>
        <w:rPr>
          <w:sz w:val="20"/>
        </w:rPr>
        <w:t xml:space="preserve"> Правительства РФ от 07.05.2017 N 542)</w:t>
      </w:r>
    </w:p>
    <w:p>
      <w:pPr>
        <w:pStyle w:val="0"/>
        <w:spacing w:before="200" w:line-rule="auto"/>
        <w:ind w:firstLine="540"/>
        <w:jc w:val="both"/>
      </w:pPr>
      <w:r>
        <w:rPr>
          <w:sz w:val="20"/>
        </w:rPr>
        <w:t xml:space="preserve">б(1)) величина заявленной мощности, определяемая по соглашению сторон;</w:t>
      </w:r>
    </w:p>
    <w:p>
      <w:pPr>
        <w:pStyle w:val="0"/>
        <w:jc w:val="both"/>
      </w:pPr>
      <w:r>
        <w:rPr>
          <w:sz w:val="20"/>
        </w:rPr>
        <w:t xml:space="preserve">(пп. "б(1)" введен </w:t>
      </w:r>
      <w:hyperlink w:history="0" r:id="rId327" w:tooltip="Постановление Правительства РФ от 31.07.2014 N 740 &quot;О внесении изменений в постановление Правительства Российской Федерации от 27 декабря 2004 г. N 861 в целях уточнения порядка определения объема услуг по передаче электрической энергии, оплачиваемых потребителями услуг&quot; {КонсультантПлюс}">
        <w:r>
          <w:rPr>
            <w:sz w:val="20"/>
            <w:color w:val="0000ff"/>
          </w:rPr>
          <w:t xml:space="preserve">Постановлением</w:t>
        </w:r>
      </w:hyperlink>
      <w:r>
        <w:rPr>
          <w:sz w:val="20"/>
        </w:rPr>
        <w:t xml:space="preserve"> Правительства РФ от 31.07.2014 N 740)</w:t>
      </w:r>
    </w:p>
    <w:p>
      <w:pPr>
        <w:pStyle w:val="0"/>
        <w:spacing w:before="200" w:line-rule="auto"/>
        <w:ind w:firstLine="540"/>
        <w:jc w:val="both"/>
      </w:pPr>
      <w:r>
        <w:rPr>
          <w:sz w:val="20"/>
        </w:rPr>
        <w:t xml:space="preserve">в) порядок осуществления расчетов за оказанные услуги с учетом положений </w:t>
      </w:r>
      <w:hyperlink w:history="0" w:anchor="P512" w:tooltip="41. Потребитель услуг по договору между смежными сетевыми организациями определяется следующим образом:">
        <w:r>
          <w:rPr>
            <w:sz w:val="20"/>
            <w:color w:val="0000ff"/>
          </w:rPr>
          <w:t xml:space="preserve">пункта 41</w:t>
        </w:r>
      </w:hyperlink>
      <w:r>
        <w:rPr>
          <w:sz w:val="20"/>
        </w:rPr>
        <w:t xml:space="preserve"> настоящих Правил;</w:t>
      </w:r>
    </w:p>
    <w:p>
      <w:pPr>
        <w:pStyle w:val="0"/>
        <w:spacing w:before="200" w:line-rule="auto"/>
        <w:ind w:firstLine="540"/>
        <w:jc w:val="both"/>
      </w:pPr>
      <w:r>
        <w:rPr>
          <w:sz w:val="20"/>
        </w:rPr>
        <w:t xml:space="preserve">г) технические характеристики точек присоединения объектов электросетевого хозяйства, принадлежащих сторонам договора, включая их пропускную способность;</w:t>
      </w:r>
    </w:p>
    <w:p>
      <w:pPr>
        <w:pStyle w:val="0"/>
        <w:spacing w:before="200" w:line-rule="auto"/>
        <w:ind w:firstLine="540"/>
        <w:jc w:val="both"/>
      </w:pPr>
      <w:r>
        <w:rPr>
          <w:sz w:val="20"/>
        </w:rPr>
        <w:t xml:space="preserve">д) перечень объектов межсетевой координации с указанием в нем стороны, выполняющей изменения (согласующей выполнение изменений) эксплуатационного состояния линий электропередачи, оборудования, устройств объектов электросетевого хозяйства, включенных в указанный перечень, с распределением между сетевыми организациями функций по технологическому управлению и ведению ими, а также порядка обеспечения координации действий сторон при выполнении таких изменений и ремонтных работ с учетом </w:t>
      </w:r>
      <w:hyperlink w:history="0" r:id="rId328"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Правил</w:t>
        </w:r>
      </w:hyperlink>
      <w:r>
        <w:rPr>
          <w:sz w:val="20"/>
        </w:rPr>
        <w:t xml:space="preserve"> технологического функционирования электроэнергетических систем и </w:t>
      </w:r>
      <w:hyperlink w:history="0" r:id="rId329"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Правил</w:t>
        </w:r>
      </w:hyperlink>
      <w:r>
        <w:rPr>
          <w:sz w:val="20"/>
        </w:rPr>
        <w:t xml:space="preserve"> вывода объектов электроэнергетики в ремонт и из эксплуатации, утвержденных постановлением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w:t>
      </w:r>
    </w:p>
    <w:p>
      <w:pPr>
        <w:pStyle w:val="0"/>
        <w:jc w:val="both"/>
      </w:pPr>
      <w:r>
        <w:rPr>
          <w:sz w:val="20"/>
        </w:rPr>
        <w:t xml:space="preserve">(в ред. Постановлений Правительства РФ от 13.08.2018 </w:t>
      </w:r>
      <w:hyperlink w:history="0" r:id="rId330"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N 937</w:t>
        </w:r>
      </w:hyperlink>
      <w:r>
        <w:rPr>
          <w:sz w:val="20"/>
        </w:rPr>
        <w:t xml:space="preserve">, от 30.01.2021 </w:t>
      </w:r>
      <w:hyperlink w:history="0" r:id="rId331"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N 86</w:t>
        </w:r>
      </w:hyperlink>
      <w:r>
        <w:rPr>
          <w:sz w:val="20"/>
        </w:rPr>
        <w:t xml:space="preserve">)</w:t>
      </w:r>
    </w:p>
    <w:p>
      <w:pPr>
        <w:pStyle w:val="0"/>
        <w:spacing w:before="200" w:line-rule="auto"/>
        <w:ind w:firstLine="540"/>
        <w:jc w:val="both"/>
      </w:pPr>
      <w:r>
        <w:rPr>
          <w:sz w:val="20"/>
        </w:rPr>
        <w:t xml:space="preserve">д(1)) порядок взаимодействия сетевых организаций при организации и осуществлении оперативно-технологического управления в соответствии с требованиями </w:t>
      </w:r>
      <w:hyperlink w:history="0" r:id="rId332"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Правил</w:t>
        </w:r>
      </w:hyperlink>
      <w:r>
        <w:rPr>
          <w:sz w:val="20"/>
        </w:rPr>
        <w:t xml:space="preserve"> технологического функционирования электроэнергетических систем;</w:t>
      </w:r>
    </w:p>
    <w:p>
      <w:pPr>
        <w:pStyle w:val="0"/>
        <w:jc w:val="both"/>
      </w:pPr>
      <w:r>
        <w:rPr>
          <w:sz w:val="20"/>
        </w:rPr>
        <w:t xml:space="preserve">(пп. "д(1)" введен </w:t>
      </w:r>
      <w:hyperlink w:history="0" r:id="rId333"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13.08.2018 N 937)</w:t>
      </w:r>
    </w:p>
    <w:p>
      <w:pPr>
        <w:pStyle w:val="0"/>
        <w:spacing w:before="200" w:line-rule="auto"/>
        <w:ind w:firstLine="540"/>
        <w:jc w:val="both"/>
      </w:pPr>
      <w:r>
        <w:rPr>
          <w:sz w:val="20"/>
        </w:rPr>
        <w:t xml:space="preserve">е) согласованные с субъектом оперативно-диспетчерского управления в электроэнергетике организационно-технические мероприятия по установке устройств компенсации и регулирования реактивной мощности в электрических сетях, являющихся объектами диспетчеризации соответствующего субъекта оперативно-диспетчерского управления в электроэнергетике, которые направлены на обеспечение выполнения сетевой организацией своих обязанностей перед потребителем электрической энергии, предусмотренных </w:t>
      </w:r>
      <w:hyperlink w:history="0" w:anchor="P281" w:tooltip="а) обеспечить передачу электрической энергии в точке поставки потребителя услуг (потребителя электрической энергии, в интересах которого заключается договор), качество и параметры которой должны соответствовать обязательным требованиям, установленным нормативными правовыми актами Российской Федерации, регулирующими отношения в сфере электроэнергетики, с соблюдением величин аварийной и технологической брони;">
        <w:r>
          <w:rPr>
            <w:sz w:val="20"/>
            <w:color w:val="0000ff"/>
          </w:rPr>
          <w:t xml:space="preserve">подпунктом "а" пункта 15</w:t>
        </w:r>
      </w:hyperlink>
      <w:r>
        <w:rPr>
          <w:sz w:val="20"/>
        </w:rPr>
        <w:t xml:space="preserve"> настоящих Правил (при условии соблюдения производителями и потребителями электрической энергии (мощности) требований к качеству электрической энергии по реактивной мощности);</w:t>
      </w:r>
    </w:p>
    <w:p>
      <w:pPr>
        <w:pStyle w:val="0"/>
        <w:jc w:val="both"/>
      </w:pPr>
      <w:r>
        <w:rPr>
          <w:sz w:val="20"/>
        </w:rPr>
        <w:t xml:space="preserve">(пп. "е" в ред. </w:t>
      </w:r>
      <w:hyperlink w:history="0" r:id="rId334"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13.08.2018 N 937)</w:t>
      </w:r>
    </w:p>
    <w:p>
      <w:pPr>
        <w:pStyle w:val="0"/>
        <w:spacing w:before="200" w:line-rule="auto"/>
        <w:ind w:firstLine="540"/>
        <w:jc w:val="both"/>
      </w:pPr>
      <w:r>
        <w:rPr>
          <w:sz w:val="20"/>
        </w:rPr>
        <w:t xml:space="preserve">ж) обязанности сторон по соблюдению требуемых параметров надежности энергоснабжения и качества электрической энергии, режимов потребления электрической энергии, включая поддержание заданных субъектом оперативно-диспетчерского управления в электроэнергетике значений соотношения потребления активной и реактивной мощности на шинах напряжением 110 кВ и выше объектов электросетевого хозяйства, а также по соблюдению установленных субъектом оперативно-диспетчерского управления в электроэнергетике требований по регулированию напряжения и компенсации реактивной мощности;</w:t>
      </w:r>
    </w:p>
    <w:p>
      <w:pPr>
        <w:pStyle w:val="0"/>
        <w:jc w:val="both"/>
      </w:pPr>
      <w:r>
        <w:rPr>
          <w:sz w:val="20"/>
        </w:rPr>
        <w:t xml:space="preserve">(пп. "ж" в ред. </w:t>
      </w:r>
      <w:hyperlink w:history="0" r:id="rId335"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13.08.2018 N 937)</w:t>
      </w:r>
    </w:p>
    <w:p>
      <w:pPr>
        <w:pStyle w:val="0"/>
        <w:spacing w:before="200" w:line-rule="auto"/>
        <w:ind w:firstLine="540"/>
        <w:jc w:val="both"/>
      </w:pPr>
      <w:r>
        <w:rPr>
          <w:sz w:val="20"/>
        </w:rPr>
        <w:t xml:space="preserve">з) порядок взаимодействия сетевой организации, к объектам электросетевого хозяйства которой технологически присоединены энергопринимающие устройства потребителя электрической энергии и (или) которая имеет техническую возможность осуществлять в соответствии с </w:t>
      </w:r>
      <w:hyperlink w:history="0" r:id="rId336"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Правилами</w:t>
        </w:r>
      </w:hyperlink>
      <w:r>
        <w:rPr>
          <w:sz w:val="20"/>
        </w:rPr>
        <w:t xml:space="preserve"> полного и (или) частичного ограничения режима потребления электрической энергии действия по введению полного и (или) частичного ограничения режима потребления электрической энергии в отношении такого потребителя, с сетевой организацией, имеющей договор в отношении энергопринимающих устройств этого потребителя, в процессе введения полного и (или) частичного ограничения режима потребления электрической энергии в отношении такого потребителя электрической энергии, а также ответственность за нарушение указанного порядка.</w:t>
      </w:r>
    </w:p>
    <w:p>
      <w:pPr>
        <w:pStyle w:val="0"/>
        <w:jc w:val="both"/>
      </w:pPr>
      <w:r>
        <w:rPr>
          <w:sz w:val="20"/>
        </w:rPr>
        <w:t xml:space="preserve">(пп. "з" введен </w:t>
      </w:r>
      <w:hyperlink w:history="0" r:id="rId337"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Постановлением</w:t>
        </w:r>
      </w:hyperlink>
      <w:r>
        <w:rPr>
          <w:sz w:val="20"/>
        </w:rPr>
        <w:t xml:space="preserve"> Правительства РФ от 04.05.2012 N 442)</w:t>
      </w:r>
    </w:p>
    <w:p>
      <w:pPr>
        <w:pStyle w:val="0"/>
        <w:spacing w:before="200" w:line-rule="auto"/>
        <w:ind w:firstLine="540"/>
        <w:jc w:val="both"/>
      </w:pPr>
      <w:r>
        <w:rPr>
          <w:sz w:val="20"/>
        </w:rPr>
        <w:t xml:space="preserve">39. Договором между смежными сетевыми организациями также должны быть урегулированы следующие условия:</w:t>
      </w:r>
    </w:p>
    <w:p>
      <w:pPr>
        <w:pStyle w:val="0"/>
        <w:jc w:val="both"/>
      </w:pPr>
      <w:r>
        <w:rPr>
          <w:sz w:val="20"/>
        </w:rPr>
        <w:t xml:space="preserve">(в ред. </w:t>
      </w:r>
      <w:hyperlink w:history="0" r:id="rId338"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spacing w:before="200" w:line-rule="auto"/>
        <w:ind w:firstLine="540"/>
        <w:jc w:val="both"/>
      </w:pPr>
      <w:r>
        <w:rPr>
          <w:sz w:val="20"/>
        </w:rPr>
        <w:t xml:space="preserve">а) условия поддержания соответствующих обязательным требованиям параметров надежности энергоснабжения и качества электрической энергии, включая условия параллельной работы электрических сетей, принадлежащих сторонам договора;</w:t>
      </w:r>
    </w:p>
    <w:p>
      <w:pPr>
        <w:pStyle w:val="0"/>
        <w:spacing w:before="200" w:line-rule="auto"/>
        <w:ind w:firstLine="540"/>
        <w:jc w:val="both"/>
      </w:pPr>
      <w:r>
        <w:rPr>
          <w:sz w:val="20"/>
        </w:rPr>
        <w:t xml:space="preserve">б) порядок оборудования принадлежащих сторонам договора объектов электросетевого хозяйства устройствами релейной защиты и автоматики (при их отсутствии) и порядок взаимодействия сторон договора при их настройке и использовании;</w:t>
      </w:r>
    </w:p>
    <w:p>
      <w:pPr>
        <w:pStyle w:val="0"/>
        <w:jc w:val="both"/>
      </w:pPr>
      <w:r>
        <w:rPr>
          <w:sz w:val="20"/>
        </w:rPr>
        <w:t xml:space="preserve">(в ред. </w:t>
      </w:r>
      <w:hyperlink w:history="0" r:id="rId339"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13.08.2018 N 937)</w:t>
      </w:r>
    </w:p>
    <w:p>
      <w:pPr>
        <w:pStyle w:val="0"/>
        <w:spacing w:before="200" w:line-rule="auto"/>
        <w:ind w:firstLine="540"/>
        <w:jc w:val="both"/>
      </w:pPr>
      <w:r>
        <w:rPr>
          <w:sz w:val="20"/>
        </w:rPr>
        <w:t xml:space="preserve">в) порядок оборудования принадлежащих сторонам договора объектов электросетевого хозяйства приборами учета электрической энергии и мощности и осуществления учета перетоков электрической энергии через точки присоединения объектов электросетевого хозяйства, принадлежащих сторонам договора;</w:t>
      </w:r>
    </w:p>
    <w:p>
      <w:pPr>
        <w:pStyle w:val="0"/>
        <w:spacing w:before="200" w:line-rule="auto"/>
        <w:ind w:firstLine="540"/>
        <w:jc w:val="both"/>
      </w:pPr>
      <w:r>
        <w:rPr>
          <w:sz w:val="20"/>
        </w:rPr>
        <w:t xml:space="preserve">г) порядок взаимного уведомления сторонами договора о действиях, которые могут иметь последствия для технологических режимов функционирования объектов электросетевого хозяйства другой стороны, в том числе порядок согласования и взаимного уведомления о ремонтных и профилактических работах на объектах электросетевого хозяйства;</w:t>
      </w:r>
    </w:p>
    <w:p>
      <w:pPr>
        <w:pStyle w:val="0"/>
        <w:spacing w:before="200" w:line-rule="auto"/>
        <w:ind w:firstLine="540"/>
        <w:jc w:val="both"/>
      </w:pPr>
      <w:r>
        <w:rPr>
          <w:sz w:val="20"/>
        </w:rPr>
        <w:t xml:space="preserve">д) порядок взаимодействия сторон договора при возникновении и ликвидации технологических нарушений в работе принадлежащих сторонам объектов электросетевого хозяйства;</w:t>
      </w:r>
    </w:p>
    <w:p>
      <w:pPr>
        <w:pStyle w:val="0"/>
        <w:spacing w:before="200" w:line-rule="auto"/>
        <w:ind w:firstLine="540"/>
        <w:jc w:val="both"/>
      </w:pPr>
      <w:r>
        <w:rPr>
          <w:sz w:val="20"/>
        </w:rPr>
        <w:t xml:space="preserve">е) объемы и порядок предоставления сторонами договора технологической информации (электрические схемы, характеристики оборудования, данные о режимах его работы и другие данные, необходимые для выполнения условий договора).</w:t>
      </w:r>
    </w:p>
    <w:p>
      <w:pPr>
        <w:pStyle w:val="0"/>
        <w:spacing w:before="200" w:line-rule="auto"/>
        <w:ind w:firstLine="540"/>
        <w:jc w:val="both"/>
      </w:pPr>
      <w:r>
        <w:rPr>
          <w:sz w:val="20"/>
        </w:rPr>
        <w:t xml:space="preserve">40. Сетевые организации при исполнении предусмотренного настоящим разделом договора обязаны:</w:t>
      </w:r>
    </w:p>
    <w:p>
      <w:pPr>
        <w:pStyle w:val="0"/>
        <w:spacing w:before="200" w:line-rule="auto"/>
        <w:ind w:firstLine="540"/>
        <w:jc w:val="both"/>
      </w:pPr>
      <w:r>
        <w:rPr>
          <w:sz w:val="20"/>
        </w:rPr>
        <w:t xml:space="preserve">а) обеспечивать работоспособное состояние и соблюдение обязательных требований к эксплуатации принадлежащих им на праве собственности или на ином законном основании устройств релейной защиты и автоматики, приборов учета электрической энергии и мощности, а также иных устройств, необходимых для поддержания требуемых параметров надежности и качества электрической энергии;</w:t>
      </w:r>
    </w:p>
    <w:p>
      <w:pPr>
        <w:pStyle w:val="0"/>
        <w:jc w:val="both"/>
      </w:pPr>
      <w:r>
        <w:rPr>
          <w:sz w:val="20"/>
        </w:rPr>
        <w:t xml:space="preserve">(в ред. </w:t>
      </w:r>
      <w:hyperlink w:history="0" r:id="rId340"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13.08.2018 N 937)</w:t>
      </w:r>
    </w:p>
    <w:p>
      <w:pPr>
        <w:pStyle w:val="0"/>
        <w:spacing w:before="200" w:line-rule="auto"/>
        <w:ind w:firstLine="540"/>
        <w:jc w:val="both"/>
      </w:pPr>
      <w:r>
        <w:rPr>
          <w:sz w:val="20"/>
        </w:rPr>
        <w:t xml:space="preserve">б) своевременно информировать другую сторону договора о возникновении (угрозе возникновения) аварийных ситуаций в работе принадлежащих им объектов электросетевого хозяйства, а также о ремонтных и профилактических работах, проводимых на указанных объектах;</w:t>
      </w:r>
    </w:p>
    <w:p>
      <w:pPr>
        <w:pStyle w:val="0"/>
        <w:spacing w:before="200" w:line-rule="auto"/>
        <w:ind w:firstLine="540"/>
        <w:jc w:val="both"/>
      </w:pPr>
      <w:r>
        <w:rPr>
          <w:sz w:val="20"/>
        </w:rPr>
        <w:t xml:space="preserve">в) беспрепятственно допускать уполномоченных представителей другой стороны договора в пункты контроля и учета количества и качества переданной электрической энергии.</w:t>
      </w:r>
    </w:p>
    <w:p>
      <w:pPr>
        <w:pStyle w:val="0"/>
        <w:spacing w:before="200" w:line-rule="auto"/>
        <w:ind w:firstLine="540"/>
        <w:jc w:val="both"/>
      </w:pPr>
      <w:r>
        <w:rPr>
          <w:sz w:val="20"/>
        </w:rPr>
        <w:t xml:space="preserve">40(1). Исполнение договора между смежными сетевыми организациями осуществляется со дня вступления в силу установленных индивидуальных цен (тарифов) на услуги по передаче электрической энергии для взаиморасчетов между данными смежными сетевыми организациями.</w:t>
      </w:r>
    </w:p>
    <w:p>
      <w:pPr>
        <w:pStyle w:val="0"/>
        <w:jc w:val="both"/>
      </w:pPr>
      <w:r>
        <w:rPr>
          <w:sz w:val="20"/>
        </w:rPr>
        <w:t xml:space="preserve">(п. 40(1) введен </w:t>
      </w:r>
      <w:hyperlink w:history="0" r:id="rId341" w:tooltip="Постановление Правительства РФ от 27.12.2019 N 1892 (ред. от 16.12.2021) &quot;О внесении изменений в некоторые акты Правительства Российской Федерации по вопросам государственного регулирования цен (тарифов)&quot; {КонсультантПлюс}">
        <w:r>
          <w:rPr>
            <w:sz w:val="20"/>
            <w:color w:val="0000ff"/>
          </w:rPr>
          <w:t xml:space="preserve">Постановлением</w:t>
        </w:r>
      </w:hyperlink>
      <w:r>
        <w:rPr>
          <w:sz w:val="20"/>
        </w:rPr>
        <w:t xml:space="preserve"> Правительства РФ от 27.12.2019 N 1892)</w:t>
      </w:r>
    </w:p>
    <w:bookmarkStart w:id="512" w:name="P512"/>
    <w:bookmarkEnd w:id="512"/>
    <w:p>
      <w:pPr>
        <w:pStyle w:val="0"/>
        <w:spacing w:before="200" w:line-rule="auto"/>
        <w:ind w:firstLine="540"/>
        <w:jc w:val="both"/>
      </w:pPr>
      <w:r>
        <w:rPr>
          <w:sz w:val="20"/>
        </w:rPr>
        <w:t xml:space="preserve">41. Потребитель услуг по договору между смежными сетевыми организациями определяется следующим образом:</w:t>
      </w:r>
    </w:p>
    <w:p>
      <w:pPr>
        <w:pStyle w:val="0"/>
        <w:spacing w:before="200" w:line-rule="auto"/>
        <w:ind w:firstLine="540"/>
        <w:jc w:val="both"/>
      </w:pPr>
      <w:r>
        <w:rPr>
          <w:sz w:val="20"/>
        </w:rPr>
        <w:t xml:space="preserve">а) при исполнении договора между владельцами объектов электросетевого хозяйства, входящих в единую национальную (общероссийскую) электрическую сеть, и территориальными сетевыми организациями потребителем услуг является территориальная сетевая организация;</w:t>
      </w:r>
    </w:p>
    <w:p>
      <w:pPr>
        <w:pStyle w:val="0"/>
        <w:spacing w:before="200" w:line-rule="auto"/>
        <w:ind w:firstLine="540"/>
        <w:jc w:val="both"/>
      </w:pPr>
      <w:r>
        <w:rPr>
          <w:sz w:val="20"/>
        </w:rPr>
        <w:t xml:space="preserve">б) при исполнении договора между организацией по управлению единой национальной (общероссийской) электрической сетью и иными владельцами объектов электросетевого хозяйства, входящих в единую национальную (общероссийскую) электрическую сеть, потребителями услуг являются эти иные владельцы объектов электросетевого хозяйства, входящих в единую национальную (общероссийскую) электрическую сеть;</w:t>
      </w:r>
    </w:p>
    <w:p>
      <w:pPr>
        <w:pStyle w:val="0"/>
        <w:spacing w:before="200" w:line-rule="auto"/>
        <w:ind w:firstLine="540"/>
        <w:jc w:val="both"/>
      </w:pPr>
      <w:r>
        <w:rPr>
          <w:sz w:val="20"/>
        </w:rPr>
        <w:t xml:space="preserve">в) утратил силу. - </w:t>
      </w:r>
      <w:hyperlink w:history="0" r:id="rId342" w:tooltip="Постановление Правительства РФ от 30.06.2021 N 1071 &quot;О внесении изменений в пункт 196(1) Правил оптового рынка электрической энергии и мощност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30.06.2021 N 1071;</w:t>
      </w:r>
    </w:p>
    <w:p>
      <w:pPr>
        <w:pStyle w:val="0"/>
        <w:spacing w:before="200" w:line-rule="auto"/>
        <w:ind w:firstLine="540"/>
        <w:jc w:val="both"/>
      </w:pPr>
      <w:r>
        <w:rPr>
          <w:sz w:val="20"/>
        </w:rPr>
        <w:t xml:space="preserve">г) при исполнении договора между территориальными сетевыми организациями, обслуживающими потребителей, расположенных на территории одного субъекта Российской Федерации, сторонами договора осуществляется взаимное предоставление услуг по передаче электрической энергии, при этом потребителями услуг являются обе стороны.</w:t>
      </w:r>
    </w:p>
    <w:bookmarkStart w:id="517" w:name="P517"/>
    <w:bookmarkEnd w:id="517"/>
    <w:p>
      <w:pPr>
        <w:pStyle w:val="0"/>
        <w:spacing w:before="200" w:line-rule="auto"/>
        <w:ind w:firstLine="540"/>
        <w:jc w:val="both"/>
      </w:pPr>
      <w:r>
        <w:rPr>
          <w:sz w:val="20"/>
        </w:rPr>
        <w:t xml:space="preserve">42. При установлении тарифов на услуги по передаче электрической энергии ставки тарифов определяются с учетом необходимости обеспечения равенства единых (котловых) тарифов на услуги по передаче электрической энергии для всех потребителей услуг, расположенных на территории соответствующего субъекта Российской Федерации и принадлежащих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w:t>
      </w:r>
    </w:p>
    <w:p>
      <w:pPr>
        <w:pStyle w:val="0"/>
        <w:jc w:val="both"/>
      </w:pPr>
      <w:r>
        <w:rPr>
          <w:sz w:val="20"/>
        </w:rPr>
        <w:t xml:space="preserve">(в ред. </w:t>
      </w:r>
      <w:hyperlink w:history="0" r:id="rId343" w:tooltip="Постановление Правительства РФ от 07.03.2014 N 179 &quot;О внесении изменений в некоторые акты Правительства Российской Федерации по вопросам электроэнергетики&quot; {КонсультантПлюс}">
        <w:r>
          <w:rPr>
            <w:sz w:val="20"/>
            <w:color w:val="0000ff"/>
          </w:rPr>
          <w:t xml:space="preserve">Постановления</w:t>
        </w:r>
      </w:hyperlink>
      <w:r>
        <w:rPr>
          <w:sz w:val="20"/>
        </w:rPr>
        <w:t xml:space="preserve"> Правительства РФ от 07.03.2014 N 179)</w:t>
      </w:r>
    </w:p>
    <w:p>
      <w:pPr>
        <w:pStyle w:val="0"/>
        <w:spacing w:before="200" w:line-rule="auto"/>
        <w:ind w:firstLine="540"/>
        <w:jc w:val="both"/>
      </w:pPr>
      <w:r>
        <w:rPr>
          <w:sz w:val="20"/>
        </w:rPr>
        <w:t xml:space="preserve">По решению регулирующего органа субъекта Российской Федерации, часть территории которого присоединена к Единой энергетической системе России, а другая часть включена в </w:t>
      </w:r>
      <w:hyperlink w:history="0" r:id="rId344" w:tooltip="Постановление Правительства РФ от 27.12.2004 N 854 (ред. от 30.01.2021) &quot;Об утверждении Правил оперативно-диспетчерского управления в электроэнергетике&quot; {КонсультантПлюс}">
        <w:r>
          <w:rPr>
            <w:sz w:val="20"/>
            <w:color w:val="0000ff"/>
          </w:rPr>
          <w:t xml:space="preserve">перечень</w:t>
        </w:r>
      </w:hyperlink>
      <w:r>
        <w:rPr>
          <w:sz w:val="20"/>
        </w:rPr>
        <w:t xml:space="preserve"> технологически изолированных территориальных электроэнергетических систем и (или) относится к территориям, не связанным с Единой энергетической системой России и технологически изолированными территориальными электроэнергетическими системами, цены (тарифы) на услуги по передаче электрической энергии могут устанавливаться отдельно по электроэнергетическим системам.</w:t>
      </w:r>
    </w:p>
    <w:p>
      <w:pPr>
        <w:pStyle w:val="0"/>
        <w:jc w:val="both"/>
      </w:pPr>
      <w:r>
        <w:rPr>
          <w:sz w:val="20"/>
        </w:rPr>
        <w:t xml:space="preserve">(абзац введен </w:t>
      </w:r>
      <w:hyperlink w:history="0" r:id="rId345" w:tooltip="Постановление Правительства РФ от 30.01.2019 N 64 &quot;О внесении изменений в некоторые акты Правительства Российской Федерации по вопросам регулирования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 признании утратившими силу некоторых актов Правит {КонсультантПлюс}">
        <w:r>
          <w:rPr>
            <w:sz w:val="20"/>
            <w:color w:val="0000ff"/>
          </w:rPr>
          <w:t xml:space="preserve">Постановлением</w:t>
        </w:r>
      </w:hyperlink>
      <w:r>
        <w:rPr>
          <w:sz w:val="20"/>
        </w:rPr>
        <w:t xml:space="preserve"> Правительства РФ от 30.01.2019 N 64)</w:t>
      </w:r>
    </w:p>
    <w:p>
      <w:pPr>
        <w:pStyle w:val="0"/>
        <w:spacing w:before="200" w:line-rule="auto"/>
        <w:ind w:firstLine="540"/>
        <w:jc w:val="both"/>
      </w:pPr>
      <w:r>
        <w:rPr>
          <w:sz w:val="20"/>
        </w:rPr>
        <w:t xml:space="preserve">Расчеты по заключенному территориальными сетевыми организациями в соответствии с настоящим разделом договору осуществляются по тарифу на услуги по передаче электрической энергии, который определяется в соответствии с методическими указаниями, утверждаемыми федеральным органом исполнительной власти в области государственного регулирования тарифов, в отношении каждой из сторон такого договора и носит индивидуальный характер. При этом расходы территориальной сетевой организации на оплату предоставляемых в соответствии с указанным договором услуг включаются в экономически обоснованные расходы, учитываемые при установлении тарифа на услуги по передаче электрической энергии для иных потребителей ее услуг, а доходы другой стороны указанного договора от предоставляемых ею по этому договору услуг и доходы от услуг по передаче электрической энергии, предоставляемых иным потребителям, должны в сумме обеспечивать необходимую валовую выручку данной организации.</w:t>
      </w:r>
    </w:p>
    <w:p>
      <w:pPr>
        <w:pStyle w:val="0"/>
        <w:jc w:val="both"/>
      </w:pPr>
      <w:r>
        <w:rPr>
          <w:sz w:val="20"/>
        </w:rPr>
        <w:t xml:space="preserve">(в ред. </w:t>
      </w:r>
      <w:hyperlink w:history="0" r:id="rId346" w:tooltip="Постановление Правительства РФ от 27.12.2019 N 1892 (ред. от 16.12.2021) &quot;О внесении изменений в некоторые акты Правительства Российской Федерации по вопросам государственного регулирования цен (тарифов)&quot; {КонсультантПлюс}">
        <w:r>
          <w:rPr>
            <w:sz w:val="20"/>
            <w:color w:val="0000ff"/>
          </w:rPr>
          <w:t xml:space="preserve">Постановления</w:t>
        </w:r>
      </w:hyperlink>
      <w:r>
        <w:rPr>
          <w:sz w:val="20"/>
        </w:rPr>
        <w:t xml:space="preserve"> Правительства РФ от 27.12.2019 N 1892)</w:t>
      </w:r>
    </w:p>
    <w:p>
      <w:pPr>
        <w:pStyle w:val="0"/>
        <w:spacing w:before="200" w:line-rule="auto"/>
        <w:ind w:firstLine="540"/>
        <w:jc w:val="both"/>
      </w:pPr>
      <w:r>
        <w:rPr>
          <w:sz w:val="20"/>
        </w:rPr>
        <w:t xml:space="preserve">В случае если потребитель электрической энергии (мощности) одновременно владеет на праве собственности или ином законном основании объектами электросетевого хозяйства, к которым присоединены иные лица, и оказывает таким лицам услуги по передаче электрической энергии на основании соответствующих договоров, объем электрической энергии и соответствующая ему величина мощности, применяемые для определения стоимости услуг по передаче электрической энергии, потребляемой на собственные нужды, определяются в порядке, предусмотренном </w:t>
      </w:r>
      <w:hyperlink w:history="0" w:anchor="P294" w:tooltip="15(1). Обязательства потребителя услуг определяются в размере стоимости оказанных услуг, установленном в соответствии с настоящим пунктом.">
        <w:r>
          <w:rPr>
            <w:sz w:val="20"/>
            <w:color w:val="0000ff"/>
          </w:rPr>
          <w:t xml:space="preserve">пунктом 15(1)</w:t>
        </w:r>
      </w:hyperlink>
      <w:r>
        <w:rPr>
          <w:sz w:val="20"/>
        </w:rPr>
        <w:t xml:space="preserve"> настоящих Правил, исходя из объема электрической энергии (мощности), приобретаемого таким потребителем для собственных нужд.</w:t>
      </w:r>
    </w:p>
    <w:p>
      <w:pPr>
        <w:pStyle w:val="0"/>
        <w:jc w:val="both"/>
      </w:pPr>
      <w:r>
        <w:rPr>
          <w:sz w:val="20"/>
        </w:rPr>
        <w:t xml:space="preserve">(в ред. </w:t>
      </w:r>
      <w:hyperlink w:history="0" r:id="rId347" w:tooltip="Постановление Правительства РФ от 07.07.2015 N 680 &quot;О внесении изменений в некоторые акты Правительства Российской Федерации по вопросам оплаты услуг по передаче электрической энергии отдельными категориями потребителей&quot; {КонсультантПлюс}">
        <w:r>
          <w:rPr>
            <w:sz w:val="20"/>
            <w:color w:val="0000ff"/>
          </w:rPr>
          <w:t xml:space="preserve">Постановления</w:t>
        </w:r>
      </w:hyperlink>
      <w:r>
        <w:rPr>
          <w:sz w:val="20"/>
        </w:rPr>
        <w:t xml:space="preserve"> Правительства РФ от 07.07.2015 N 680)</w:t>
      </w:r>
    </w:p>
    <w:p>
      <w:pPr>
        <w:pStyle w:val="0"/>
        <w:spacing w:before="200" w:line-rule="auto"/>
        <w:ind w:firstLine="540"/>
        <w:jc w:val="both"/>
      </w:pPr>
      <w:r>
        <w:rPr>
          <w:sz w:val="20"/>
        </w:rPr>
        <w:t xml:space="preserve">При расчете единых (котловых) тарифов на услуги по передаче электрической энергии учитываются затраты сетевой организации, обслуживающей преимущественно одного потребителя, на оплату потерь пропорционально объему электрической энергии, передаваемой указанной организацией потребителям, не относящимся к потребителям, которым преимущественно оказывает услуги по передаче электрической энергии сетевая организация, и затраты на содержание сетей сетевой организации, обслуживающей преимущественно одного потребителя, пропорционально объему мощности, передаваемой указанной организацией потребителям, не относящимся к потребителям, которым преимущественно оказывает услуги по передаче электрической энергии сетевая организация.</w:t>
      </w:r>
    </w:p>
    <w:p>
      <w:pPr>
        <w:pStyle w:val="0"/>
        <w:jc w:val="both"/>
      </w:pPr>
      <w:r>
        <w:rPr>
          <w:sz w:val="20"/>
        </w:rPr>
        <w:t xml:space="preserve">(в ред. </w:t>
      </w:r>
      <w:hyperlink w:history="0" r:id="rId348" w:tooltip="Постановление Правительства РФ от 07.07.2015 N 680 &quot;О внесении изменений в некоторые акты Правительства Российской Федерации по вопросам оплаты услуг по передаче электрической энергии отдельными категориями потребителей&quot; {КонсультантПлюс}">
        <w:r>
          <w:rPr>
            <w:sz w:val="20"/>
            <w:color w:val="0000ff"/>
          </w:rPr>
          <w:t xml:space="preserve">Постановления</w:t>
        </w:r>
      </w:hyperlink>
      <w:r>
        <w:rPr>
          <w:sz w:val="20"/>
        </w:rPr>
        <w:t xml:space="preserve"> Правительства РФ от 07.07.2015 N 680)</w:t>
      </w:r>
    </w:p>
    <w:p>
      <w:pPr>
        <w:pStyle w:val="0"/>
        <w:spacing w:before="200" w:line-rule="auto"/>
        <w:ind w:firstLine="540"/>
        <w:jc w:val="both"/>
      </w:pPr>
      <w:r>
        <w:rPr>
          <w:sz w:val="20"/>
        </w:rPr>
        <w:t xml:space="preserve">Абзац утратил силу. - </w:t>
      </w:r>
      <w:hyperlink w:history="0" r:id="rId349" w:tooltip="Постановление Правительства РФ от 31.03.2021 N 496 &quot;О внесении изменений в Правила недискриминационного доступа к услугам по передаче электрической энергии и оказания этих услуг и признании утратившим силу подпункта &quot;б&quot; пункта 2 изменений, которые вносятся в акты Правительства Российской Федерации по вопросу отнесения территорий Республики Крым и г. Севастополя к территориям, которые объединены в первую ценовую зону оптового рынка, утвержденных постановлением Правительства Российской Федерации от 23 декабря {КонсультантПлюс}">
        <w:r>
          <w:rPr>
            <w:sz w:val="20"/>
            <w:color w:val="0000ff"/>
          </w:rPr>
          <w:t xml:space="preserve">Постановление</w:t>
        </w:r>
      </w:hyperlink>
      <w:r>
        <w:rPr>
          <w:sz w:val="20"/>
        </w:rPr>
        <w:t xml:space="preserve"> Правительства РФ от 31.03.2021 N 496.</w:t>
      </w:r>
    </w:p>
    <w:p>
      <w:pPr>
        <w:pStyle w:val="0"/>
        <w:spacing w:before="200" w:line-rule="auto"/>
        <w:ind w:firstLine="540"/>
        <w:jc w:val="both"/>
      </w:pPr>
      <w:r>
        <w:rPr>
          <w:sz w:val="20"/>
        </w:rPr>
        <w:t xml:space="preserve">Ставки единых (котловых) тарифов на услуги по передаче электрической энергии могут устанавливаться органами исполнительной власти субъектов Российской Федерации в области государственного регулирования тарифов в целях обеспечения их равенства для всех потребителей услуг, расположенных на территориях 2 и более субъектов Российской Федерации и принадлежащих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 при наличии согласования между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соответствии с </w:t>
      </w:r>
      <w:r>
        <w:rPr>
          <w:sz w:val="20"/>
        </w:rPr>
        <w:t xml:space="preserve">методическими указаниями</w:t>
      </w:r>
      <w:r>
        <w:rPr>
          <w:sz w:val="20"/>
        </w:rPr>
        <w:t xml:space="preserve"> по расчету регулируемых тарифов и цен на электрическую (тепловую) энергию на розничном (потребительском) рынке,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и по расчету тарифов на услуги по передаче электрической энергии, поставляемой потребителям, не относящимся к населению и приравненным к нему категориям потребителей, утвержденными федеральным органом исполнительной власти в области регулирования тарифов.</w:t>
      </w:r>
    </w:p>
    <w:p>
      <w:pPr>
        <w:pStyle w:val="0"/>
        <w:jc w:val="both"/>
      </w:pPr>
      <w:r>
        <w:rPr>
          <w:sz w:val="20"/>
        </w:rPr>
        <w:t xml:space="preserve">(абзац введен </w:t>
      </w:r>
      <w:hyperlink w:history="0" r:id="rId350" w:tooltip="Постановление Правительства РФ от 04.12.2017 N 1468 &quot;О внесении изменений в некоторые акты Правительства Российской Федерации по вопросу установления регулируемых цен (тарифов) в электроэнергетике&quot; {КонсультантПлюс}">
        <w:r>
          <w:rPr>
            <w:sz w:val="20"/>
            <w:color w:val="0000ff"/>
          </w:rPr>
          <w:t xml:space="preserve">Постановлением</w:t>
        </w:r>
      </w:hyperlink>
      <w:r>
        <w:rPr>
          <w:sz w:val="20"/>
        </w:rPr>
        <w:t xml:space="preserve"> Правительства РФ от 04.12.2017 N 1468)</w:t>
      </w:r>
    </w:p>
    <w:p>
      <w:pPr>
        <w:pStyle w:val="0"/>
        <w:ind w:firstLine="540"/>
        <w:jc w:val="both"/>
      </w:pPr>
      <w:r>
        <w:rPr>
          <w:sz w:val="20"/>
        </w:rPr>
      </w:r>
    </w:p>
    <w:p>
      <w:pPr>
        <w:pStyle w:val="2"/>
        <w:outlineLvl w:val="1"/>
        <w:jc w:val="center"/>
      </w:pPr>
      <w:r>
        <w:rPr>
          <w:sz w:val="20"/>
        </w:rPr>
        <w:t xml:space="preserve">IV. Порядок доступа к электрическим сетям в условиях</w:t>
      </w:r>
    </w:p>
    <w:p>
      <w:pPr>
        <w:pStyle w:val="2"/>
        <w:jc w:val="center"/>
      </w:pPr>
      <w:r>
        <w:rPr>
          <w:sz w:val="20"/>
        </w:rPr>
        <w:t xml:space="preserve">их ограниченной пропускной способности</w:t>
      </w:r>
    </w:p>
    <w:p>
      <w:pPr>
        <w:pStyle w:val="0"/>
        <w:ind w:firstLine="540"/>
        <w:jc w:val="both"/>
      </w:pPr>
      <w:r>
        <w:rPr>
          <w:sz w:val="20"/>
        </w:rPr>
      </w:r>
    </w:p>
    <w:p>
      <w:pPr>
        <w:pStyle w:val="0"/>
        <w:ind w:firstLine="540"/>
        <w:jc w:val="both"/>
      </w:pPr>
      <w:r>
        <w:rPr>
          <w:sz w:val="20"/>
        </w:rPr>
        <w:t xml:space="preserve">Утратил силу. - </w:t>
      </w:r>
      <w:hyperlink w:history="0" r:id="rId351"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13.08.2018 N 937.</w:t>
      </w:r>
    </w:p>
    <w:p>
      <w:pPr>
        <w:pStyle w:val="0"/>
        <w:ind w:firstLine="540"/>
        <w:jc w:val="both"/>
      </w:pPr>
      <w:r>
        <w:rPr>
          <w:sz w:val="20"/>
        </w:rPr>
      </w:r>
    </w:p>
    <w:bookmarkStart w:id="536" w:name="P536"/>
    <w:bookmarkEnd w:id="536"/>
    <w:p>
      <w:pPr>
        <w:pStyle w:val="2"/>
        <w:outlineLvl w:val="1"/>
        <w:jc w:val="center"/>
      </w:pPr>
      <w:r>
        <w:rPr>
          <w:sz w:val="20"/>
        </w:rPr>
        <w:t xml:space="preserve">V. Порядок установления тарифов на услуги по передаче</w:t>
      </w:r>
    </w:p>
    <w:p>
      <w:pPr>
        <w:pStyle w:val="2"/>
        <w:jc w:val="center"/>
      </w:pPr>
      <w:r>
        <w:rPr>
          <w:sz w:val="20"/>
        </w:rPr>
        <w:t xml:space="preserve">электрической энергии, предусматривающий учет степени</w:t>
      </w:r>
    </w:p>
    <w:p>
      <w:pPr>
        <w:pStyle w:val="2"/>
        <w:jc w:val="center"/>
      </w:pPr>
      <w:r>
        <w:rPr>
          <w:sz w:val="20"/>
        </w:rPr>
        <w:t xml:space="preserve">использования мощности электрической сети</w:t>
      </w:r>
    </w:p>
    <w:p>
      <w:pPr>
        <w:pStyle w:val="0"/>
        <w:ind w:firstLine="540"/>
        <w:jc w:val="both"/>
      </w:pPr>
      <w:r>
        <w:rPr>
          <w:sz w:val="20"/>
        </w:rPr>
      </w:r>
    </w:p>
    <w:p>
      <w:pPr>
        <w:pStyle w:val="0"/>
        <w:ind w:firstLine="540"/>
        <w:jc w:val="both"/>
      </w:pPr>
      <w:r>
        <w:rPr>
          <w:sz w:val="20"/>
        </w:rPr>
        <w:t xml:space="preserve">46. Тарифы на услуги по передаче электрической энергии устанавливаются с учетом использования потребителями указанных услуг мощности электрической сети, к которой они технологически присоединены.</w:t>
      </w:r>
    </w:p>
    <w:p>
      <w:pPr>
        <w:pStyle w:val="0"/>
        <w:spacing w:before="200" w:line-rule="auto"/>
        <w:ind w:firstLine="540"/>
        <w:jc w:val="both"/>
      </w:pPr>
      <w:r>
        <w:rPr>
          <w:sz w:val="20"/>
        </w:rPr>
        <w:t xml:space="preserve">47. Заявленная мощность, используемая в целях установления тарифов на услуги по передаче электрической энергии, учитываемая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определяется сетевой организацией в целях ее направления в Федеральную антимонопольную службу и органы исполнительной власти субъектов Российской Федерации в области государственного регулирования тарифов в следующем порядке:</w:t>
      </w:r>
    </w:p>
    <w:p>
      <w:pPr>
        <w:pStyle w:val="0"/>
        <w:jc w:val="both"/>
      </w:pPr>
      <w:r>
        <w:rPr>
          <w:sz w:val="20"/>
        </w:rPr>
        <w:t xml:space="preserve">(в ред. </w:t>
      </w:r>
      <w:hyperlink w:history="0" r:id="rId352" w:tooltip="Постановление Правительства РФ от 04.09.2015 N 941 (ред. от 25.12.2021) &quot;О внесении изменений,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едеральной антимонопольной службой решений об определении (установлении) цен (тарифов) и (или) их предельных уровней в сфере деятельности субъектов естественных монополий и иных регулируемых организаций&quot; {КонсультантПлюс}">
        <w:r>
          <w:rPr>
            <w:sz w:val="20"/>
            <w:color w:val="0000ff"/>
          </w:rPr>
          <w:t xml:space="preserve">Постановления</w:t>
        </w:r>
      </w:hyperlink>
      <w:r>
        <w:rPr>
          <w:sz w:val="20"/>
        </w:rPr>
        <w:t xml:space="preserve"> Правительства РФ от 04.09.2015 N 941)</w:t>
      </w:r>
    </w:p>
    <w:p>
      <w:pPr>
        <w:pStyle w:val="0"/>
        <w:spacing w:before="200" w:line-rule="auto"/>
        <w:ind w:firstLine="540"/>
        <w:jc w:val="both"/>
      </w:pPr>
      <w:r>
        <w:rPr>
          <w:sz w:val="20"/>
        </w:rPr>
        <w:t xml:space="preserve">в случае если в качестве потребителя услуг по передаче электрической энергии выступает сетевая организация, заявленная мощность определяется в соответствии с </w:t>
      </w:r>
      <w:hyperlink w:history="0" w:anchor="P477" w:tooltip="38. Договор между смежными сетевыми организациями должен содержать следующие существенные условия:">
        <w:r>
          <w:rPr>
            <w:sz w:val="20"/>
            <w:color w:val="0000ff"/>
          </w:rPr>
          <w:t xml:space="preserve">пунктом 38</w:t>
        </w:r>
      </w:hyperlink>
      <w:r>
        <w:rPr>
          <w:sz w:val="20"/>
        </w:rPr>
        <w:t xml:space="preserve"> настоящих Правил;</w:t>
      </w:r>
    </w:p>
    <w:p>
      <w:pPr>
        <w:pStyle w:val="0"/>
        <w:spacing w:before="200" w:line-rule="auto"/>
        <w:ind w:firstLine="540"/>
        <w:jc w:val="both"/>
      </w:pPr>
      <w:r>
        <w:rPr>
          <w:sz w:val="20"/>
        </w:rPr>
        <w:t xml:space="preserve">в иных случаях заявленная мощность определяется на основании информации об объемах услуг по передаче электрической энергии потребителей услуг в предыдущих расчетных периодах, определяемых в соответствии с </w:t>
      </w:r>
      <w:hyperlink w:history="0" w:anchor="P294" w:tooltip="15(1). Обязательства потребителя услуг определяются в размере стоимости оказанных услуг, установленном в соответствии с настоящим пунктом.">
        <w:r>
          <w:rPr>
            <w:sz w:val="20"/>
            <w:color w:val="0000ff"/>
          </w:rPr>
          <w:t xml:space="preserve">пунктом 15(1)</w:t>
        </w:r>
      </w:hyperlink>
      <w:r>
        <w:rPr>
          <w:sz w:val="20"/>
        </w:rPr>
        <w:t xml:space="preserve"> настоящего документа, а также на основании информации о максимальных мощностях энергопринимающих устройств, процедура технологического присоединения которых к объектам электросетевого хозяйства сетевой организации на момент направления в Федеральную антимонопольную службу и органы исполнительной власти субъектов Российской Федерации в области государственного регулирования тарифов не завершена.</w:t>
      </w:r>
    </w:p>
    <w:p>
      <w:pPr>
        <w:pStyle w:val="0"/>
        <w:jc w:val="both"/>
      </w:pPr>
      <w:r>
        <w:rPr>
          <w:sz w:val="20"/>
        </w:rPr>
        <w:t xml:space="preserve">(в ред. Постановлений Правительства РФ от 31.07.2014 </w:t>
      </w:r>
      <w:hyperlink w:history="0" r:id="rId353" w:tooltip="Постановление Правительства РФ от 31.07.2014 N 740 &quot;О внесении изменений в постановление Правительства Российской Федерации от 27 декабря 2004 г. N 861 в целях уточнения порядка определения объема услуг по передаче электрической энергии, оплачиваемых потребителями услуг&quot; {КонсультантПлюс}">
        <w:r>
          <w:rPr>
            <w:sz w:val="20"/>
            <w:color w:val="0000ff"/>
          </w:rPr>
          <w:t xml:space="preserve">N 740</w:t>
        </w:r>
      </w:hyperlink>
      <w:r>
        <w:rPr>
          <w:sz w:val="20"/>
        </w:rPr>
        <w:t xml:space="preserve">, от 04.09.2015 </w:t>
      </w:r>
      <w:hyperlink w:history="0" r:id="rId354" w:tooltip="Постановление Правительства РФ от 04.09.2015 N 941 (ред. от 25.12.2021) &quot;О внесении изменений,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едеральной антимонопольной службой решений об определении (установлении) цен (тарифов) и (или) их предельных уровней в сфере деятельности субъектов естественных монополий и иных регулируемых организаций&quot; {КонсультантПлюс}">
        <w:r>
          <w:rPr>
            <w:sz w:val="20"/>
            <w:color w:val="0000ff"/>
          </w:rPr>
          <w:t xml:space="preserve">N 941</w:t>
        </w:r>
      </w:hyperlink>
      <w:r>
        <w:rPr>
          <w:sz w:val="20"/>
        </w:rPr>
        <w:t xml:space="preserve">)</w:t>
      </w:r>
    </w:p>
    <w:p>
      <w:pPr>
        <w:pStyle w:val="0"/>
        <w:spacing w:before="200" w:line-rule="auto"/>
        <w:ind w:firstLine="540"/>
        <w:jc w:val="both"/>
      </w:pPr>
      <w:r>
        <w:rPr>
          <w:sz w:val="20"/>
        </w:rPr>
        <w:t xml:space="preserve">48. Тарифы на услуги по передаче электрической энергии устанавливаются в соответствии с </w:t>
      </w:r>
      <w:hyperlink w:history="0" r:id="rId355"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Основами</w:t>
        </w:r>
      </w:hyperlink>
      <w:r>
        <w:rPr>
          <w:sz w:val="20"/>
        </w:rPr>
        <w:t xml:space="preserve"> ценообразования в области регулируемых цен (тарифов) в электроэнергетике и </w:t>
      </w:r>
      <w:hyperlink w:history="0" r:id="rId356"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Правилами</w:t>
        </w:r>
      </w:hyperlink>
      <w:r>
        <w:rPr>
          <w:sz w:val="20"/>
        </w:rPr>
        <w:t xml:space="preserve"> государственного регулирования (пересмотра, применения) цен (тарифов) в электроэнергетике, с учетом </w:t>
      </w:r>
      <w:hyperlink w:history="0" w:anchor="P517" w:tooltip="42. При установлении тарифов на услуги по передаче электрической энергии ставки тарифов определяются с учетом необходимости обеспечения равенства единых (котловых) тарифов на услуги по передаче электрической энергии для всех потребителей услуг, расположенных на территории соответствующего субъекта Российской Федерации и принадлежащих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
        <w:r>
          <w:rPr>
            <w:sz w:val="20"/>
            <w:color w:val="0000ff"/>
          </w:rPr>
          <w:t xml:space="preserve">пункта 42</w:t>
        </w:r>
      </w:hyperlink>
      <w:r>
        <w:rPr>
          <w:sz w:val="20"/>
        </w:rPr>
        <w:t xml:space="preserve"> настоящих Правил.</w:t>
      </w:r>
    </w:p>
    <w:p>
      <w:pPr>
        <w:pStyle w:val="0"/>
        <w:jc w:val="both"/>
      </w:pPr>
      <w:r>
        <w:rPr>
          <w:sz w:val="20"/>
        </w:rPr>
        <w:t xml:space="preserve">(в ред. </w:t>
      </w:r>
      <w:hyperlink w:history="0" r:id="rId357"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spacing w:before="200" w:line-rule="auto"/>
        <w:ind w:firstLine="540"/>
        <w:jc w:val="both"/>
      </w:pPr>
      <w:r>
        <w:rPr>
          <w:sz w:val="20"/>
        </w:rPr>
        <w:t xml:space="preserve">Абзац утратил силу. - </w:t>
      </w:r>
      <w:hyperlink w:history="0" r:id="rId358"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Постановление</w:t>
        </w:r>
      </w:hyperlink>
      <w:r>
        <w:rPr>
          <w:sz w:val="20"/>
        </w:rPr>
        <w:t xml:space="preserve"> Правительства РФ от 04.05.2012 N 442.</w:t>
      </w:r>
    </w:p>
    <w:p>
      <w:pPr>
        <w:pStyle w:val="0"/>
        <w:spacing w:before="200" w:line-rule="auto"/>
        <w:ind w:firstLine="540"/>
        <w:jc w:val="both"/>
      </w:pPr>
      <w:r>
        <w:rPr>
          <w:sz w:val="20"/>
        </w:rPr>
        <w:t xml:space="preserve">49. Стоимость услуг по передаче электрической энергии сетевой организации, оказанных сетевой организацией производителю электрической энергии, который является субъектом оптового рынка электрической энергии (мощности) и осуществляет продажу электрической энергии (мощности) на оптовом рынке, определяется исходя из величины превышения потребления электрической энергии на собственные нужды над нормативным значением потребления на собственные нужды, определяемого в соответствии с правилами оптового рынка электрической энергии (мощности) переходного периода и договором о присоединении к торговой системе оптового рынка, за вычетом объемов электрической энергии, отпущенной потребителям электрической энергии, присоединенным к энергетическим установкам такого производителя, самостоятельно оплачивающим услуги сетевой организации. При этом указанная плата не должна превышать стоимость услуг сетевой организации, рассчитанной исходя из объема электрической энергии, отпущенной производителю электрической энергии из сетей сетевой организации.</w:t>
      </w:r>
    </w:p>
    <w:p>
      <w:pPr>
        <w:pStyle w:val="0"/>
        <w:spacing w:before="200" w:line-rule="auto"/>
        <w:ind w:firstLine="540"/>
        <w:jc w:val="both"/>
      </w:pPr>
      <w:r>
        <w:rPr>
          <w:sz w:val="20"/>
        </w:rPr>
        <w:t xml:space="preserve">Стоимость услуг сетевой организации, оказанных производителю электрической энергии, осуществляющего продажу электрической энергии (мощности) на розничном рынке, определяется исходя из объема электрической энергии, отпущенной производителю электрической энергии из сетей сетевой организации.</w:t>
      </w:r>
    </w:p>
    <w:p>
      <w:pPr>
        <w:pStyle w:val="0"/>
        <w:ind w:firstLine="540"/>
        <w:jc w:val="both"/>
      </w:pPr>
      <w:r>
        <w:rPr>
          <w:sz w:val="20"/>
        </w:rPr>
      </w:r>
    </w:p>
    <w:p>
      <w:pPr>
        <w:pStyle w:val="2"/>
        <w:outlineLvl w:val="1"/>
        <w:jc w:val="center"/>
      </w:pPr>
      <w:r>
        <w:rPr>
          <w:sz w:val="20"/>
        </w:rPr>
        <w:t xml:space="preserve">VI. Порядок определения потерь в электрических</w:t>
      </w:r>
    </w:p>
    <w:p>
      <w:pPr>
        <w:pStyle w:val="2"/>
        <w:jc w:val="center"/>
      </w:pPr>
      <w:r>
        <w:rPr>
          <w:sz w:val="20"/>
        </w:rPr>
        <w:t xml:space="preserve">сетях и оплаты этих потерь</w:t>
      </w:r>
    </w:p>
    <w:p>
      <w:pPr>
        <w:pStyle w:val="0"/>
        <w:ind w:firstLine="540"/>
        <w:jc w:val="both"/>
      </w:pPr>
      <w:r>
        <w:rPr>
          <w:sz w:val="20"/>
        </w:rPr>
      </w:r>
    </w:p>
    <w:p>
      <w:pPr>
        <w:pStyle w:val="0"/>
        <w:ind w:firstLine="540"/>
        <w:jc w:val="both"/>
      </w:pPr>
      <w:r>
        <w:rPr>
          <w:sz w:val="20"/>
        </w:rPr>
        <w:t xml:space="preserve">50. Размер фактических потерь электрической энергии в электрических сетях определяется как разница между объемом электрической энергии, переданной в электрическую сеть из других сетей или от производителей электрической энергии, и объемом электрической энергии, которая поставлена по договорам энергоснабжения (купли-продажи (поставки) электрической энергии (мощности) и потреблена энергопринимающими устройствами, присоединенными к данной электрической сети, а также объемом электрической энергии, которая передана в электрические сети других сетевых организаций.</w:t>
      </w:r>
    </w:p>
    <w:p>
      <w:pPr>
        <w:pStyle w:val="0"/>
        <w:spacing w:before="200" w:line-rule="auto"/>
        <w:ind w:firstLine="540"/>
        <w:jc w:val="both"/>
      </w:pPr>
      <w:r>
        <w:rPr>
          <w:sz w:val="20"/>
        </w:rPr>
        <w:t xml:space="preserve">В отношении потребителя, энергопринимающее оборудование которого присоединено к объектам электросетевого хозяйства, с использованием которых указанный потребитель оказывает услуги по передаче электрической энергии, размер фактических потерь электрической энергии, возникающих на таких объектах электросетевого хозяйства (V</w:t>
      </w:r>
      <w:r>
        <w:rPr>
          <w:sz w:val="20"/>
          <w:vertAlign w:val="subscript"/>
        </w:rPr>
        <w:t xml:space="preserve">(факт)</w:t>
      </w:r>
      <w:r>
        <w:rPr>
          <w:sz w:val="20"/>
        </w:rPr>
        <w:t xml:space="preserve">), определяется по формуле:</w:t>
      </w:r>
    </w:p>
    <w:p>
      <w:pPr>
        <w:pStyle w:val="0"/>
        <w:jc w:val="both"/>
      </w:pPr>
      <w:r>
        <w:rPr>
          <w:sz w:val="20"/>
        </w:rPr>
        <w:t xml:space="preserve">(абзац введен </w:t>
      </w:r>
      <w:hyperlink w:history="0" r:id="rId359" w:tooltip="Постановление Правительства РФ от 07.07.2017 N 810 &quot;О внесении изменений в некоторые акты Правительства Российской Федерации по вопросам оплаты потерь электрической энергии на оптовом рынке электрической энергии и мощности и розничных рынках электрической энергии, а также получения статуса субъекта оптового рынка электрической энергии и мощности&quot; {КонсультантПлюс}">
        <w:r>
          <w:rPr>
            <w:sz w:val="20"/>
            <w:color w:val="0000ff"/>
          </w:rPr>
          <w:t xml:space="preserve">Постановлением</w:t>
        </w:r>
      </w:hyperlink>
      <w:r>
        <w:rPr>
          <w:sz w:val="20"/>
        </w:rPr>
        <w:t xml:space="preserve"> Правительства РФ от 07.07.2017 N 810)</w:t>
      </w:r>
    </w:p>
    <w:p>
      <w:pPr>
        <w:pStyle w:val="0"/>
        <w:jc w:val="both"/>
      </w:pPr>
      <w:r>
        <w:rPr>
          <w:sz w:val="20"/>
        </w:rPr>
      </w:r>
    </w:p>
    <w:p>
      <w:pPr>
        <w:pStyle w:val="0"/>
        <w:jc w:val="center"/>
      </w:pPr>
      <w:r>
        <w:rPr>
          <w:sz w:val="20"/>
        </w:rPr>
        <w:t xml:space="preserve">V</w:t>
      </w:r>
      <w:r>
        <w:rPr>
          <w:sz w:val="20"/>
          <w:vertAlign w:val="subscript"/>
        </w:rPr>
        <w:t xml:space="preserve">(факт)</w:t>
      </w:r>
      <w:r>
        <w:rPr>
          <w:sz w:val="20"/>
        </w:rPr>
        <w:t xml:space="preserve"> = V</w:t>
      </w:r>
      <w:r>
        <w:rPr>
          <w:sz w:val="20"/>
          <w:vertAlign w:val="subscript"/>
        </w:rPr>
        <w:t xml:space="preserve">(отп)</w:t>
      </w:r>
      <w:r>
        <w:rPr>
          <w:sz w:val="20"/>
        </w:rPr>
        <w:t xml:space="preserve"> x (N / (100% - N)),</w:t>
      </w:r>
    </w:p>
    <w:p>
      <w:pPr>
        <w:pStyle w:val="0"/>
        <w:jc w:val="both"/>
      </w:pPr>
      <w:r>
        <w:rPr>
          <w:sz w:val="20"/>
        </w:rPr>
        <w:t xml:space="preserve">(абзац введен </w:t>
      </w:r>
      <w:hyperlink w:history="0" r:id="rId360" w:tooltip="Постановление Правительства РФ от 07.07.2017 N 810 &quot;О внесении изменений в некоторые акты Правительства Российской Федерации по вопросам оплаты потерь электрической энергии на оптовом рынке электрической энергии и мощности и розничных рынках электрической энергии, а также получения статуса субъекта оптового рынка электрической энергии и мощности&quot; {КонсультантПлюс}">
        <w:r>
          <w:rPr>
            <w:sz w:val="20"/>
            <w:color w:val="0000ff"/>
          </w:rPr>
          <w:t xml:space="preserve">Постановлением</w:t>
        </w:r>
      </w:hyperlink>
      <w:r>
        <w:rPr>
          <w:sz w:val="20"/>
        </w:rPr>
        <w:t xml:space="preserve"> Правительства РФ от 07.07.2017 N 810)</w:t>
      </w:r>
    </w:p>
    <w:p>
      <w:pPr>
        <w:pStyle w:val="0"/>
        <w:jc w:val="both"/>
      </w:pPr>
      <w:r>
        <w:rPr>
          <w:sz w:val="20"/>
        </w:rPr>
      </w:r>
    </w:p>
    <w:p>
      <w:pPr>
        <w:pStyle w:val="0"/>
        <w:ind w:firstLine="540"/>
        <w:jc w:val="both"/>
      </w:pPr>
      <w:r>
        <w:rPr>
          <w:sz w:val="20"/>
        </w:rPr>
        <w:t xml:space="preserve">где:</w:t>
      </w:r>
    </w:p>
    <w:p>
      <w:pPr>
        <w:pStyle w:val="0"/>
        <w:jc w:val="both"/>
      </w:pPr>
      <w:r>
        <w:rPr>
          <w:sz w:val="20"/>
        </w:rPr>
        <w:t xml:space="preserve">(абзац введен </w:t>
      </w:r>
      <w:hyperlink w:history="0" r:id="rId361" w:tooltip="Постановление Правительства РФ от 07.07.2017 N 810 &quot;О внесении изменений в некоторые акты Правительства Российской Федерации по вопросам оплаты потерь электрической энергии на оптовом рынке электрической энергии и мощности и розничных рынках электрической энергии, а также получения статуса субъекта оптового рынка электрической энергии и мощности&quot; {КонсультантПлюс}">
        <w:r>
          <w:rPr>
            <w:sz w:val="20"/>
            <w:color w:val="0000ff"/>
          </w:rPr>
          <w:t xml:space="preserve">Постановлением</w:t>
        </w:r>
      </w:hyperlink>
      <w:r>
        <w:rPr>
          <w:sz w:val="20"/>
        </w:rPr>
        <w:t xml:space="preserve"> Правительства РФ от 07.07.2017 N 810)</w:t>
      </w:r>
    </w:p>
    <w:p>
      <w:pPr>
        <w:pStyle w:val="0"/>
        <w:spacing w:before="200" w:line-rule="auto"/>
        <w:ind w:firstLine="540"/>
        <w:jc w:val="both"/>
      </w:pPr>
      <w:r>
        <w:rPr>
          <w:sz w:val="20"/>
        </w:rPr>
        <w:t xml:space="preserve">V</w:t>
      </w:r>
      <w:r>
        <w:rPr>
          <w:sz w:val="20"/>
          <w:vertAlign w:val="subscript"/>
        </w:rPr>
        <w:t xml:space="preserve">(отп)</w:t>
      </w:r>
      <w:r>
        <w:rPr>
          <w:sz w:val="20"/>
        </w:rPr>
        <w:t xml:space="preserve"> - объем отпуска электрической энергии из электрических сетей потребителя электрической энергии, осуществляющего деятельность по оказанию услуг по передаче электрической энергии, в энергопринимающие устройства (объекты электросетевого хозяйства) смежных субъектов электроэнергетики;</w:t>
      </w:r>
    </w:p>
    <w:p>
      <w:pPr>
        <w:pStyle w:val="0"/>
        <w:jc w:val="both"/>
      </w:pPr>
      <w:r>
        <w:rPr>
          <w:sz w:val="20"/>
        </w:rPr>
        <w:t xml:space="preserve">(абзац введен </w:t>
      </w:r>
      <w:hyperlink w:history="0" r:id="rId362" w:tooltip="Постановление Правительства РФ от 07.07.2017 N 810 &quot;О внесении изменений в некоторые акты Правительства Российской Федерации по вопросам оплаты потерь электрической энергии на оптовом рынке электрической энергии и мощности и розничных рынках электрической энергии, а также получения статуса субъекта оптового рынка электрической энергии и мощности&quot; {КонсультантПлюс}">
        <w:r>
          <w:rPr>
            <w:sz w:val="20"/>
            <w:color w:val="0000ff"/>
          </w:rPr>
          <w:t xml:space="preserve">Постановлением</w:t>
        </w:r>
      </w:hyperlink>
      <w:r>
        <w:rPr>
          <w:sz w:val="20"/>
        </w:rPr>
        <w:t xml:space="preserve"> Правительства РФ от 07.07.2017 N 810)</w:t>
      </w:r>
    </w:p>
    <w:p>
      <w:pPr>
        <w:pStyle w:val="0"/>
        <w:spacing w:before="200" w:line-rule="auto"/>
        <w:ind w:firstLine="540"/>
        <w:jc w:val="both"/>
      </w:pPr>
      <w:r>
        <w:rPr>
          <w:sz w:val="20"/>
        </w:rPr>
        <w:t xml:space="preserve">N - величина технологического расхода (потерь) электрической энергии (уровень потерь электрической энергии при ее передаче по электрическим сетям), которая рассчитана в процентах от объема отпуска электрической энергии в электрическую сеть потребителя электрической энергии, осуществляющего деятельность по оказанию услуг по передаче электрической энергии, как сетевой организации и учтена органом исполнительной власти субъекта Российской Федерации в области государственного регулирования тарифов при установлении единых (котловых) тарифов.</w:t>
      </w:r>
    </w:p>
    <w:p>
      <w:pPr>
        <w:pStyle w:val="0"/>
        <w:jc w:val="both"/>
      </w:pPr>
      <w:r>
        <w:rPr>
          <w:sz w:val="20"/>
        </w:rPr>
        <w:t xml:space="preserve">(абзац введен </w:t>
      </w:r>
      <w:hyperlink w:history="0" r:id="rId363" w:tooltip="Постановление Правительства РФ от 07.07.2017 N 810 &quot;О внесении изменений в некоторые акты Правительства Российской Федерации по вопросам оплаты потерь электрической энергии на оптовом рынке электрической энергии и мощности и розничных рынках электрической энергии, а также получения статуса субъекта оптового рынка электрической энергии и мощности&quot; {КонсультантПлюс}">
        <w:r>
          <w:rPr>
            <w:sz w:val="20"/>
            <w:color w:val="0000ff"/>
          </w:rPr>
          <w:t xml:space="preserve">Постановлением</w:t>
        </w:r>
      </w:hyperlink>
      <w:r>
        <w:rPr>
          <w:sz w:val="20"/>
        </w:rPr>
        <w:t xml:space="preserve"> Правительства РФ от 07.07.2017 N 810)</w:t>
      </w:r>
    </w:p>
    <w:p>
      <w:pPr>
        <w:pStyle w:val="0"/>
        <w:jc w:val="both"/>
      </w:pPr>
      <w:r>
        <w:rPr>
          <w:sz w:val="20"/>
        </w:rPr>
        <w:t xml:space="preserve">(п. 50 в ред. </w:t>
      </w:r>
      <w:hyperlink w:history="0" r:id="rId364" w:tooltip="Постановление Правительства РФ от 24.05.2017 N 624 &quot;О внесении изменений в некоторые акты Правительства Российской Федерации по вопросам введения полного и (или) частичного ограничения режима потребления электрической энергии, а также применения печатей хозяйственных обществ&quot; {КонсультантПлюс}">
        <w:r>
          <w:rPr>
            <w:sz w:val="20"/>
            <w:color w:val="0000ff"/>
          </w:rPr>
          <w:t xml:space="preserve">Постановления</w:t>
        </w:r>
      </w:hyperlink>
      <w:r>
        <w:rPr>
          <w:sz w:val="20"/>
        </w:rPr>
        <w:t xml:space="preserve"> Правительства РФ от 24.05.2017 N 624)</w:t>
      </w:r>
    </w:p>
    <w:p>
      <w:pPr>
        <w:pStyle w:val="0"/>
        <w:spacing w:before="200" w:line-rule="auto"/>
        <w:ind w:firstLine="540"/>
        <w:jc w:val="both"/>
      </w:pPr>
      <w:r>
        <w:rPr>
          <w:sz w:val="20"/>
        </w:rPr>
        <w:t xml:space="preserve">51. Сетевые организации обязаны оплачивать стоимость электрической энергии в объеме фактических потерь электрической энергии, возникших в принадлежащих им объектах сетевого хозяйства.</w:t>
      </w:r>
    </w:p>
    <w:p>
      <w:pPr>
        <w:pStyle w:val="0"/>
        <w:jc w:val="both"/>
      </w:pPr>
      <w:r>
        <w:rPr>
          <w:sz w:val="20"/>
        </w:rPr>
        <w:t xml:space="preserve">(в ред. </w:t>
      </w:r>
      <w:hyperlink w:history="0" r:id="rId365" w:tooltip="Постановление Правительства РФ от 07.07.2017 N 810 &quot;О внесении изменений в некоторые акты Правительства Российской Федерации по вопросам оплаты потерь электрической энергии на оптовом рынке электрической энергии и мощности и розничных рынках электрической энергии, а также получения статуса субъекта оптового рынка электрической энергии и мощности&quot; {КонсультантПлюс}">
        <w:r>
          <w:rPr>
            <w:sz w:val="20"/>
            <w:color w:val="0000ff"/>
          </w:rPr>
          <w:t xml:space="preserve">Постановления</w:t>
        </w:r>
      </w:hyperlink>
      <w:r>
        <w:rPr>
          <w:sz w:val="20"/>
        </w:rPr>
        <w:t xml:space="preserve"> Правительства РФ от 07.07.2017 N 810)</w:t>
      </w:r>
    </w:p>
    <w:p>
      <w:pPr>
        <w:pStyle w:val="0"/>
        <w:spacing w:before="200" w:line-rule="auto"/>
        <w:ind w:firstLine="540"/>
        <w:jc w:val="both"/>
      </w:pPr>
      <w:r>
        <w:rPr>
          <w:sz w:val="20"/>
        </w:rPr>
        <w:t xml:space="preserve">Стоимость электрической энергии в объеме фактических потерь электрической энергии, возникших на объектах электросетевого хозяйства, входящих в единую национальную (общероссийскую) электрическую сеть и принадлежащих собственникам или иным законным владельцам, которые ограничены в соответствии с Федеральным </w:t>
      </w:r>
      <w:hyperlink w:history="0" r:id="rId366" w:tooltip="Федеральный закон от 26.03.2003 N 35-ФЗ (ред. от 11.06.2022) &quot;Об электроэнергетике&quot; (с изм. и доп., вступ. в силу с 01.07.2022) {КонсультантПлюс}">
        <w:r>
          <w:rPr>
            <w:sz w:val="20"/>
            <w:color w:val="0000ff"/>
          </w:rPr>
          <w:t xml:space="preserve">законом</w:t>
        </w:r>
      </w:hyperlink>
      <w:r>
        <w:rPr>
          <w:sz w:val="20"/>
        </w:rP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оплачивается той организацией, которая в соответствии с договором о порядке использования таких объектов обязана приобретать электрическую энергию (мощность) для компенсации возникающих в них фактических потерь электрической энергии.</w:t>
      </w:r>
    </w:p>
    <w:p>
      <w:pPr>
        <w:pStyle w:val="0"/>
        <w:jc w:val="both"/>
      </w:pPr>
      <w:r>
        <w:rPr>
          <w:sz w:val="20"/>
        </w:rPr>
        <w:t xml:space="preserve">(абзац введен </w:t>
      </w:r>
      <w:hyperlink w:history="0" r:id="rId367" w:tooltip="Постановление Правительства РФ от 15.06.2009 N 492 (ред. от 22.10.2012) &quot;О существенных условиях и порядке разрешения разногласий о праве заключения договоров в отношении объектов электросетевого хозяйства, входящих в единую национальную (общероссийскую) электрическую сеть&quot; (вместе с &quot;Правилами разрешения разногласий о праве заключения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ли иным законным владел {КонсультантПлюс}">
        <w:r>
          <w:rPr>
            <w:sz w:val="20"/>
            <w:color w:val="0000ff"/>
          </w:rPr>
          <w:t xml:space="preserve">Постановлением</w:t>
        </w:r>
      </w:hyperlink>
      <w:r>
        <w:rPr>
          <w:sz w:val="20"/>
        </w:rPr>
        <w:t xml:space="preserve"> Правительства РФ от 15.06.2009 N 492; в ред. </w:t>
      </w:r>
      <w:hyperlink w:history="0" r:id="rId368" w:tooltip="Постановление Правительства РФ от 07.07.2017 N 810 &quot;О внесении изменений в некоторые акты Правительства Российской Федерации по вопросам оплаты потерь электрической энергии на оптовом рынке электрической энергии и мощности и розничных рынках электрической энергии, а также получения статуса субъекта оптового рынка электрической энергии и мощности&quot; {КонсультантПлюс}">
        <w:r>
          <w:rPr>
            <w:sz w:val="20"/>
            <w:color w:val="0000ff"/>
          </w:rPr>
          <w:t xml:space="preserve">Постановления</w:t>
        </w:r>
      </w:hyperlink>
      <w:r>
        <w:rPr>
          <w:sz w:val="20"/>
        </w:rPr>
        <w:t xml:space="preserve"> Правительства РФ от 07.07.2017 N 810)</w:t>
      </w:r>
    </w:p>
    <w:p>
      <w:pPr>
        <w:pStyle w:val="0"/>
        <w:spacing w:before="200" w:line-rule="auto"/>
        <w:ind w:firstLine="540"/>
        <w:jc w:val="both"/>
      </w:pPr>
      <w:r>
        <w:rPr>
          <w:sz w:val="20"/>
        </w:rPr>
        <w:t xml:space="preserve">52. Потребители услуг, за исключением производителей электрической энергии, обязаны оплачивать в составе тарифа за услуги по передаче электрической энергии нормативные потери, возникающие при передаче электрической энергии по сети сетевой организацией, с которой соответствующими лицами заключен договор.</w:t>
      </w:r>
    </w:p>
    <w:p>
      <w:pPr>
        <w:pStyle w:val="0"/>
        <w:jc w:val="both"/>
      </w:pPr>
      <w:r>
        <w:rPr>
          <w:sz w:val="20"/>
        </w:rPr>
        <w:t xml:space="preserve">(в ред. Постановлений Правительства РФ от 15.06.2009 </w:t>
      </w:r>
      <w:hyperlink w:history="0" r:id="rId369" w:tooltip="Постановление Правительства РФ от 15.06.2009 N 492 (ред. от 22.10.2012) &quot;О существенных условиях и порядке разрешения разногласий о праве заключения договоров в отношении объектов электросетевого хозяйства, входящих в единую национальную (общероссийскую) электрическую сеть&quot; (вместе с &quot;Правилами разрешения разногласий о праве заключения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ли иным законным владел {КонсультантПлюс}">
        <w:r>
          <w:rPr>
            <w:sz w:val="20"/>
            <w:color w:val="0000ff"/>
          </w:rPr>
          <w:t xml:space="preserve">N 492</w:t>
        </w:r>
      </w:hyperlink>
      <w:r>
        <w:rPr>
          <w:sz w:val="20"/>
        </w:rPr>
        <w:t xml:space="preserve">, от 07.07.2017 </w:t>
      </w:r>
      <w:hyperlink w:history="0" r:id="rId370" w:tooltip="Постановление Правительства РФ от 07.07.2017 N 810 &quot;О внесении изменений в некоторые акты Правительства Российской Федерации по вопросам оплаты потерь электрической энергии на оптовом рынке электрической энергии и мощности и розничных рынках электрической энергии, а также получения статуса субъекта оптового рынка электрической энергии и мощности&quot; {КонсультантПлюс}">
        <w:r>
          <w:rPr>
            <w:sz w:val="20"/>
            <w:color w:val="0000ff"/>
          </w:rPr>
          <w:t xml:space="preserve">N 810</w:t>
        </w:r>
      </w:hyperlink>
      <w:r>
        <w:rPr>
          <w:sz w:val="20"/>
        </w:rPr>
        <w:t xml:space="preserve">)</w:t>
      </w:r>
    </w:p>
    <w:p>
      <w:pPr>
        <w:pStyle w:val="0"/>
        <w:spacing w:before="200" w:line-rule="auto"/>
        <w:ind w:firstLine="540"/>
        <w:jc w:val="both"/>
      </w:pPr>
      <w:r>
        <w:rPr>
          <w:sz w:val="20"/>
        </w:rPr>
        <w:t xml:space="preserve">Потребители услуг, опосредованно присоединенные через энергетические установки производителей электрической энергии, оплачивают в составе тарифа за услуги по передаче электрической энергии нормативные потери только на объемы электрической энергии, не обеспеченные выработкой соответствующей электрической станцией.</w:t>
      </w:r>
    </w:p>
    <w:p>
      <w:pPr>
        <w:pStyle w:val="0"/>
        <w:spacing w:before="200" w:line-rule="auto"/>
        <w:ind w:firstLine="540"/>
        <w:jc w:val="both"/>
      </w:pPr>
      <w:r>
        <w:rPr>
          <w:sz w:val="20"/>
        </w:rPr>
        <w:t xml:space="preserve">Потребители услуг оплачивают потери электрической энергии сверх норматива в случае, если будет доказано, что потери возникли по вине этих потребителей услуг.</w:t>
      </w:r>
    </w:p>
    <w:p>
      <w:pPr>
        <w:pStyle w:val="0"/>
        <w:spacing w:before="200" w:line-rule="auto"/>
        <w:ind w:firstLine="540"/>
        <w:jc w:val="both"/>
      </w:pPr>
      <w:r>
        <w:rPr>
          <w:sz w:val="20"/>
        </w:rPr>
        <w:t xml:space="preserve">53. </w:t>
      </w:r>
      <w:hyperlink w:history="0" r:id="rId371" w:tooltip="Приказ Минэнерго России от 26.09.2017 N 887 &quot;Об утверждении нормативов потерь электрической энергии при ее передаче по электрическим сетям территориальных сетевых организаций&quot; (Зарегистрировано в Минюсте России 18.10.2017 N 48586) {КонсультантПлюс}">
        <w:r>
          <w:rPr>
            <w:sz w:val="20"/>
            <w:color w:val="0000ff"/>
          </w:rPr>
          <w:t xml:space="preserve">Нормативы потерь</w:t>
        </w:r>
      </w:hyperlink>
      <w:r>
        <w:rPr>
          <w:sz w:val="20"/>
        </w:rPr>
        <w:t xml:space="preserve"> электрической энергии при ее передаче по электрическим сетям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соответствии с настоящими Правилами и </w:t>
      </w:r>
      <w:hyperlink w:history="0" r:id="rId372" w:tooltip="Приказ Минэнерго России от 07.08.2014 N 506 (ред. от 31.08.2016) &quot;Об утверждении Методики определения нормативов потерь электрической энергии при ее передаче по электрическим сетям&quot; (Зарегистрировано в Минюсте России 17.09.2014 N 34075) {КонсультантПлюс}">
        <w:r>
          <w:rPr>
            <w:sz w:val="20"/>
            <w:color w:val="0000ff"/>
          </w:rPr>
          <w:t xml:space="preserve">методикой</w:t>
        </w:r>
      </w:hyperlink>
      <w:r>
        <w:rPr>
          <w:sz w:val="20"/>
        </w:rPr>
        <w:t xml:space="preserve"> определения нормативов потерь электрической энергии при ее передаче по электрическим сетям,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по согласованию с федеральным органом исполнительной власти в области государственного регулирования тарифов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w:t>
      </w:r>
    </w:p>
    <w:p>
      <w:pPr>
        <w:pStyle w:val="0"/>
        <w:jc w:val="both"/>
      </w:pPr>
      <w:r>
        <w:rPr>
          <w:sz w:val="20"/>
        </w:rPr>
        <w:t xml:space="preserve">(п. 53 в ред. </w:t>
      </w:r>
      <w:hyperlink w:history="0" r:id="rId373" w:tooltip="Постановление Правительства РФ от 13.11.2013 N 1019 (ред. от 20.10.2016) &quot;О внесении изменений в некоторые акты Правительства Российской Федерации в целях изменения порядка нормирования потерь электрической энергии на основе сравнительного анализа&quot; {КонсультантПлюс}">
        <w:r>
          <w:rPr>
            <w:sz w:val="20"/>
            <w:color w:val="0000ff"/>
          </w:rPr>
          <w:t xml:space="preserve">Постановления</w:t>
        </w:r>
      </w:hyperlink>
      <w:r>
        <w:rPr>
          <w:sz w:val="20"/>
        </w:rPr>
        <w:t xml:space="preserve"> Правительства РФ от 13.11.2013 N 1019)</w:t>
      </w:r>
    </w:p>
    <w:p>
      <w:pPr>
        <w:pStyle w:val="0"/>
        <w:spacing w:before="200" w:line-rule="auto"/>
        <w:ind w:firstLine="540"/>
        <w:jc w:val="both"/>
      </w:pPr>
      <w:r>
        <w:rPr>
          <w:sz w:val="20"/>
        </w:rPr>
        <w:t xml:space="preserve">54. Нормативы потерь электрической энергии в электрических сетях устанавливаются в отношении совокупности линий электропередачи и иных объектов электросетевого хозяйства, принадлежащих соответствующей сетевой организации (собственнику или иному законному владельцу объектов электросетевого хозяйства, входящих в единую национальную (общероссийскую) электрическую сеть, который ограничен в соответствии с Федеральным </w:t>
      </w:r>
      <w:hyperlink w:history="0" r:id="rId374" w:tooltip="Федеральный закон от 26.03.2003 N 35-ФЗ (ред. от 11.06.2022) &quot;Об электроэнергетике&quot; (с изм. и доп., вступ. в силу с 01.07.2022) {КонсультантПлюс}">
        <w:r>
          <w:rPr>
            <w:sz w:val="20"/>
            <w:color w:val="0000ff"/>
          </w:rPr>
          <w:t xml:space="preserve">законом</w:t>
        </w:r>
      </w:hyperlink>
      <w:r>
        <w:rPr>
          <w:sz w:val="20"/>
        </w:rP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с учетом дифференциации по уровням напряжения сетей при установлении тарифов на услуги по передаче электрической энергии.</w:t>
      </w:r>
    </w:p>
    <w:p>
      <w:pPr>
        <w:pStyle w:val="0"/>
        <w:jc w:val="both"/>
      </w:pPr>
      <w:r>
        <w:rPr>
          <w:sz w:val="20"/>
        </w:rPr>
        <w:t xml:space="preserve">(в ред. </w:t>
      </w:r>
      <w:hyperlink w:history="0" r:id="rId375" w:tooltip="Постановление Правительства РФ от 15.06.2009 N 492 (ред. от 22.10.2012) &quot;О существенных условиях и порядке разрешения разногласий о праве заключения договоров в отношении объектов электросетевого хозяйства, входящих в единую национальную (общероссийскую) электрическую сеть&quot; (вместе с &quot;Правилами разрешения разногласий о праве заключения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ли иным законным владел {КонсультантПлюс}">
        <w:r>
          <w:rPr>
            <w:sz w:val="20"/>
            <w:color w:val="0000ff"/>
          </w:rPr>
          <w:t xml:space="preserve">Постановления</w:t>
        </w:r>
      </w:hyperlink>
      <w:r>
        <w:rPr>
          <w:sz w:val="20"/>
        </w:rPr>
        <w:t xml:space="preserve"> Правительства РФ от 15.06.2009 N 492)</w:t>
      </w:r>
    </w:p>
    <w:p>
      <w:pPr>
        <w:pStyle w:val="0"/>
        <w:spacing w:before="200" w:line-rule="auto"/>
        <w:ind w:firstLine="540"/>
        <w:jc w:val="both"/>
      </w:pPr>
      <w:r>
        <w:rPr>
          <w:sz w:val="20"/>
        </w:rPr>
        <w:t xml:space="preserve">54(1). Нормативы потерь электрической энергии при ее передаче по электрическим сетям территориальных сетевых организаций определяются на основе сравнительного анализа потерь с дифференциацией по уровням напряжения исходя из необходимости сокращения нормативов потерь электрической энергии к 2017 году не менее чем на 11 процентов уровня потерь электрической энергии, предусмотренного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2012 год, в соответствии с порядком, предусмотренным методикой определения нормативов потерь электрической энергии при ее передаче по электрическим сетям.</w:t>
      </w:r>
    </w:p>
    <w:p>
      <w:pPr>
        <w:pStyle w:val="0"/>
        <w:jc w:val="both"/>
      </w:pPr>
      <w:r>
        <w:rPr>
          <w:sz w:val="20"/>
        </w:rPr>
        <w:t xml:space="preserve">(п. 54(1) введен </w:t>
      </w:r>
      <w:hyperlink w:history="0" r:id="rId376" w:tooltip="Постановление Правительства РФ от 13.11.2013 N 1019 (ред. от 20.10.2016) &quot;О внесении изменений в некоторые акты Правительства Российской Федерации в целях изменения порядка нормирования потерь электрической энергии на основе сравнительного анализа&quot; {КонсультантПлюс}">
        <w:r>
          <w:rPr>
            <w:sz w:val="20"/>
            <w:color w:val="0000ff"/>
          </w:rPr>
          <w:t xml:space="preserve">Постановлением</w:t>
        </w:r>
      </w:hyperlink>
      <w:r>
        <w:rPr>
          <w:sz w:val="20"/>
        </w:rPr>
        <w:t xml:space="preserve"> Правительства РФ от 13.11.2013 N 1019)</w:t>
      </w:r>
    </w:p>
    <w:p>
      <w:pPr>
        <w:pStyle w:val="0"/>
        <w:spacing w:before="200" w:line-rule="auto"/>
        <w:ind w:firstLine="540"/>
        <w:jc w:val="both"/>
      </w:pPr>
      <w:r>
        <w:rPr>
          <w:sz w:val="20"/>
        </w:rPr>
        <w:t xml:space="preserve">55. Методика определения нормативов потерь электрической энергии при ее передаче по электрическим сетям предусматривает снижение нормативов потерь электрической энергии к 2017 году не менее чем на 11 процентов уровня потерь электрической энергии, предусмотренного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2012 год, и определение нормативов указанных потерь на основе:</w:t>
      </w:r>
    </w:p>
    <w:p>
      <w:pPr>
        <w:pStyle w:val="0"/>
        <w:spacing w:before="200" w:line-rule="auto"/>
        <w:ind w:firstLine="540"/>
        <w:jc w:val="both"/>
      </w:pPr>
      <w:r>
        <w:rPr>
          <w:sz w:val="20"/>
        </w:rPr>
        <w:t xml:space="preserve">1) технологических потерь электрической энергии в объектах электросетевого хозяйства, обусловленных физическими процессами, происходящими при передаче электрической энергии, с учетом технических характеристик линий электропередачи, силовых трансформаторов и иных объектов электросетевого хозяйства, определяющих величину переменных потерь в соответствии с технологией передачи и преобразования электрической энергии, условно-постоянных потерь для линий электропередачи, силовых трансформаторов и иных объектов электросетевого хозяйства;</w:t>
      </w:r>
    </w:p>
    <w:p>
      <w:pPr>
        <w:pStyle w:val="0"/>
        <w:spacing w:before="200" w:line-rule="auto"/>
        <w:ind w:firstLine="540"/>
        <w:jc w:val="both"/>
      </w:pPr>
      <w:r>
        <w:rPr>
          <w:sz w:val="20"/>
        </w:rPr>
        <w:t xml:space="preserve">2) сравнительного анализа потерь электрической энергии при ее передаче по электрическим сетям территориальных сетевых организаций с дифференциацией по уровням напряжения.</w:t>
      </w:r>
    </w:p>
    <w:p>
      <w:pPr>
        <w:pStyle w:val="0"/>
        <w:jc w:val="both"/>
      </w:pPr>
      <w:r>
        <w:rPr>
          <w:sz w:val="20"/>
        </w:rPr>
        <w:t xml:space="preserve">(п. 55 в ред. </w:t>
      </w:r>
      <w:hyperlink w:history="0" r:id="rId377" w:tooltip="Постановление Правительства РФ от 13.11.2013 N 1019 (ред. от 20.10.2016) &quot;О внесении изменений в некоторые акты Правительства Российской Федерации в целях изменения порядка нормирования потерь электрической энергии на основе сравнительного анализа&quot; {КонсультантПлюс}">
        <w:r>
          <w:rPr>
            <w:sz w:val="20"/>
            <w:color w:val="0000ff"/>
          </w:rPr>
          <w:t xml:space="preserve">Постановления</w:t>
        </w:r>
      </w:hyperlink>
      <w:r>
        <w:rPr>
          <w:sz w:val="20"/>
        </w:rPr>
        <w:t xml:space="preserve"> Правительства РФ от 13.11.2013 N 1019)</w:t>
      </w:r>
    </w:p>
    <w:p>
      <w:pPr>
        <w:pStyle w:val="0"/>
        <w:spacing w:before="200" w:line-rule="auto"/>
        <w:ind w:firstLine="540"/>
        <w:jc w:val="both"/>
      </w:pPr>
      <w:r>
        <w:rPr>
          <w:sz w:val="20"/>
        </w:rPr>
        <w:t xml:space="preserve">55(1). Стоимость потерь электрической энергии при ее передаче по электрическим сетям единой национальной (общероссийской) электрической сети определяется как произведение объема фактического отпуска электрической энергии из единой национальной (общероссийской) электрической сети в течение расчетного периода в отношении потребителя услуг по передаче электрической энергии, норматива потерь электрической энергии при ее передаче по электрическим сетям единой национальной (общероссийской) электрической сети и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определяемой в соответствии с </w:t>
      </w:r>
      <w:hyperlink w:history="0" r:id="rId378"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Основами ценообразования</w:t>
        </w:r>
      </w:hyperlink>
      <w:r>
        <w:rPr>
          <w:sz w:val="20"/>
        </w:rPr>
        <w:t xml:space="preserve"> в области регулируемых цен (тарифов) в электроэнергетике.</w:t>
      </w:r>
    </w:p>
    <w:p>
      <w:pPr>
        <w:pStyle w:val="0"/>
        <w:jc w:val="both"/>
      </w:pPr>
      <w:r>
        <w:rPr>
          <w:sz w:val="20"/>
        </w:rPr>
        <w:t xml:space="preserve">(в ред. </w:t>
      </w:r>
      <w:hyperlink w:history="0" r:id="rId379" w:tooltip="Постановление Правительства РФ от 14.03.2017 N 290 &quot;О внесении изменений в пункт 55(1) Правил недискриминационного доступа к услугам по передаче электрической энергии и оказания этих услуг&quot; {КонсультантПлюс}">
        <w:r>
          <w:rPr>
            <w:sz w:val="20"/>
            <w:color w:val="0000ff"/>
          </w:rPr>
          <w:t xml:space="preserve">Постановления</w:t>
        </w:r>
      </w:hyperlink>
      <w:r>
        <w:rPr>
          <w:sz w:val="20"/>
        </w:rPr>
        <w:t xml:space="preserve"> Правительства РФ от 14.03.2017 N 290)</w:t>
      </w:r>
    </w:p>
    <w:p>
      <w:pPr>
        <w:pStyle w:val="0"/>
        <w:spacing w:before="200" w:line-rule="auto"/>
        <w:ind w:firstLine="540"/>
        <w:jc w:val="both"/>
      </w:pPr>
      <w:r>
        <w:rPr>
          <w:sz w:val="20"/>
        </w:rPr>
        <w:t xml:space="preserve">В случае если центр питания (распределительное устройство подстанции, входящей в единую национальную (общероссийскую) электрическую сеть, или распределительное устройство электрической станции, соединенное с линиями электропередачи, входящими в единую национальную (общероссийскую) электрическую сеть) (далее - центр питания) и энергопринимающие устройства (объекты электросетевого хозяйства) потребителя услуг по передаче электрической энергии, присоединенные к таким центрам питания, расположены в разных субъектах Российской Федерации, при определении стоимости потерь электрической энергии при ее передаче по электрическим сетям единой национальной (общероссийской) электрической сети используется норматив потерь электрической энергии при ее передаче по электрическим сетям единой национальной (общероссийской) электрической сети для соответствующего уровня напряжения в отношении субъекта Российской Федерации, в котором расположен центр питания.</w:t>
      </w:r>
    </w:p>
    <w:p>
      <w:pPr>
        <w:pStyle w:val="0"/>
        <w:jc w:val="both"/>
      </w:pPr>
      <w:r>
        <w:rPr>
          <w:sz w:val="20"/>
        </w:rPr>
        <w:t xml:space="preserve">(абзац введен </w:t>
      </w:r>
      <w:hyperlink w:history="0" r:id="rId380" w:tooltip="Постановление Правительства РФ от 14.03.2017 N 290 &quot;О внесении изменений в пункт 55(1) Правил недискриминационного доступа к услугам по передаче электрической энергии и оказания этих услуг&quot; {КонсультантПлюс}">
        <w:r>
          <w:rPr>
            <w:sz w:val="20"/>
            <w:color w:val="0000ff"/>
          </w:rPr>
          <w:t xml:space="preserve">Постановлением</w:t>
        </w:r>
      </w:hyperlink>
      <w:r>
        <w:rPr>
          <w:sz w:val="20"/>
        </w:rPr>
        <w:t xml:space="preserve"> Правительства РФ от 14.03.2017 N 290)</w:t>
      </w:r>
    </w:p>
    <w:p>
      <w:pPr>
        <w:pStyle w:val="0"/>
        <w:spacing w:before="200" w:line-rule="auto"/>
        <w:ind w:firstLine="540"/>
        <w:jc w:val="both"/>
      </w:pPr>
      <w:r>
        <w:rPr>
          <w:sz w:val="20"/>
        </w:rPr>
        <w:t xml:space="preserve">Фактический отпуск электрической энергии из единой национальной (общероссийской) электрической сети потребителю услуг по передаче электрической энергии в течение расчетного периода для целей настоящего пункта определяется как разность между объемами перетоков электрической энергии от центров питания в сеть потребителя услуг по передаче электрической энергии и объемами перетоков из сети потребителя услуг по передаче электрической энергии в единую национальную (общероссийскую) электрическую сеть по каждому субъекту Российской Федерации и уровню напряжения.</w:t>
      </w:r>
    </w:p>
    <w:p>
      <w:pPr>
        <w:pStyle w:val="0"/>
        <w:jc w:val="both"/>
      </w:pPr>
      <w:r>
        <w:rPr>
          <w:sz w:val="20"/>
        </w:rPr>
        <w:t xml:space="preserve">(абзац введен </w:t>
      </w:r>
      <w:hyperlink w:history="0" r:id="rId381" w:tooltip="Постановление Правительства РФ от 14.03.2017 N 290 &quot;О внесении изменений в пункт 55(1) Правил недискриминационного доступа к услугам по передаче электрической энергии и оказания этих услуг&quot; {КонсультантПлюс}">
        <w:r>
          <w:rPr>
            <w:sz w:val="20"/>
            <w:color w:val="0000ff"/>
          </w:rPr>
          <w:t xml:space="preserve">Постановлением</w:t>
        </w:r>
      </w:hyperlink>
      <w:r>
        <w:rPr>
          <w:sz w:val="20"/>
        </w:rPr>
        <w:t xml:space="preserve"> Правительства РФ от 14.03.2017 N 290)</w:t>
      </w:r>
    </w:p>
    <w:p>
      <w:pPr>
        <w:pStyle w:val="0"/>
        <w:spacing w:before="200" w:line-rule="auto"/>
        <w:ind w:firstLine="540"/>
        <w:jc w:val="both"/>
      </w:pPr>
      <w:r>
        <w:rPr>
          <w:sz w:val="20"/>
        </w:rPr>
        <w:t xml:space="preserve">В случае если фактический отпуск электрической энергии из единой национальной (общероссийской) электрической сети в сеть потребителя услуг по передаче электрической энергии осуществляется от нескольких центров питания, расположенных в разных субъектах Российской Федерации, при определении фактического отпуска электрической энергии из единой национальной (общероссийской) электрической сети в сеть потребителя услуг по передаче электрической энергии суммарный объем перетока электрической энергии из сети потребителя услуг по передаче электрической энергии в единую национальную (общероссийскую) электрическую сеть вычитается из объемов перетоков электрической энергии от центров питания в сеть потребителя услуг по передаче электрической энергии пропорционально объемам перетоков электрической энергии от центров питания в сеть потребителя услуг по передаче электрической энергии по каждому субъекту Российской Федерации и уровню напряжения.</w:t>
      </w:r>
    </w:p>
    <w:p>
      <w:pPr>
        <w:pStyle w:val="0"/>
        <w:jc w:val="both"/>
      </w:pPr>
      <w:r>
        <w:rPr>
          <w:sz w:val="20"/>
        </w:rPr>
        <w:t xml:space="preserve">(абзац введен </w:t>
      </w:r>
      <w:hyperlink w:history="0" r:id="rId382" w:tooltip="Постановление Правительства РФ от 14.03.2017 N 290 &quot;О внесении изменений в пункт 55(1) Правил недискриминационного доступа к услугам по передаче электрической энергии и оказания этих услуг&quot; {КонсультантПлюс}">
        <w:r>
          <w:rPr>
            <w:sz w:val="20"/>
            <w:color w:val="0000ff"/>
          </w:rPr>
          <w:t xml:space="preserve">Постановлением</w:t>
        </w:r>
      </w:hyperlink>
      <w:r>
        <w:rPr>
          <w:sz w:val="20"/>
        </w:rPr>
        <w:t xml:space="preserve"> Правительства РФ от 14.03.2017 N 290)</w:t>
      </w:r>
    </w:p>
    <w:p>
      <w:pPr>
        <w:pStyle w:val="0"/>
        <w:spacing w:before="200" w:line-rule="auto"/>
        <w:ind w:firstLine="540"/>
        <w:jc w:val="both"/>
      </w:pPr>
      <w:r>
        <w:rPr>
          <w:sz w:val="20"/>
        </w:rPr>
        <w:t xml:space="preserve">В случае если объем фактического отпуска электрической энергии из единой национальной (общероссийской) электрической сети потребителю услуг по передаче электрической энергии на одном уровне напряжения имеет положительное значение, а на другом уровне напряжения - отрицательное значение, определяется общий суммарный объем фактического отпуска электрической энергии из единой национальной (общероссийской) электрической сети.</w:t>
      </w:r>
    </w:p>
    <w:p>
      <w:pPr>
        <w:pStyle w:val="0"/>
        <w:jc w:val="both"/>
      </w:pPr>
      <w:r>
        <w:rPr>
          <w:sz w:val="20"/>
        </w:rPr>
        <w:t xml:space="preserve">(абзац введен </w:t>
      </w:r>
      <w:hyperlink w:history="0" r:id="rId383" w:tooltip="Постановление Правительства РФ от 14.03.2017 N 290 &quot;О внесении изменений в пункт 55(1) Правил недискриминационного доступа к услугам по передаче электрической энергии и оказания этих услуг&quot; {КонсультантПлюс}">
        <w:r>
          <w:rPr>
            <w:sz w:val="20"/>
            <w:color w:val="0000ff"/>
          </w:rPr>
          <w:t xml:space="preserve">Постановлением</w:t>
        </w:r>
      </w:hyperlink>
      <w:r>
        <w:rPr>
          <w:sz w:val="20"/>
        </w:rPr>
        <w:t xml:space="preserve"> Правительства РФ от 14.03.2017 N 290)</w:t>
      </w:r>
    </w:p>
    <w:p>
      <w:pPr>
        <w:pStyle w:val="0"/>
        <w:spacing w:before="200" w:line-rule="auto"/>
        <w:ind w:firstLine="540"/>
        <w:jc w:val="both"/>
      </w:pPr>
      <w:r>
        <w:rPr>
          <w:sz w:val="20"/>
        </w:rPr>
        <w:t xml:space="preserve">В случае положительного значения суммарного объема фактического отпуска электрической энергии из единой национальной (общероссийской) электрической сети применяется норматив потерь электрической энергии при ее передаче по электрическим сетям единой национальной (общероссийской) электрической сети по соответствующему уровню напряжения того субъекта Российской Федерации, с территории которого фактический отпуск электрической энергии из единой национальной (общероссийской) электрической сети потребителю услуг по передаче электрической энергии имеет положительное значение.</w:t>
      </w:r>
    </w:p>
    <w:p>
      <w:pPr>
        <w:pStyle w:val="0"/>
        <w:jc w:val="both"/>
      </w:pPr>
      <w:r>
        <w:rPr>
          <w:sz w:val="20"/>
        </w:rPr>
        <w:t xml:space="preserve">(абзац введен </w:t>
      </w:r>
      <w:hyperlink w:history="0" r:id="rId384" w:tooltip="Постановление Правительства РФ от 14.03.2017 N 290 &quot;О внесении изменений в пункт 55(1) Правил недискриминационного доступа к услугам по передаче электрической энергии и оказания этих услуг&quot; {КонсультантПлюс}">
        <w:r>
          <w:rPr>
            <w:sz w:val="20"/>
            <w:color w:val="0000ff"/>
          </w:rPr>
          <w:t xml:space="preserve">Постановлением</w:t>
        </w:r>
      </w:hyperlink>
      <w:r>
        <w:rPr>
          <w:sz w:val="20"/>
        </w:rPr>
        <w:t xml:space="preserve"> Правительства РФ от 14.03.2017 N 290)</w:t>
      </w:r>
    </w:p>
    <w:p>
      <w:pPr>
        <w:pStyle w:val="0"/>
        <w:spacing w:before="200" w:line-rule="auto"/>
        <w:ind w:firstLine="540"/>
        <w:jc w:val="both"/>
      </w:pPr>
      <w:r>
        <w:rPr>
          <w:sz w:val="20"/>
        </w:rPr>
        <w:t xml:space="preserve">Стоимость потерь электрической энергии при ее передаче по электрическим сетям для территориальных сетевых организаций при применении двухставочного варианта тарифа определяется как произведение объема фактического отпуска электрической энергии потребителям в течение расчетного периода и ставки на оплату нормативных потерь электрической энергии при ее передаче по электрическим сетям для территориальных сетевых организаций на соответствующем уровне напряжения.</w:t>
      </w:r>
    </w:p>
    <w:p>
      <w:pPr>
        <w:pStyle w:val="0"/>
        <w:jc w:val="both"/>
      </w:pPr>
      <w:r>
        <w:rPr>
          <w:sz w:val="20"/>
        </w:rPr>
        <w:t xml:space="preserve">(в ред. </w:t>
      </w:r>
      <w:hyperlink w:history="0" r:id="rId385" w:tooltip="Постановление Правительства РФ от 14.03.2017 N 290 &quot;О внесении изменений в пункт 55(1) Правил недискриминационного доступа к услугам по передаче электрической энергии и оказания этих услуг&quot; {КонсультантПлюс}">
        <w:r>
          <w:rPr>
            <w:sz w:val="20"/>
            <w:color w:val="0000ff"/>
          </w:rPr>
          <w:t xml:space="preserve">Постановления</w:t>
        </w:r>
      </w:hyperlink>
      <w:r>
        <w:rPr>
          <w:sz w:val="20"/>
        </w:rPr>
        <w:t xml:space="preserve"> Правительства РФ от 14.03.2017 N 290)</w:t>
      </w:r>
    </w:p>
    <w:p>
      <w:pPr>
        <w:pStyle w:val="0"/>
        <w:jc w:val="both"/>
      </w:pPr>
      <w:r>
        <w:rPr>
          <w:sz w:val="20"/>
        </w:rPr>
        <w:t xml:space="preserve">(п. 55(1) введен </w:t>
      </w:r>
      <w:hyperlink w:history="0" r:id="rId386" w:tooltip="Постановление Правительства РФ от 31.07.2014 N 750 (ред. от 16.12.2021) &quot;О внесении изменений в некоторые акты Правительства Российской Федерации по вопросам снижения величины перекрестного субсидирования в электросетевом комплексе&quot; {КонсультантПлюс}">
        <w:r>
          <w:rPr>
            <w:sz w:val="20"/>
            <w:color w:val="0000ff"/>
          </w:rPr>
          <w:t xml:space="preserve">Постановлением</w:t>
        </w:r>
      </w:hyperlink>
      <w:r>
        <w:rPr>
          <w:sz w:val="20"/>
        </w:rPr>
        <w:t xml:space="preserve"> Правительства РФ от 31.07.2014 N 750)</w:t>
      </w:r>
    </w:p>
    <w:p>
      <w:pPr>
        <w:pStyle w:val="0"/>
        <w:ind w:firstLine="540"/>
        <w:jc w:val="both"/>
      </w:pPr>
      <w:r>
        <w:rPr>
          <w:sz w:val="20"/>
        </w:rPr>
      </w:r>
    </w:p>
    <w:p>
      <w:pPr>
        <w:pStyle w:val="2"/>
        <w:outlineLvl w:val="1"/>
        <w:jc w:val="center"/>
      </w:pPr>
      <w:r>
        <w:rPr>
          <w:sz w:val="20"/>
        </w:rPr>
        <w:t xml:space="preserve">VII. Порядок предоставления и раскрытия сетевыми</w:t>
      </w:r>
    </w:p>
    <w:p>
      <w:pPr>
        <w:pStyle w:val="2"/>
        <w:jc w:val="center"/>
      </w:pPr>
      <w:r>
        <w:rPr>
          <w:sz w:val="20"/>
        </w:rPr>
        <w:t xml:space="preserve">организациями информации о пропускной способности</w:t>
      </w:r>
    </w:p>
    <w:p>
      <w:pPr>
        <w:pStyle w:val="2"/>
        <w:jc w:val="center"/>
      </w:pPr>
      <w:r>
        <w:rPr>
          <w:sz w:val="20"/>
        </w:rPr>
        <w:t xml:space="preserve">электрических сетей, об их технических характеристиках</w:t>
      </w:r>
    </w:p>
    <w:p>
      <w:pPr>
        <w:pStyle w:val="2"/>
        <w:jc w:val="center"/>
      </w:pPr>
      <w:r>
        <w:rPr>
          <w:sz w:val="20"/>
        </w:rPr>
        <w:t xml:space="preserve">и о стоимости услуг по передаче электрической энергии</w:t>
      </w:r>
    </w:p>
    <w:p>
      <w:pPr>
        <w:pStyle w:val="0"/>
        <w:ind w:firstLine="540"/>
        <w:jc w:val="both"/>
      </w:pPr>
      <w:r>
        <w:rPr>
          <w:sz w:val="20"/>
        </w:rPr>
      </w:r>
    </w:p>
    <w:p>
      <w:pPr>
        <w:pStyle w:val="0"/>
        <w:ind w:firstLine="540"/>
        <w:jc w:val="both"/>
      </w:pPr>
      <w:r>
        <w:rPr>
          <w:sz w:val="20"/>
        </w:rPr>
        <w:t xml:space="preserve">56. Сетевая организация обязана раскрывать информацию, касающуюся доступа к услугам по передаче электрической энергии и оказания этих услуг, в том числе информацию о пропускной способности электрических сетей и об их технических характеристиках в соответствии со стандартами раскрытия информации субъектами оптового и розничных рынков электрической энергии.</w:t>
      </w:r>
    </w:p>
    <w:p>
      <w:pPr>
        <w:pStyle w:val="0"/>
        <w:spacing w:before="200" w:line-rule="auto"/>
        <w:ind w:firstLine="540"/>
        <w:jc w:val="both"/>
      </w:pPr>
      <w:r>
        <w:rPr>
          <w:sz w:val="20"/>
        </w:rPr>
        <w:t xml:space="preserve">57. Сетевая организация обязана предоставлять по письменному запросу лица, обратившегося с намерением осуществить технологическое присоединение к электрической сети и (или) заключить договор, а также потребителя услуг информацию о наличии пропускной способности электрических сетей и о стоимости услуг по передаче электрической энергии.</w:t>
      </w:r>
    </w:p>
    <w:p>
      <w:pPr>
        <w:pStyle w:val="0"/>
        <w:spacing w:before="200" w:line-rule="auto"/>
        <w:ind w:firstLine="540"/>
        <w:jc w:val="both"/>
      </w:pPr>
      <w:r>
        <w:rPr>
          <w:sz w:val="20"/>
        </w:rPr>
        <w:t xml:space="preserve">58. Запрашиваемая информация подлежит предоставлению в течение 7 дней с даты получения запроса.</w:t>
      </w:r>
    </w:p>
    <w:p>
      <w:pPr>
        <w:pStyle w:val="0"/>
        <w:spacing w:before="200" w:line-rule="auto"/>
        <w:ind w:firstLine="540"/>
        <w:jc w:val="both"/>
      </w:pPr>
      <w:r>
        <w:rPr>
          <w:sz w:val="20"/>
        </w:rPr>
        <w:t xml:space="preserve">59. Информацию о технических характеристиках электрических сетей сетевая организация раскрывает ежеквартально, не позднее 30 рабочих дней с даты окончания квартала.</w:t>
      </w:r>
    </w:p>
    <w:p>
      <w:pPr>
        <w:pStyle w:val="0"/>
        <w:spacing w:before="200" w:line-rule="auto"/>
        <w:ind w:firstLine="540"/>
        <w:jc w:val="both"/>
      </w:pPr>
      <w:r>
        <w:rPr>
          <w:sz w:val="20"/>
        </w:rPr>
        <w:t xml:space="preserve">60. Документы, содержащие запрашиваемую информацию, должны быть оформлены в установленном порядке сетевыми организациями.</w:t>
      </w:r>
    </w:p>
    <w:p>
      <w:pPr>
        <w:pStyle w:val="0"/>
        <w:spacing w:before="200" w:line-rule="auto"/>
        <w:ind w:firstLine="540"/>
        <w:jc w:val="both"/>
      </w:pPr>
      <w:r>
        <w:rPr>
          <w:sz w:val="20"/>
        </w:rPr>
        <w:t xml:space="preserve">61. Сетевая организация несет ответственность за несвоевременность, неполноту и недостоверность предоставляемой и раскрываемой информации в порядке, установленном законодательством Российской Федерации.</w:t>
      </w:r>
    </w:p>
    <w:p>
      <w:pPr>
        <w:pStyle w:val="0"/>
        <w:ind w:firstLine="540"/>
        <w:jc w:val="both"/>
      </w:pPr>
      <w:r>
        <w:rPr>
          <w:sz w:val="20"/>
        </w:rPr>
      </w:r>
    </w:p>
    <w:p>
      <w:pPr>
        <w:pStyle w:val="2"/>
        <w:outlineLvl w:val="1"/>
        <w:jc w:val="center"/>
      </w:pPr>
      <w:r>
        <w:rPr>
          <w:sz w:val="20"/>
        </w:rPr>
        <w:t xml:space="preserve">VIII. Порядок рассмотрения заявлений (жалоб)</w:t>
      </w:r>
    </w:p>
    <w:p>
      <w:pPr>
        <w:pStyle w:val="2"/>
        <w:jc w:val="center"/>
      </w:pPr>
      <w:r>
        <w:rPr>
          <w:sz w:val="20"/>
        </w:rPr>
        <w:t xml:space="preserve">по вопросам предоставления доступа к услугам по передаче</w:t>
      </w:r>
    </w:p>
    <w:p>
      <w:pPr>
        <w:pStyle w:val="2"/>
        <w:jc w:val="center"/>
      </w:pPr>
      <w:r>
        <w:rPr>
          <w:sz w:val="20"/>
        </w:rPr>
        <w:t xml:space="preserve">электрической энергии и принятия по этим заявлениям</w:t>
      </w:r>
    </w:p>
    <w:p>
      <w:pPr>
        <w:pStyle w:val="2"/>
        <w:jc w:val="center"/>
      </w:pPr>
      <w:r>
        <w:rPr>
          <w:sz w:val="20"/>
        </w:rPr>
        <w:t xml:space="preserve">(жалобам) решений, обязательных для исполнения</w:t>
      </w:r>
    </w:p>
    <w:p>
      <w:pPr>
        <w:pStyle w:val="2"/>
        <w:jc w:val="center"/>
      </w:pPr>
      <w:r>
        <w:rPr>
          <w:sz w:val="20"/>
        </w:rPr>
        <w:t xml:space="preserve">юридическими и физическими лицами</w:t>
      </w:r>
    </w:p>
    <w:p>
      <w:pPr>
        <w:pStyle w:val="0"/>
        <w:ind w:firstLine="540"/>
        <w:jc w:val="both"/>
      </w:pPr>
      <w:r>
        <w:rPr>
          <w:sz w:val="20"/>
        </w:rPr>
      </w:r>
    </w:p>
    <w:p>
      <w:pPr>
        <w:pStyle w:val="0"/>
        <w:ind w:firstLine="540"/>
        <w:jc w:val="both"/>
      </w:pPr>
      <w:r>
        <w:rPr>
          <w:sz w:val="20"/>
        </w:rPr>
        <w:t xml:space="preserve">62. Основанием для возбуждения и рассмотрения дел по вопросам предоставления доступа к услугам по передаче электрической энергии, принятия решений и выдачи предписаний антимонопольным органом являются заявления органов государственной власти, органов местного самоуправления или заявления (жалобы) юридических и физических лиц.</w:t>
      </w:r>
    </w:p>
    <w:p>
      <w:pPr>
        <w:pStyle w:val="0"/>
        <w:spacing w:before="200" w:line-rule="auto"/>
        <w:ind w:firstLine="540"/>
        <w:jc w:val="both"/>
      </w:pPr>
      <w:r>
        <w:rPr>
          <w:sz w:val="20"/>
        </w:rPr>
        <w:t xml:space="preserve">63. В заявлении (жалобе) должны содержаться сведения о заявителе и о лице, в отношении которого подано заявление (жалоба), описание нарушения требований настоящих Правил, а также требования, с которыми заявитель обращается.</w:t>
      </w:r>
    </w:p>
    <w:p>
      <w:pPr>
        <w:pStyle w:val="0"/>
        <w:spacing w:before="200" w:line-rule="auto"/>
        <w:ind w:firstLine="540"/>
        <w:jc w:val="both"/>
      </w:pPr>
      <w:r>
        <w:rPr>
          <w:sz w:val="20"/>
        </w:rPr>
        <w:t xml:space="preserve">64. Антимонопольный орган рассматривает заявление (жалобу) в месячный срок с даты его поступления.</w:t>
      </w:r>
    </w:p>
    <w:p>
      <w:pPr>
        <w:pStyle w:val="0"/>
        <w:spacing w:before="200" w:line-rule="auto"/>
        <w:ind w:firstLine="540"/>
        <w:jc w:val="both"/>
      </w:pPr>
      <w:r>
        <w:rPr>
          <w:sz w:val="20"/>
        </w:rPr>
        <w:t xml:space="preserve">В случае недостаточности или отсутствия доказательств, позволяющих прийти к выводу о наличии либо отсутствии признаков нарушения требований настоящих Правил, антимонопольный орган вправе для сбора и анализа дополнительных доказательств продлить срок рассмотрения заявления (жалобы) до 3 месяцев с даты его поступления. О продлении срока рассмотрения заявления (жалобы) антимонопольный орган обязан в письменной форме уведомить заявителя.</w:t>
      </w:r>
    </w:p>
    <w:p>
      <w:pPr>
        <w:pStyle w:val="0"/>
        <w:spacing w:before="200" w:line-rule="auto"/>
        <w:ind w:firstLine="540"/>
        <w:jc w:val="both"/>
      </w:pPr>
      <w:r>
        <w:rPr>
          <w:sz w:val="20"/>
        </w:rPr>
        <w:t xml:space="preserve">65. При отсутствии признаков нарушения требований настоящих Правил антимонопольный орган в письменной форме уведомляет об этом заявителя в течение 10 дней с даты принятия решения.</w:t>
      </w:r>
    </w:p>
    <w:p>
      <w:pPr>
        <w:pStyle w:val="0"/>
        <w:spacing w:before="200" w:line-rule="auto"/>
        <w:ind w:firstLine="540"/>
        <w:jc w:val="both"/>
      </w:pPr>
      <w:r>
        <w:rPr>
          <w:sz w:val="20"/>
        </w:rPr>
        <w:t xml:space="preserve">66. Рассмотрение дел о нарушении требований настоящих Правил в части предоставления доступа к услугам по передаче электрической энергии и принятие по ним решений (предписаний) осуществляются в порядке, установленном федеральным антимонопольным органом.</w:t>
      </w:r>
    </w:p>
    <w:p>
      <w:pPr>
        <w:pStyle w:val="0"/>
        <w:ind w:firstLine="540"/>
        <w:jc w:val="both"/>
      </w:pPr>
      <w:r>
        <w:rPr>
          <w:sz w:val="20"/>
        </w:rPr>
      </w:r>
    </w:p>
    <w:bookmarkStart w:id="628" w:name="P628"/>
    <w:bookmarkEnd w:id="628"/>
    <w:p>
      <w:pPr>
        <w:pStyle w:val="2"/>
        <w:outlineLvl w:val="1"/>
        <w:jc w:val="center"/>
      </w:pPr>
      <w:r>
        <w:rPr>
          <w:sz w:val="20"/>
        </w:rPr>
        <w:t xml:space="preserve">IX. Порядок предоставления</w:t>
      </w:r>
    </w:p>
    <w:p>
      <w:pPr>
        <w:pStyle w:val="2"/>
        <w:jc w:val="center"/>
      </w:pPr>
      <w:r>
        <w:rPr>
          <w:sz w:val="20"/>
        </w:rPr>
        <w:t xml:space="preserve">энергосбытовыми организациями, гарантирующими поставщиками</w:t>
      </w:r>
    </w:p>
    <w:p>
      <w:pPr>
        <w:pStyle w:val="2"/>
        <w:jc w:val="center"/>
      </w:pPr>
      <w:r>
        <w:rPr>
          <w:sz w:val="20"/>
        </w:rPr>
        <w:t xml:space="preserve">и потребителями электрической энергии, ограничение режима</w:t>
      </w:r>
    </w:p>
    <w:p>
      <w:pPr>
        <w:pStyle w:val="2"/>
        <w:jc w:val="center"/>
      </w:pPr>
      <w:r>
        <w:rPr>
          <w:sz w:val="20"/>
        </w:rPr>
        <w:t xml:space="preserve">потребления электрической энергии которых может привести</w:t>
      </w:r>
    </w:p>
    <w:p>
      <w:pPr>
        <w:pStyle w:val="2"/>
        <w:jc w:val="center"/>
      </w:pPr>
      <w:r>
        <w:rPr>
          <w:sz w:val="20"/>
        </w:rPr>
        <w:t xml:space="preserve">к экономическим, экологическим или социальным последствиям,</w:t>
      </w:r>
    </w:p>
    <w:p>
      <w:pPr>
        <w:pStyle w:val="2"/>
        <w:jc w:val="center"/>
      </w:pPr>
      <w:r>
        <w:rPr>
          <w:sz w:val="20"/>
        </w:rPr>
        <w:t xml:space="preserve">обеспечения исполнения обязательств по оплате услуг</w:t>
      </w:r>
    </w:p>
    <w:p>
      <w:pPr>
        <w:pStyle w:val="2"/>
        <w:jc w:val="center"/>
      </w:pPr>
      <w:r>
        <w:rPr>
          <w:sz w:val="20"/>
        </w:rPr>
        <w:t xml:space="preserve">по передаче электрической энергии</w:t>
      </w:r>
    </w:p>
    <w:p>
      <w:pPr>
        <w:pStyle w:val="0"/>
        <w:jc w:val="center"/>
      </w:pPr>
      <w:r>
        <w:rPr>
          <w:sz w:val="20"/>
        </w:rPr>
        <w:t xml:space="preserve">(введен </w:t>
      </w:r>
      <w:hyperlink w:history="0" r:id="rId387" w:tooltip="Постановление Правительства РФ от 04.02.2017 N 139 &quot;О внесении изменений в некоторые акты Правительства Российской Федерации по вопросам обеспечения исполнения обязательств по оплате энергоресурсов&quot; {КонсультантПлюс}">
        <w:r>
          <w:rPr>
            <w:sz w:val="20"/>
            <w:color w:val="0000ff"/>
          </w:rPr>
          <w:t xml:space="preserve">Постановлением</w:t>
        </w:r>
      </w:hyperlink>
      <w:r>
        <w:rPr>
          <w:sz w:val="20"/>
        </w:rPr>
        <w:t xml:space="preserve"> Правительства РФ от 04.02.2017 N 139)</w:t>
      </w:r>
    </w:p>
    <w:p>
      <w:pPr>
        <w:pStyle w:val="0"/>
        <w:jc w:val="both"/>
      </w:pPr>
      <w:r>
        <w:rPr>
          <w:sz w:val="20"/>
        </w:rPr>
      </w:r>
    </w:p>
    <w:bookmarkStart w:id="637" w:name="P637"/>
    <w:bookmarkEnd w:id="637"/>
    <w:p>
      <w:pPr>
        <w:pStyle w:val="0"/>
        <w:ind w:firstLine="540"/>
        <w:jc w:val="both"/>
      </w:pPr>
      <w:r>
        <w:rPr>
          <w:sz w:val="20"/>
        </w:rPr>
        <w:t xml:space="preserve">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предусмотрены </w:t>
      </w:r>
      <w:hyperlink w:history="0" r:id="rId388"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приложением</w:t>
        </w:r>
      </w:hyperlink>
      <w:r>
        <w:rPr>
          <w:sz w:val="20"/>
        </w:rP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 потребители услуг по передаче электрической энергии обязаны предоставить сетевой организации обеспечение исполнения обязательств по оплате услуг по передаче электрической энергии, оказываемых по договору об оказании услуг по передаче электрической энергии, если соответствующий потребитель услуг по передаче электрической энергии не исполнил или ненадлежащим образом исполнил обязательства по оплате услуг по передаче электрической энергии и это привело к образованию задолженности перед сетевой организацией по оплате услуг по передаче электрической энергии в размере, равном двойному размеру среднемесячной величины обязательств по оплате услуг по передаче электрической энергии или превышающем такой двойной размер.</w:t>
      </w:r>
    </w:p>
    <w:p>
      <w:pPr>
        <w:pStyle w:val="0"/>
        <w:spacing w:before="200" w:line-rule="auto"/>
        <w:ind w:firstLine="540"/>
        <w:jc w:val="both"/>
      </w:pPr>
      <w:r>
        <w:rPr>
          <w:sz w:val="20"/>
        </w:rPr>
        <w:t xml:space="preserve">При определении соответствия потребителя услуг по передаче электрической энергии (за исключением гарантирующего поставщика) критерию, установленному </w:t>
      </w:r>
      <w:hyperlink w:history="0" w:anchor="P637" w:tooltip="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ны приложением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quot;О функционировании розничных рынков электрической энерг...">
        <w:r>
          <w:rPr>
            <w:sz w:val="20"/>
            <w:color w:val="0000ff"/>
          </w:rPr>
          <w:t xml:space="preserve">абзацем первым</w:t>
        </w:r>
      </w:hyperlink>
      <w:r>
        <w:rPr>
          <w:sz w:val="20"/>
        </w:rPr>
        <w:t xml:space="preserve"> настоящего пункта, учитывается задолженность перед сетевой организацией по оплате услуг по передаче электрической энергии, подтвержденная вступившим в законную силу решением суда или признанная таким потребителем услуг.</w:t>
      </w:r>
    </w:p>
    <w:p>
      <w:pPr>
        <w:pStyle w:val="0"/>
        <w:spacing w:before="200" w:line-rule="auto"/>
        <w:ind w:firstLine="540"/>
        <w:jc w:val="both"/>
      </w:pPr>
      <w:r>
        <w:rPr>
          <w:sz w:val="20"/>
        </w:rPr>
        <w:t xml:space="preserve">При определении соответствия потребителя услуг по передаче электрической энергии - гарантирующего поставщика критерию, установленному </w:t>
      </w:r>
      <w:hyperlink w:history="0" w:anchor="P637" w:tooltip="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ны приложением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quot;О функционировании розничных рынков электрической энерг...">
        <w:r>
          <w:rPr>
            <w:sz w:val="20"/>
            <w:color w:val="0000ff"/>
          </w:rPr>
          <w:t xml:space="preserve">абзацем первым</w:t>
        </w:r>
      </w:hyperlink>
      <w:r>
        <w:rPr>
          <w:sz w:val="20"/>
        </w:rPr>
        <w:t xml:space="preserve"> настоящего пункта, учитывается умноженный на коэффициент 0,6 размер задолженности перед сетевой организацией по оплате услуг по передаче электрической энергии, подтвержденный вступившим в законную силу решением суда или признанный гарантирующим поставщиком.</w:t>
      </w:r>
    </w:p>
    <w:p>
      <w:pPr>
        <w:pStyle w:val="0"/>
        <w:spacing w:before="200" w:line-rule="auto"/>
        <w:ind w:firstLine="540"/>
        <w:jc w:val="both"/>
      </w:pPr>
      <w:r>
        <w:rPr>
          <w:sz w:val="20"/>
        </w:rPr>
        <w:t xml:space="preserve">Документами, свидетельствующими о признании потребителем услуг по передаче электрической энергии задолженности перед сетевой организацией, являются документы, в которых содержится явно выраженное согласие потребителя с фактом наличия задолженности перед сетевой организацией и с размером такой задолженности (соглашение между сетевой организацией и потребителем, акт сверки взаимных расчетов, письмо, подписанное уполномоченным лицом потребителя, или иной документ).</w:t>
      </w:r>
    </w:p>
    <w:p>
      <w:pPr>
        <w:pStyle w:val="0"/>
        <w:spacing w:before="200" w:line-rule="auto"/>
        <w:ind w:firstLine="540"/>
        <w:jc w:val="both"/>
      </w:pPr>
      <w:r>
        <w:rPr>
          <w:sz w:val="20"/>
        </w:rPr>
        <w:t xml:space="preserve">В целях применения настоящих Правил среднемесячная величина обязательств по оплате услуг по передаче электрической энергии (P</w:t>
      </w:r>
      <w:r>
        <w:rPr>
          <w:sz w:val="20"/>
          <w:vertAlign w:val="subscript"/>
        </w:rPr>
        <w:t xml:space="preserve">обяз</w:t>
      </w:r>
      <w:r>
        <w:rPr>
          <w:sz w:val="20"/>
        </w:rPr>
        <w:t xml:space="preserve">) определяется сетевой организацией по формуле:</w:t>
      </w:r>
    </w:p>
    <w:p>
      <w:pPr>
        <w:pStyle w:val="0"/>
        <w:jc w:val="both"/>
      </w:pPr>
      <w:r>
        <w:rPr>
          <w:sz w:val="20"/>
        </w:rPr>
      </w:r>
    </w:p>
    <w:p>
      <w:pPr>
        <w:pStyle w:val="0"/>
        <w:jc w:val="center"/>
      </w:pPr>
      <w:r>
        <w:rPr>
          <w:position w:val="-21"/>
        </w:rPr>
        <w:drawing>
          <wp:inline distT="0" distB="0" distL="0" distR="0">
            <wp:extent cx="771525" cy="3943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9">
                      <a:extLst>
                        <a:ext uri="{28A0092B-C50C-407E-A947-70E740481C1C}">
                          <a14:useLocalDpi xmlns:a14="http://schemas.microsoft.com/office/drawing/2010/main" val="0"/>
                        </a:ext>
                      </a:extLst>
                    </a:blip>
                    <a:srcRect/>
                    <a:stretch>
                      <a:fillRect/>
                    </a:stretch>
                  </pic:blipFill>
                  <pic:spPr bwMode="auto">
                    <a:xfrm>
                      <a:off x="0" y="0"/>
                      <a:ext cx="771525" cy="394335"/>
                    </a:xfrm>
                    <a:prstGeom prst="rect">
                      <a:avLst/>
                    </a:prstGeom>
                    <a:noFill/>
                    <a:ln>
                      <a:noFill/>
                    </a:ln>
                  </pic:spPr>
                </pic:pic>
              </a:graphicData>
            </a:graphic>
          </wp:inline>
        </w:drawing>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S</w:t>
      </w:r>
      <w:r>
        <w:rPr>
          <w:sz w:val="20"/>
          <w:vertAlign w:val="subscript"/>
        </w:rPr>
        <w:t xml:space="preserve">пост</w:t>
      </w:r>
      <w:r>
        <w:rPr>
          <w:sz w:val="20"/>
        </w:rPr>
        <w:t xml:space="preserve"> стоимость услуг по передаче электрической энергии, указанная в счетах на оплату фактически оказанных услуг по передаче электрической энергии или в иных платежных документах, выставленных сетевой организацией потребителю услуг по передаче электрической энергии за расчетные периоды, за которые у такого потребителя услуг образовалась указанная в </w:t>
      </w:r>
      <w:hyperlink w:history="0" w:anchor="P637" w:tooltip="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ны приложением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quot;О функционировании розничных рынков электрической энерг...">
        <w:r>
          <w:rPr>
            <w:sz w:val="20"/>
            <w:color w:val="0000ff"/>
          </w:rPr>
          <w:t xml:space="preserve">абзаце первом</w:t>
        </w:r>
      </w:hyperlink>
      <w:r>
        <w:rPr>
          <w:sz w:val="20"/>
        </w:rPr>
        <w:t xml:space="preserve"> настоящего пункта задолженность перед сетевой организацией, подтвержденная вступившим в законную силу решением суда или признанная таким потребителем услуг;</w:t>
      </w:r>
    </w:p>
    <w:p>
      <w:pPr>
        <w:pStyle w:val="0"/>
        <w:spacing w:before="200" w:line-rule="auto"/>
        <w:ind w:firstLine="540"/>
        <w:jc w:val="both"/>
      </w:pPr>
      <w:r>
        <w:rPr>
          <w:sz w:val="20"/>
        </w:rPr>
        <w:t xml:space="preserve">n - количество месяцев в периоде, за который определена стоимость услуг по передаче электрической энергии (S</w:t>
      </w:r>
      <w:r>
        <w:rPr>
          <w:sz w:val="20"/>
          <w:vertAlign w:val="subscript"/>
        </w:rPr>
        <w:t xml:space="preserve">пост</w:t>
      </w:r>
      <w:r>
        <w:rPr>
          <w:sz w:val="20"/>
        </w:rPr>
        <w:t xml:space="preserve">) и за который у потребителя услуг по передаче электрической энергии образовалась указанная в </w:t>
      </w:r>
      <w:hyperlink w:history="0" w:anchor="P637" w:tooltip="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ны приложением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quot;О функционировании розничных рынков электрической энерг...">
        <w:r>
          <w:rPr>
            <w:sz w:val="20"/>
            <w:color w:val="0000ff"/>
          </w:rPr>
          <w:t xml:space="preserve">абзаце первом</w:t>
        </w:r>
      </w:hyperlink>
      <w:r>
        <w:rPr>
          <w:sz w:val="20"/>
        </w:rPr>
        <w:t xml:space="preserve"> настоящего пункта задолженность перед сетевой организацией, подтвержденная вступившим в законную силу решением суда или признанная потребителем услуг.</w:t>
      </w:r>
    </w:p>
    <w:p>
      <w:pPr>
        <w:pStyle w:val="0"/>
        <w:spacing w:before="200" w:line-rule="auto"/>
        <w:ind w:firstLine="540"/>
        <w:jc w:val="both"/>
      </w:pPr>
      <w:r>
        <w:rPr>
          <w:sz w:val="20"/>
        </w:rPr>
        <w:t xml:space="preserve">68. Сетевая организация определяет потребителя услуг по передаче электрической энергии, соответствующего предусмотренному </w:t>
      </w:r>
      <w:hyperlink w:history="0" w:anchor="P637" w:tooltip="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ны приложением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quot;О функционировании розничных рынков электрической энерг...">
        <w:r>
          <w:rPr>
            <w:sz w:val="20"/>
            <w:color w:val="0000ff"/>
          </w:rPr>
          <w:t xml:space="preserve">абзацем первым пункта 67</w:t>
        </w:r>
      </w:hyperlink>
      <w:r>
        <w:rPr>
          <w:sz w:val="20"/>
        </w:rPr>
        <w:t xml:space="preserve"> настоящих Правил критерию, и направляет ему уведомление об обязанности предоставить обеспечение исполнения обязательств по оплате услуг по передаче электрической энергии способом, позволяющим подтвердить факт и дату получения уведомления.</w:t>
      </w:r>
    </w:p>
    <w:p>
      <w:pPr>
        <w:pStyle w:val="0"/>
        <w:spacing w:before="200" w:line-rule="auto"/>
        <w:ind w:firstLine="540"/>
        <w:jc w:val="both"/>
      </w:pPr>
      <w:r>
        <w:rPr>
          <w:sz w:val="20"/>
        </w:rPr>
        <w:t xml:space="preserve">Уведомление об обязанности предоставить обеспечение исполнения обязательств по оплате услуг по передаче электрической энергии направляется в срок, не превышающий 6 месяцев со дня возникновения задолженности, при наличии которой в соответствии с </w:t>
      </w:r>
      <w:hyperlink w:history="0" w:anchor="P637" w:tooltip="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ны приложением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quot;О функционировании розничных рынков электрической энерг...">
        <w:r>
          <w:rPr>
            <w:sz w:val="20"/>
            <w:color w:val="0000ff"/>
          </w:rPr>
          <w:t xml:space="preserve">пунктом 67</w:t>
        </w:r>
      </w:hyperlink>
      <w:r>
        <w:rPr>
          <w:sz w:val="20"/>
        </w:rPr>
        <w:t xml:space="preserve"> настоящих Правил потребитель услуг по передаче электрической энергии обязан предоставить сетевой организации обеспечение исполнения обязательств по оплате услуг по передаче электрической энергии.</w:t>
      </w:r>
    </w:p>
    <w:p>
      <w:pPr>
        <w:pStyle w:val="0"/>
        <w:spacing w:before="200" w:line-rule="auto"/>
        <w:ind w:firstLine="540"/>
        <w:jc w:val="both"/>
      </w:pPr>
      <w:r>
        <w:rPr>
          <w:sz w:val="20"/>
        </w:rPr>
        <w:t xml:space="preserve">Указанное уведомление должно содержать следующую информацию:</w:t>
      </w:r>
    </w:p>
    <w:p>
      <w:pPr>
        <w:pStyle w:val="0"/>
        <w:spacing w:before="200" w:line-rule="auto"/>
        <w:ind w:firstLine="540"/>
        <w:jc w:val="both"/>
      </w:pPr>
      <w:r>
        <w:rPr>
          <w:sz w:val="20"/>
        </w:rPr>
        <w:t xml:space="preserve">размер задолженности потребителя услуг по передаче электрической энергии, послуживший основанием для предъявления требования о предоставлении обеспечения исполнения обязательств, расчет указанного размера задолженности и среднемесячной величины обязательств потребителя по оплате услуг по передаче электрической энергии;</w:t>
      </w:r>
    </w:p>
    <w:p>
      <w:pPr>
        <w:pStyle w:val="0"/>
        <w:spacing w:before="200" w:line-rule="auto"/>
        <w:ind w:firstLine="540"/>
        <w:jc w:val="both"/>
      </w:pPr>
      <w:r>
        <w:rPr>
          <w:sz w:val="20"/>
        </w:rPr>
        <w:t xml:space="preserve">величина обеспечения исполнения обязательств по оплате услуг по передаче электрической энергии, подлежащего предоставлению потребителем услуг по передаче электрической энергии сетевой организации;</w:t>
      </w:r>
    </w:p>
    <w:p>
      <w:pPr>
        <w:pStyle w:val="0"/>
        <w:spacing w:before="200" w:line-rule="auto"/>
        <w:ind w:firstLine="540"/>
        <w:jc w:val="both"/>
      </w:pPr>
      <w:r>
        <w:rPr>
          <w:sz w:val="20"/>
        </w:rPr>
        <w:t xml:space="preserve">срок, на который должно быть предоставлено обеспечение исполнения обязательств по оплате услуг по передаче электрической энергии;</w:t>
      </w:r>
    </w:p>
    <w:bookmarkStart w:id="654" w:name="P654"/>
    <w:bookmarkEnd w:id="654"/>
    <w:p>
      <w:pPr>
        <w:pStyle w:val="0"/>
        <w:spacing w:before="200" w:line-rule="auto"/>
        <w:ind w:firstLine="540"/>
        <w:jc w:val="both"/>
      </w:pPr>
      <w:r>
        <w:rPr>
          <w:sz w:val="20"/>
        </w:rPr>
        <w:t xml:space="preserve">срок, в течение которого необходимо предоставить обеспечение исполнения обязательств по оплате услуг по передаче электрической энергии.</w:t>
      </w:r>
    </w:p>
    <w:p>
      <w:pPr>
        <w:pStyle w:val="0"/>
        <w:spacing w:before="200" w:line-rule="auto"/>
        <w:ind w:firstLine="540"/>
        <w:jc w:val="both"/>
      </w:pPr>
      <w:r>
        <w:rPr>
          <w:sz w:val="20"/>
        </w:rPr>
        <w:t xml:space="preserve">69. Величина обеспечения исполнения обязательств по оплате услуг по передаче электрической энергии, подлежащего предоставлению потребителем услуг по передаче электрической энергии, который соответствует предусмотренному </w:t>
      </w:r>
      <w:hyperlink w:history="0" w:anchor="P637" w:tooltip="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ны приложением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quot;О функционировании розничных рынков электрической энерг...">
        <w:r>
          <w:rPr>
            <w:sz w:val="20"/>
            <w:color w:val="0000ff"/>
          </w:rPr>
          <w:t xml:space="preserve">абзацем первым пункта 67</w:t>
        </w:r>
      </w:hyperlink>
      <w:r>
        <w:rPr>
          <w:sz w:val="20"/>
        </w:rPr>
        <w:t xml:space="preserve"> настоящих Правил критерию, определяется сетевой организацией и не может превышать размер задолженности такого потребителя по оплате услуг по передаче электрической энергии, послуживший основанием для предъявления к нему требования о предоставлении обеспечения исполнения обязательств.</w:t>
      </w:r>
    </w:p>
    <w:p>
      <w:pPr>
        <w:pStyle w:val="0"/>
        <w:spacing w:before="200" w:line-rule="auto"/>
        <w:ind w:firstLine="540"/>
        <w:jc w:val="both"/>
      </w:pPr>
      <w:r>
        <w:rPr>
          <w:sz w:val="20"/>
        </w:rPr>
        <w:t xml:space="preserve">70. Потребитель услуг по передаче электрической энергии, соответствующий предусмотренному </w:t>
      </w:r>
      <w:hyperlink w:history="0" w:anchor="P637" w:tooltip="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ны приложением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quot;О функционировании розничных рынков электрической энерг...">
        <w:r>
          <w:rPr>
            <w:sz w:val="20"/>
            <w:color w:val="0000ff"/>
          </w:rPr>
          <w:t xml:space="preserve">абзацем первым пункта 67</w:t>
        </w:r>
      </w:hyperlink>
      <w:r>
        <w:rPr>
          <w:sz w:val="20"/>
        </w:rPr>
        <w:t xml:space="preserve"> настоящих Правил критерию, обязан предоставить сетевой организации обеспечение исполнения обязательств по оплате услуг по передаче электрической энергии на срок, определяемый сетевой организацией. Указанный срок не может превышать 6 месяцев со дня предоставления обеспечения исполнения обязательств.</w:t>
      </w:r>
    </w:p>
    <w:p>
      <w:pPr>
        <w:pStyle w:val="0"/>
        <w:spacing w:before="200" w:line-rule="auto"/>
        <w:ind w:firstLine="540"/>
        <w:jc w:val="both"/>
      </w:pPr>
      <w:r>
        <w:rPr>
          <w:sz w:val="20"/>
        </w:rPr>
        <w:t xml:space="preserve">71. Срок, в течение которого необходимо предоставить обеспечение исполнения обязательств по оплате услуг по передаче электрической энергии, определяется сетевой организацией, при этом дата окончания указанного срока не может наступить ранее чем через 60 дней со дня получения потребителем услуг по передаче электрической энергии уведомления об обязанности предоставить обеспечение исполнения обязательств по оплате услуг по передаче электрической энергии.</w:t>
      </w:r>
    </w:p>
    <w:p>
      <w:pPr>
        <w:pStyle w:val="0"/>
        <w:spacing w:before="200" w:line-rule="auto"/>
        <w:ind w:firstLine="540"/>
        <w:jc w:val="both"/>
      </w:pPr>
      <w:r>
        <w:rPr>
          <w:sz w:val="20"/>
        </w:rPr>
        <w:t xml:space="preserve">72. Обеспечение исполнения обязательств по оплате услуг по передаче электрической энергии предоставляется потребителем, который соответствует предусмотренному </w:t>
      </w:r>
      <w:hyperlink w:history="0" w:anchor="P637" w:tooltip="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ны приложением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quot;О функционировании розничных рынков электрической энерг...">
        <w:r>
          <w:rPr>
            <w:sz w:val="20"/>
            <w:color w:val="0000ff"/>
          </w:rPr>
          <w:t xml:space="preserve">абзацем первым пункта 67</w:t>
        </w:r>
      </w:hyperlink>
      <w:r>
        <w:rPr>
          <w:sz w:val="20"/>
        </w:rPr>
        <w:t xml:space="preserve"> настоящих Правил критерию и определен сетевой организацией, в виде выдаваемой банком независимой гарантии, соответствующей требованиям законодательства Российской Федерации (далее - банковская гарантия).</w:t>
      </w:r>
    </w:p>
    <w:p>
      <w:pPr>
        <w:pStyle w:val="0"/>
        <w:spacing w:before="200" w:line-rule="auto"/>
        <w:ind w:firstLine="540"/>
        <w:jc w:val="both"/>
      </w:pPr>
      <w:r>
        <w:rPr>
          <w:sz w:val="20"/>
        </w:rPr>
        <w:t xml:space="preserve">Банковская гарантия обеспечивает исполнение возникших после ее выдачи обязанностей по оплате услуг по передаче электрической энергии, оказываемых по договорам оказания данных услуг.</w:t>
      </w:r>
    </w:p>
    <w:p>
      <w:pPr>
        <w:pStyle w:val="0"/>
        <w:spacing w:before="200" w:line-rule="auto"/>
        <w:ind w:firstLine="540"/>
        <w:jc w:val="both"/>
      </w:pPr>
      <w:r>
        <w:rPr>
          <w:sz w:val="20"/>
        </w:rPr>
        <w:t xml:space="preserve">По согласованию с сетевой организацией потребителем услуг по передаче электрической энергии может быть предоставлена государственная или муниципальная гарантия либо исполнение обязательств по оплате услуг по передаче электрической энергии может быть обеспечено иными способами, предусмотренными законом или договором.</w:t>
      </w:r>
    </w:p>
    <w:p>
      <w:pPr>
        <w:pStyle w:val="0"/>
        <w:spacing w:before="200" w:line-rule="auto"/>
        <w:ind w:firstLine="540"/>
        <w:jc w:val="both"/>
      </w:pPr>
      <w:r>
        <w:rPr>
          <w:sz w:val="20"/>
        </w:rPr>
        <w:t xml:space="preserve">Предоставление обеспечения исполнения обязательств по оплате услуг по передаче электрической энергии не требуется, если до истечения срока, предусмотренного </w:t>
      </w:r>
      <w:hyperlink w:history="0" w:anchor="P654" w:tooltip="срок, в течение которого необходимо предоставить обеспечение исполнения обязательств по оплате услуг по передаче электрической энергии.">
        <w:r>
          <w:rPr>
            <w:sz w:val="20"/>
            <w:color w:val="0000ff"/>
          </w:rPr>
          <w:t xml:space="preserve">абзацем седьмым пункта 68</w:t>
        </w:r>
      </w:hyperlink>
      <w:r>
        <w:rPr>
          <w:sz w:val="20"/>
        </w:rPr>
        <w:t xml:space="preserve"> настоящих Правил, обязательства по оплате услуг по передаче электрической энергии, неисполнение или ненадлежащее исполнение которых послужило основанием для возникновения у потребителя услуг по передаче электрической энергии обязанности предоставить обеспечение исполнения обязательств, исполнены в полном объеме.</w:t>
      </w:r>
    </w:p>
    <w:bookmarkStart w:id="662" w:name="P662"/>
    <w:bookmarkEnd w:id="662"/>
    <w:p>
      <w:pPr>
        <w:pStyle w:val="0"/>
        <w:spacing w:before="200" w:line-rule="auto"/>
        <w:ind w:firstLine="540"/>
        <w:jc w:val="both"/>
      </w:pPr>
      <w:r>
        <w:rPr>
          <w:sz w:val="20"/>
        </w:rPr>
        <w:t xml:space="preserve">73. В случае если предоставленная потребителем услуг по передаче электрической энергии банковская гарантия удовлетворяет требованиям Федерального </w:t>
      </w:r>
      <w:hyperlink w:history="0" r:id="rId390" w:tooltip="Федеральный закон от 26.03.2003 N 35-ФЗ (ред. от 11.06.2022) &quot;Об электроэнергетике&quot; (с изм. и доп., вступ. в силу с 01.07.2022) {КонсультантПлюс}">
        <w:r>
          <w:rPr>
            <w:sz w:val="20"/>
            <w:color w:val="0000ff"/>
          </w:rPr>
          <w:t xml:space="preserve">закона</w:t>
        </w:r>
      </w:hyperlink>
      <w:r>
        <w:rPr>
          <w:sz w:val="20"/>
        </w:rPr>
        <w:t xml:space="preserve"> "Об электроэнергетике" и настоящих Правил или если предоставленное потребителем услуг иное обеспечение исполнения обязательств по оплате услуг по передаче электрической энергии соответствует способу и условиям обеспечения исполнения обязательств, согласованным между сетевой организацией и таким потребителем услуг, а также требованиям закона или договора, сетевая организация не позднее 3 рабочих дней со дня предоставления банковской гарантии (иного обеспечения исполнения обязательств по оплате услуг по передаче электрической энергии) направляет такому потребителю услуг уведомление о ее принятии способом, позволяющим подтвердить факт и дату получения уведомления.</w:t>
      </w:r>
    </w:p>
    <w:p>
      <w:pPr>
        <w:pStyle w:val="0"/>
        <w:spacing w:before="200" w:line-rule="auto"/>
        <w:ind w:firstLine="540"/>
        <w:jc w:val="both"/>
      </w:pPr>
      <w:r>
        <w:rPr>
          <w:sz w:val="20"/>
        </w:rPr>
        <w:t xml:space="preserve">В случае если предоставленная банковская гарантия не удовлетворяет требованиям Федерального </w:t>
      </w:r>
      <w:hyperlink w:history="0" r:id="rId391" w:tooltip="Федеральный закон от 26.03.2003 N 35-ФЗ (ред. от 11.06.2022) &quot;Об электроэнергетике&quot; (с изм. и доп., вступ. в силу с 01.07.2022) {КонсультантПлюс}">
        <w:r>
          <w:rPr>
            <w:sz w:val="20"/>
            <w:color w:val="0000ff"/>
          </w:rPr>
          <w:t xml:space="preserve">закона</w:t>
        </w:r>
      </w:hyperlink>
      <w:r>
        <w:rPr>
          <w:sz w:val="20"/>
        </w:rPr>
        <w:t xml:space="preserve"> "Об электроэнергетике" и настоящих Правил, сетевая организация в срок, предусмотренный </w:t>
      </w:r>
      <w:hyperlink w:history="0" w:anchor="P662" w:tooltip="73. В случае если предоставленная потребителем услуг по передаче электрической энергии банковская гарантия удовлетворяет требованиям Федерального закона &quot;Об электроэнергетике&quot; и настоящих Правил или если предоставленное потребителем услуг иное обеспечение исполнения обязательств по оплате услуг по передаче электрической энергии соответствует способу и условиям обеспечения исполнения обязательств, согласованным между сетевой организацией и таким потребителем услуг, а также требованиям закона или договора,...">
        <w:r>
          <w:rPr>
            <w:sz w:val="20"/>
            <w:color w:val="0000ff"/>
          </w:rPr>
          <w:t xml:space="preserve">абзацем первым</w:t>
        </w:r>
      </w:hyperlink>
      <w:r>
        <w:rPr>
          <w:sz w:val="20"/>
        </w:rPr>
        <w:t xml:space="preserve"> настоящего пункта, направляет потребителю услуг по передаче электрической энергии уведомление о непринятии предоставленной банковской гарантии с указанием причины непринятия способом, позволяющим подтвердить факт и дату получения уведомления.</w:t>
      </w:r>
    </w:p>
    <w:p>
      <w:pPr>
        <w:pStyle w:val="0"/>
        <w:spacing w:before="200" w:line-rule="auto"/>
        <w:ind w:firstLine="540"/>
        <w:jc w:val="both"/>
      </w:pPr>
      <w:r>
        <w:rPr>
          <w:sz w:val="20"/>
        </w:rPr>
        <w:t xml:space="preserve">В случае если предоставленное потребителем услуг по передаче электрической энергии иное обеспечение исполнения обязательств по оплате услуг по передаче электрической энергии не соответствует способу и условиям обеспечения исполнения обязательств, согласованным между сетевой организацией и потребителем услуг, а также требованиям закона или договора, сетевая организация в срок, предусмотренный </w:t>
      </w:r>
      <w:hyperlink w:history="0" w:anchor="P662" w:tooltip="73. В случае если предоставленная потребителем услуг по передаче электрической энергии банковская гарантия удовлетворяет требованиям Федерального закона &quot;Об электроэнергетике&quot; и настоящих Правил или если предоставленное потребителем услуг иное обеспечение исполнения обязательств по оплате услуг по передаче электрической энергии соответствует способу и условиям обеспечения исполнения обязательств, согласованным между сетевой организацией и таким потребителем услуг, а также требованиям закона или договора,...">
        <w:r>
          <w:rPr>
            <w:sz w:val="20"/>
            <w:color w:val="0000ff"/>
          </w:rPr>
          <w:t xml:space="preserve">абзацем первым</w:t>
        </w:r>
      </w:hyperlink>
      <w:r>
        <w:rPr>
          <w:sz w:val="20"/>
        </w:rPr>
        <w:t xml:space="preserve"> настоящего пункта, направляет такому потребителю услуг уведомление о непринятии предоставленного обеспечения исполнения с указанием причины непринятия способом, позволяющим подтвердить факт и дату получения уведомления.</w:t>
      </w:r>
    </w:p>
    <w:bookmarkStart w:id="665" w:name="P665"/>
    <w:bookmarkEnd w:id="665"/>
    <w:p>
      <w:pPr>
        <w:pStyle w:val="0"/>
        <w:spacing w:before="200" w:line-rule="auto"/>
        <w:ind w:firstLine="540"/>
        <w:jc w:val="both"/>
      </w:pPr>
      <w:r>
        <w:rPr>
          <w:sz w:val="20"/>
        </w:rPr>
        <w:t xml:space="preserve">74. Сетевая организация подготавливает предложения для формирования перечня потребителей услуг по передаче электрической энергии, в 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w:t>
      </w:r>
    </w:p>
    <w:p>
      <w:pPr>
        <w:pStyle w:val="0"/>
        <w:spacing w:before="200" w:line-rule="auto"/>
        <w:ind w:firstLine="540"/>
        <w:jc w:val="both"/>
      </w:pPr>
      <w:r>
        <w:rPr>
          <w:sz w:val="20"/>
        </w:rPr>
        <w:t xml:space="preserve">Указанные предложения должны содержать следующие сведения о потребителе услуг по передаче электрической энергии:</w:t>
      </w:r>
    </w:p>
    <w:p>
      <w:pPr>
        <w:pStyle w:val="0"/>
        <w:spacing w:before="200" w:line-rule="auto"/>
        <w:ind w:firstLine="540"/>
        <w:jc w:val="both"/>
      </w:pPr>
      <w:r>
        <w:rPr>
          <w:sz w:val="20"/>
        </w:rPr>
        <w:t xml:space="preserve">полное и сокращенное (при наличии) наименования юридического лица, его адрес, идентификационный номер налогоплательщика и код причины постановки юридического лица на учет в налоговом органе в соответствии со сведениями, содержащимися в Едином государственном реестре юридических лиц;</w:t>
      </w:r>
    </w:p>
    <w:p>
      <w:pPr>
        <w:pStyle w:val="0"/>
        <w:spacing w:before="200" w:line-rule="auto"/>
        <w:ind w:firstLine="540"/>
        <w:jc w:val="both"/>
      </w:pPr>
      <w:r>
        <w:rPr>
          <w:sz w:val="20"/>
        </w:rPr>
        <w:t xml:space="preserve">фамилия, имя и отчество (при наличии) индивидуального предпринимателя (физического лица),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 (при наличии таких сведений);</w:t>
      </w:r>
    </w:p>
    <w:p>
      <w:pPr>
        <w:pStyle w:val="0"/>
        <w:spacing w:before="200" w:line-rule="auto"/>
        <w:ind w:firstLine="540"/>
        <w:jc w:val="both"/>
      </w:pPr>
      <w:r>
        <w:rPr>
          <w:sz w:val="20"/>
        </w:rPr>
        <w:t xml:space="preserve">дата получения потребителем услуг по передаче электрической энергии уведомления об обязанности предоставить обеспечение исполнения обязательств.</w:t>
      </w:r>
    </w:p>
    <w:p>
      <w:pPr>
        <w:pStyle w:val="0"/>
        <w:spacing w:before="200" w:line-rule="auto"/>
        <w:ind w:firstLine="540"/>
        <w:jc w:val="both"/>
      </w:pPr>
      <w:r>
        <w:rPr>
          <w:sz w:val="20"/>
        </w:rPr>
        <w:t xml:space="preserve">Указанные предложения сетевая организация направляет в электронном виде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на территории которого данная сетевая организация осуществляет оказание услуг по передаче электрической энергии, ежемесячно, не позднее 5-го рабочего дня месяца.</w:t>
      </w:r>
    </w:p>
    <w:p>
      <w:pPr>
        <w:pStyle w:val="0"/>
        <w:spacing w:before="200" w:line-rule="auto"/>
        <w:ind w:firstLine="540"/>
        <w:jc w:val="both"/>
      </w:pPr>
      <w:r>
        <w:rPr>
          <w:sz w:val="20"/>
        </w:rPr>
        <w:t xml:space="preserve">В случае полного погашения потребителем услуг по передаче электрической энергии задолженности по оплате услуг по передаче электрической энергии, послужившей основанием для возникновения обязанности предоставить обеспечение исполнения обязательств, сетевая организация направляет в электронном виде не позднее 5-го рабочего дня месяца, следующего за месяцем, в котором погашена указанная задолженность, предложение об исключении такого потребителя из перечня потребителей услуг по передаче электрической энергии, сформированного в соответствии с </w:t>
      </w:r>
      <w:hyperlink w:history="0" w:anchor="P672" w:tooltip="7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позднее 5-го рабочего дня, следующего за днем получения от сетевой организации предложений, указанных в пункте 74 настоящих Правил, формирует перечень потребителей услуг по передаче электрической энергии, в отношении которых сетевыми организациями установлена обязанность предоставления обеспечения исполнения обязательств по оплате услуг по передач...">
        <w:r>
          <w:rPr>
            <w:sz w:val="20"/>
            <w:color w:val="0000ff"/>
          </w:rPr>
          <w:t xml:space="preserve">пунктом 75</w:t>
        </w:r>
      </w:hyperlink>
      <w:r>
        <w:rPr>
          <w:sz w:val="20"/>
        </w:rPr>
        <w:t xml:space="preserve"> настоящих Правил,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на территории которого данная сетевая организация осуществляет оказание услуг по передаче электрической энергии.</w:t>
      </w:r>
    </w:p>
    <w:bookmarkStart w:id="672" w:name="P672"/>
    <w:bookmarkEnd w:id="672"/>
    <w:p>
      <w:pPr>
        <w:pStyle w:val="0"/>
        <w:spacing w:before="200" w:line-rule="auto"/>
        <w:ind w:firstLine="540"/>
        <w:jc w:val="both"/>
      </w:pPr>
      <w:r>
        <w:rPr>
          <w:sz w:val="20"/>
        </w:rPr>
        <w:t xml:space="preserve">75.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позднее 5-го рабочего дня, следующего за днем получения от сетевой организации предложений, указанных в </w:t>
      </w:r>
      <w:hyperlink w:history="0" w:anchor="P665" w:tooltip="74. Сетевая организация подготавливает предложения для формирования перечня потребителей услуг по передаче электрической энергии, в 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
        <w:r>
          <w:rPr>
            <w:sz w:val="20"/>
            <w:color w:val="0000ff"/>
          </w:rPr>
          <w:t xml:space="preserve">пункте 74</w:t>
        </w:r>
      </w:hyperlink>
      <w:r>
        <w:rPr>
          <w:sz w:val="20"/>
        </w:rPr>
        <w:t xml:space="preserve"> настоящих Правил, формирует перечень потребителей услуг по передаче электрической энергии, в 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 и размещает указанный перечень в открытом доступе на официальном сайте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информационно-телекоммуникационной сети "Интернет".</w:t>
      </w:r>
    </w:p>
    <w:p>
      <w:pPr>
        <w:pStyle w:val="0"/>
        <w:spacing w:before="200" w:line-rule="auto"/>
        <w:ind w:firstLine="540"/>
        <w:jc w:val="both"/>
      </w:pPr>
      <w:r>
        <w:rPr>
          <w:sz w:val="20"/>
        </w:rPr>
        <w:t xml:space="preserve">Ведение указанного перечня осуществляется в электронном виде путем внесения в него следующих сведений о потребителях услуг по передаче электрической энергии:</w:t>
      </w:r>
    </w:p>
    <w:p>
      <w:pPr>
        <w:pStyle w:val="0"/>
        <w:spacing w:before="200" w:line-rule="auto"/>
        <w:ind w:firstLine="540"/>
        <w:jc w:val="both"/>
      </w:pPr>
      <w:r>
        <w:rPr>
          <w:sz w:val="20"/>
        </w:rPr>
        <w:t xml:space="preserve">полное и сокращенное (при наличии) наименования юридического лица;</w:t>
      </w:r>
    </w:p>
    <w:p>
      <w:pPr>
        <w:pStyle w:val="0"/>
        <w:spacing w:before="200" w:line-rule="auto"/>
        <w:ind w:firstLine="540"/>
        <w:jc w:val="both"/>
      </w:pPr>
      <w:r>
        <w:rPr>
          <w:sz w:val="20"/>
        </w:rPr>
        <w:t xml:space="preserve">фамилия, имя и отчество (при наличии) индивидуального предпринимателя (физического лица);</w:t>
      </w:r>
    </w:p>
    <w:p>
      <w:pPr>
        <w:pStyle w:val="0"/>
        <w:spacing w:before="200" w:line-rule="auto"/>
        <w:ind w:firstLine="540"/>
        <w:jc w:val="both"/>
      </w:pPr>
      <w:r>
        <w:rPr>
          <w:sz w:val="20"/>
        </w:rPr>
        <w:t xml:space="preserve">адрес юридического лица;</w:t>
      </w:r>
    </w:p>
    <w:p>
      <w:pPr>
        <w:pStyle w:val="0"/>
        <w:spacing w:before="200" w:line-rule="auto"/>
        <w:ind w:firstLine="540"/>
        <w:jc w:val="both"/>
      </w:pPr>
      <w:r>
        <w:rPr>
          <w:sz w:val="20"/>
        </w:rPr>
        <w:t xml:space="preserve">идентификационный номер налогоплательщика;</w:t>
      </w:r>
    </w:p>
    <w:p>
      <w:pPr>
        <w:pStyle w:val="0"/>
        <w:spacing w:before="200" w:line-rule="auto"/>
        <w:ind w:firstLine="540"/>
        <w:jc w:val="both"/>
      </w:pPr>
      <w:r>
        <w:rPr>
          <w:sz w:val="20"/>
        </w:rPr>
        <w:t xml:space="preserve">код причины постановки юридического лица на учет в налоговом органе;</w:t>
      </w:r>
    </w:p>
    <w:p>
      <w:pPr>
        <w:pStyle w:val="0"/>
        <w:spacing w:before="200" w:line-rule="auto"/>
        <w:ind w:firstLine="540"/>
        <w:jc w:val="both"/>
      </w:pPr>
      <w:r>
        <w:rPr>
          <w:sz w:val="20"/>
        </w:rPr>
        <w:t xml:space="preserve">дата получения потребителем услуг по передаче электрической энергии уведомления об обязанности предоставить обеспечение исполнения обязательств.</w:t>
      </w:r>
    </w:p>
    <w:p>
      <w:pPr>
        <w:pStyle w:val="0"/>
        <w:spacing w:before="200" w:line-rule="auto"/>
        <w:ind w:firstLine="540"/>
        <w:jc w:val="both"/>
      </w:pPr>
      <w:r>
        <w:rPr>
          <w:sz w:val="20"/>
        </w:rPr>
        <w:t xml:space="preserve">Отсутствие в указанном перечне, размещенном в информационно-телекоммуникационной сети "Интернет", сведений о потребителе услуг по передаче электрической энергии, соответствующем предусмотренному </w:t>
      </w:r>
      <w:hyperlink w:history="0" w:anchor="P637" w:tooltip="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ны приложением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quot;О функционировании розничных рынков электрической энерг...">
        <w:r>
          <w:rPr>
            <w:sz w:val="20"/>
            <w:color w:val="0000ff"/>
          </w:rPr>
          <w:t xml:space="preserve">абзацем первым пункта 67</w:t>
        </w:r>
      </w:hyperlink>
      <w:r>
        <w:rPr>
          <w:sz w:val="20"/>
        </w:rPr>
        <w:t xml:space="preserve"> настоящих Правил критерию, не освобождает такого потребителя услуг от обязанности предоставить обеспечение исполнения обязательств по оплате услуг по передаче электрической энергии по требованию сетевой организации.</w:t>
      </w:r>
    </w:p>
    <w:p>
      <w:pPr>
        <w:pStyle w:val="0"/>
        <w:ind w:firstLine="540"/>
        <w:jc w:val="both"/>
      </w:pPr>
      <w:r>
        <w:rPr>
          <w:sz w:val="20"/>
        </w:rPr>
      </w:r>
    </w:p>
    <w:p>
      <w:pPr>
        <w:pStyle w:val="2"/>
        <w:outlineLvl w:val="1"/>
        <w:jc w:val="center"/>
      </w:pPr>
      <w:r>
        <w:rPr>
          <w:sz w:val="20"/>
        </w:rPr>
        <w:t xml:space="preserve">X. Особенности регулирования отношений,</w:t>
      </w:r>
    </w:p>
    <w:p>
      <w:pPr>
        <w:pStyle w:val="2"/>
        <w:jc w:val="center"/>
      </w:pPr>
      <w:r>
        <w:rPr>
          <w:sz w:val="20"/>
        </w:rPr>
        <w:t xml:space="preserve">связанных с оказанием услуг по передаче электрической</w:t>
      </w:r>
    </w:p>
    <w:p>
      <w:pPr>
        <w:pStyle w:val="2"/>
        <w:jc w:val="center"/>
      </w:pPr>
      <w:r>
        <w:rPr>
          <w:sz w:val="20"/>
        </w:rPr>
        <w:t xml:space="preserve">энергии, в связи с введением мер по недопущению</w:t>
      </w:r>
    </w:p>
    <w:p>
      <w:pPr>
        <w:pStyle w:val="2"/>
        <w:jc w:val="center"/>
      </w:pPr>
      <w:r>
        <w:rPr>
          <w:sz w:val="20"/>
        </w:rPr>
        <w:t xml:space="preserve">распространения новой коронавирусной инфекции</w:t>
      </w:r>
    </w:p>
    <w:p>
      <w:pPr>
        <w:pStyle w:val="0"/>
        <w:jc w:val="center"/>
      </w:pPr>
      <w:r>
        <w:rPr>
          <w:sz w:val="20"/>
        </w:rPr>
        <w:t xml:space="preserve">(введен </w:t>
      </w:r>
      <w:hyperlink w:history="0" r:id="rId392" w:tooltip="Постановление Правительства РФ от 30.04.2020 N 628 &quot;О внесении изменений в некоторые акты Правительства Российской Федерации в связи с введением мер по недопущению распространения новой коронавирусной инфекции на территории Российской Федерации&quot; {КонсультантПлюс}">
        <w:r>
          <w:rPr>
            <w:sz w:val="20"/>
            <w:color w:val="0000ff"/>
          </w:rPr>
          <w:t xml:space="preserve">Постановлением</w:t>
        </w:r>
      </w:hyperlink>
      <w:r>
        <w:rPr>
          <w:sz w:val="20"/>
        </w:rPr>
        <w:t xml:space="preserve"> Правительства РФ от 30.04.2020 N 628)</w:t>
      </w:r>
    </w:p>
    <w:p>
      <w:pPr>
        <w:pStyle w:val="0"/>
        <w:jc w:val="both"/>
      </w:pPr>
      <w:r>
        <w:rPr>
          <w:sz w:val="20"/>
        </w:rPr>
      </w:r>
    </w:p>
    <w:p>
      <w:pPr>
        <w:pStyle w:val="0"/>
        <w:ind w:firstLine="540"/>
        <w:jc w:val="both"/>
      </w:pPr>
      <w:r>
        <w:rPr>
          <w:sz w:val="20"/>
        </w:rPr>
        <w:t xml:space="preserve">76. С 1 апреля 2020 г. до 1-го числа месяца, следующего за месяцем, в котором истекают нерабочие дни, установленные нормативными правовыми актами Президента Российской Федерации 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коронавирусной инфекции, в целях определения объема услуг по передаче электрической энергии, оплачиваемых потребителем электрической энергии (мощности)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рабочими сутками (рабочими днями) признаются дни с понедельника по пятницу, за исключением случаев, когда указанные дни являются нерабочими праздничными днями или рабочими днями, на которые перенесены выходные дни, в соответствии с трудовым </w:t>
      </w:r>
      <w:hyperlink w:history="0" r:id="rId393" w:tooltip="&quot;Трудовой кодекс Российской Федерации&quot; от 30.12.2001 N 197-ФЗ (ред. от 25.02.2022) (с изм. и доп., вступ. в силу с 01.03.2022) {КонсультантПлюс}">
        <w:r>
          <w:rPr>
            <w:sz w:val="20"/>
            <w:color w:val="0000ff"/>
          </w:rPr>
          <w:t xml:space="preserve">законодательством</w:t>
        </w:r>
      </w:hyperlink>
      <w:r>
        <w:rPr>
          <w:sz w:val="20"/>
        </w:rPr>
        <w:t xml:space="preserve"> Российской Федерации.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27 декабря 2004 г. N 861</w:t>
      </w:r>
    </w:p>
    <w:p>
      <w:pPr>
        <w:pStyle w:val="0"/>
        <w:ind w:firstLine="540"/>
        <w:jc w:val="both"/>
      </w:pPr>
      <w:r>
        <w:rPr>
          <w:sz w:val="20"/>
        </w:rPr>
      </w:r>
    </w:p>
    <w:bookmarkStart w:id="699" w:name="P699"/>
    <w:bookmarkEnd w:id="699"/>
    <w:p>
      <w:pPr>
        <w:pStyle w:val="2"/>
        <w:jc w:val="center"/>
      </w:pPr>
      <w:r>
        <w:rPr>
          <w:sz w:val="20"/>
        </w:rPr>
        <w:t xml:space="preserve">ПРАВИЛА</w:t>
      </w:r>
    </w:p>
    <w:p>
      <w:pPr>
        <w:pStyle w:val="2"/>
        <w:jc w:val="center"/>
      </w:pPr>
      <w:r>
        <w:rPr>
          <w:sz w:val="20"/>
        </w:rPr>
        <w:t xml:space="preserve">НЕДИСКРИМИНАЦИОННОГО ДОСТУПА К УСЛУГАМ</w:t>
      </w:r>
    </w:p>
    <w:p>
      <w:pPr>
        <w:pStyle w:val="2"/>
        <w:jc w:val="center"/>
      </w:pPr>
      <w:r>
        <w:rPr>
          <w:sz w:val="20"/>
        </w:rPr>
        <w:t xml:space="preserve">ПО ОПЕРАТИВНО-ДИСПЕТЧЕРСКОМУ УПРАВЛЕНИЮ</w:t>
      </w:r>
    </w:p>
    <w:p>
      <w:pPr>
        <w:pStyle w:val="2"/>
        <w:jc w:val="center"/>
      </w:pPr>
      <w:r>
        <w:rPr>
          <w:sz w:val="20"/>
        </w:rPr>
        <w:t xml:space="preserve">В ЭЛЕКТРОЭНЕРГЕТИКЕ И ОКАЗАНИЯ ЭТИХ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21.03.2007 </w:t>
            </w:r>
            <w:hyperlink w:history="0" r:id="rId394" w:tooltip="Постановление Правительства РФ от 21.03.2007 N 168 (ред. от 22.10.2012) &quot;О внесении изменений в некоторые Постановления Правительства Российской Федерации по вопросам электроэнергетики&quot; {КонсультантПлюс}">
              <w:r>
                <w:rPr>
                  <w:sz w:val="20"/>
                  <w:color w:val="0000ff"/>
                </w:rPr>
                <w:t xml:space="preserve">N 168</w:t>
              </w:r>
            </w:hyperlink>
            <w:r>
              <w:rPr>
                <w:sz w:val="20"/>
                <w:color w:val="392c69"/>
              </w:rPr>
              <w:t xml:space="preserve">,</w:t>
            </w:r>
          </w:p>
          <w:p>
            <w:pPr>
              <w:pStyle w:val="0"/>
              <w:jc w:val="center"/>
            </w:pPr>
            <w:r>
              <w:rPr>
                <w:sz w:val="20"/>
                <w:color w:val="392c69"/>
              </w:rPr>
              <w:t xml:space="preserve">от 14.02.2009 </w:t>
            </w:r>
            <w:hyperlink w:history="0" r:id="rId395" w:tooltip="Постановление Правительства РФ от 14.02.2009 N 114 (ред. от 04.09.2015)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quot; (вместе с &quot;Правилами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 {КонсультантПлюс}">
              <w:r>
                <w:rPr>
                  <w:sz w:val="20"/>
                  <w:color w:val="0000ff"/>
                </w:rPr>
                <w:t xml:space="preserve">N 114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Настоящие Правила определяют общие принципы и порядок обеспечения недискриминационного доступа субъектов электроэнергетики и потребителей электрической энергии к услугам по оперативно-диспетчерскому управлению в электроэнергетике (далее - услуги), оказываемым системным оператором и другими субъектами оперативно-диспетчерского управления (далее - системный оператор), а также порядок оказания этих услуг.</w:t>
      </w:r>
    </w:p>
    <w:p>
      <w:pPr>
        <w:pStyle w:val="0"/>
        <w:jc w:val="both"/>
      </w:pPr>
      <w:r>
        <w:rPr>
          <w:sz w:val="20"/>
        </w:rPr>
        <w:t xml:space="preserve">(в ред. </w:t>
      </w:r>
      <w:hyperlink w:history="0" r:id="rId396" w:tooltip="Постановление Правительства РФ от 14.02.2009 N 114 (ред. от 04.09.2015)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quot; (вместе с &quot;Правилами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 {КонсультантПлюс}">
        <w:r>
          <w:rPr>
            <w:sz w:val="20"/>
            <w:color w:val="0000ff"/>
          </w:rPr>
          <w:t xml:space="preserve">Постановления</w:t>
        </w:r>
      </w:hyperlink>
      <w:r>
        <w:rPr>
          <w:sz w:val="20"/>
        </w:rPr>
        <w:t xml:space="preserve"> Правительства РФ от 14.02.2009 N 114)</w:t>
      </w:r>
    </w:p>
    <w:p>
      <w:pPr>
        <w:pStyle w:val="0"/>
        <w:spacing w:before="200" w:line-rule="auto"/>
        <w:ind w:firstLine="540"/>
        <w:jc w:val="both"/>
      </w:pPr>
      <w:r>
        <w:rPr>
          <w:sz w:val="20"/>
        </w:rPr>
        <w:t xml:space="preserve">2. Утратил силу. - </w:t>
      </w:r>
      <w:hyperlink w:history="0" r:id="rId397" w:tooltip="Постановление Правительства РФ от 14.02.2009 N 114 (ред. от 04.09.2015)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quot; (вместе с &quot;Правилами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 {КонсультантПлюс}">
        <w:r>
          <w:rPr>
            <w:sz w:val="20"/>
            <w:color w:val="0000ff"/>
          </w:rPr>
          <w:t xml:space="preserve">Постановление</w:t>
        </w:r>
      </w:hyperlink>
      <w:r>
        <w:rPr>
          <w:sz w:val="20"/>
        </w:rPr>
        <w:t xml:space="preserve"> Правительства РФ от 14.02.2009 N 114.</w:t>
      </w:r>
    </w:p>
    <w:p>
      <w:pPr>
        <w:pStyle w:val="0"/>
        <w:spacing w:before="200" w:line-rule="auto"/>
        <w:ind w:firstLine="540"/>
        <w:jc w:val="both"/>
      </w:pPr>
      <w:r>
        <w:rPr>
          <w:sz w:val="20"/>
        </w:rPr>
        <w:t xml:space="preserve">3. Недискриминационный доступ к услугам предусматривает обеспечение равных условий предоставления услуг их потребителям независимо от их организационно-правовой формы и правовых отношений с лицом, оказывающим эти услуги.</w:t>
      </w:r>
    </w:p>
    <w:p>
      <w:pPr>
        <w:pStyle w:val="0"/>
        <w:spacing w:before="200" w:line-rule="auto"/>
        <w:ind w:firstLine="540"/>
        <w:jc w:val="both"/>
      </w:pPr>
      <w:r>
        <w:rPr>
          <w:sz w:val="20"/>
        </w:rPr>
        <w:t xml:space="preserve">4. Системный оператор обязан раскрывать информацию, касающуюся доступа к услугам и оказания услуг, в соответствии со стандартами раскрытия информации субъектами оптового и розничных рынков электрической энергии.</w:t>
      </w:r>
    </w:p>
    <w:bookmarkStart w:id="712" w:name="P712"/>
    <w:bookmarkEnd w:id="712"/>
    <w:p>
      <w:pPr>
        <w:pStyle w:val="0"/>
        <w:spacing w:before="200" w:line-rule="auto"/>
        <w:ind w:firstLine="540"/>
        <w:jc w:val="both"/>
      </w:pPr>
      <w:r>
        <w:rPr>
          <w:sz w:val="20"/>
        </w:rPr>
        <w:t xml:space="preserve">5. Системный оператор осуществляет оказание услуг субъектам электроэнергетики и потребителям электрической энергии, которые относятся к кругу лиц, подлежащих обязательному обслуживанию системным оператором (далее - потребители услуг).</w:t>
      </w:r>
    </w:p>
    <w:p>
      <w:pPr>
        <w:pStyle w:val="0"/>
        <w:spacing w:before="200" w:line-rule="auto"/>
        <w:ind w:firstLine="540"/>
        <w:jc w:val="both"/>
      </w:pPr>
      <w:r>
        <w:rPr>
          <w:sz w:val="20"/>
        </w:rPr>
        <w:t xml:space="preserve">Субъекты электроэнергетики и потребители электрической энергии, не относящиеся к кругу лиц, подлежащих обязательному обслуживанию системным оператором, технологический режим работы и эксплуатационное состояние объектов электроэнергетики или энергопринимающих устройств которых влияют на электроэнергетический режим работы энергетической системы, заключают с системным оператором безвозмездные соглашения. Указанными соглашениями устанавливаются порядок осуществления технологического взаимодействия системного оператора с соответствующими субъектами электроэнергетики и потребителями электрической энергии в целях обеспечения надежного функционирования энергетической системы, включая установленные системным оператором технические требования, необходимые для управления электроэнергетическим режимом работы энергетической системы, и сроки выполнения этих требований.</w:t>
      </w:r>
    </w:p>
    <w:p>
      <w:pPr>
        <w:pStyle w:val="0"/>
        <w:spacing w:before="200" w:line-rule="auto"/>
        <w:ind w:firstLine="540"/>
        <w:jc w:val="both"/>
      </w:pPr>
      <w:r>
        <w:rPr>
          <w:sz w:val="20"/>
        </w:rPr>
        <w:t xml:space="preserve">Порядок осуществления технологического взаимодействия системного оператора с организацией по управлению единой национальной (общероссийской) электрической сетью и другими собственниками или иными законными владельцами объектов электросетевого хозяйства, входящих в единую национальную (общероссийскую) электрическую сеть, в случае если этой организацией и другими собственниками или иными законными владельцами указанных объектов заключены договоры о порядке использования таких объектов, а также сроки выполнения собственниками или иными законными владельцами таких объектов технических требований, необходимых для управления электроэнергетическим режимом работы энергетической системы, определяются соглашениями, которые заключаются (в том числе на трехсторонней основе) указанными лицами.</w:t>
      </w:r>
    </w:p>
    <w:p>
      <w:pPr>
        <w:pStyle w:val="0"/>
        <w:jc w:val="both"/>
      </w:pPr>
      <w:r>
        <w:rPr>
          <w:sz w:val="20"/>
        </w:rPr>
        <w:t xml:space="preserve">(п. 5 в ред. </w:t>
      </w:r>
      <w:hyperlink w:history="0" r:id="rId398" w:tooltip="Постановление Правительства РФ от 14.02.2009 N 114 (ред. от 04.09.2015)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quot; (вместе с &quot;Правилами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 {КонсультантПлюс}">
        <w:r>
          <w:rPr>
            <w:sz w:val="20"/>
            <w:color w:val="0000ff"/>
          </w:rPr>
          <w:t xml:space="preserve">Постановления</w:t>
        </w:r>
      </w:hyperlink>
      <w:r>
        <w:rPr>
          <w:sz w:val="20"/>
        </w:rPr>
        <w:t xml:space="preserve"> Правительства РФ от 14.02.2009 N 114)</w:t>
      </w:r>
    </w:p>
    <w:p>
      <w:pPr>
        <w:pStyle w:val="0"/>
        <w:spacing w:before="200" w:line-rule="auto"/>
        <w:ind w:firstLine="540"/>
        <w:jc w:val="both"/>
      </w:pPr>
      <w:r>
        <w:rPr>
          <w:sz w:val="20"/>
        </w:rPr>
        <w:t xml:space="preserve">6. Услуги оказываются на основании двустороннего договора об оказании услуг по оперативно-диспетчерскому управлению в электроэнергетике (далее - договор), заключаемого с потребителями услуг. При этом системный оператор не вправе отказать потребителю услуг в заключении такого договора. В договоре указываются установленные системным оператором технические требования, необходимые ему для управления режимами Единой энергетической системы России, а также срок их выполнения.</w:t>
      </w:r>
    </w:p>
    <w:p>
      <w:pPr>
        <w:pStyle w:val="0"/>
        <w:spacing w:before="200" w:line-rule="auto"/>
        <w:ind w:firstLine="540"/>
        <w:jc w:val="both"/>
      </w:pPr>
      <w:r>
        <w:rPr>
          <w:sz w:val="20"/>
        </w:rPr>
        <w:t xml:space="preserve">7. Потребители услуг заключают договор с системным оператором до заключения ими договора об оказании услуг по передаче электрической энергии по единой национальной (общероссийской) электрической сети с организацией по управлению единой национальной (общероссийской) электрической сетью.</w:t>
      </w:r>
    </w:p>
    <w:p>
      <w:pPr>
        <w:pStyle w:val="0"/>
        <w:jc w:val="both"/>
      </w:pPr>
      <w:r>
        <w:rPr>
          <w:sz w:val="20"/>
        </w:rPr>
        <w:t xml:space="preserve">(в ред. </w:t>
      </w:r>
      <w:hyperlink w:history="0" r:id="rId399" w:tooltip="Постановление Правительства РФ от 14.02.2009 N 114 (ред. от 04.09.2015)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quot; (вместе с &quot;Правилами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 {КонсультантПлюс}">
        <w:r>
          <w:rPr>
            <w:sz w:val="20"/>
            <w:color w:val="0000ff"/>
          </w:rPr>
          <w:t xml:space="preserve">Постановления</w:t>
        </w:r>
      </w:hyperlink>
      <w:r>
        <w:rPr>
          <w:sz w:val="20"/>
        </w:rPr>
        <w:t xml:space="preserve"> Правительства РФ от 14.02.2009 N 114)</w:t>
      </w:r>
    </w:p>
    <w:p>
      <w:pPr>
        <w:pStyle w:val="0"/>
        <w:spacing w:before="200" w:line-rule="auto"/>
        <w:ind w:firstLine="540"/>
        <w:jc w:val="both"/>
      </w:pPr>
      <w:r>
        <w:rPr>
          <w:sz w:val="20"/>
        </w:rPr>
        <w:t xml:space="preserve">8. Цена услуг определяется ценами (тарифами) или предельными (минимальным и (или) максимальным) уровнями цен (тарифов), установленными федеральным органом исполнительной власти в области регулирования тарифов.</w:t>
      </w:r>
    </w:p>
    <w:p>
      <w:pPr>
        <w:pStyle w:val="0"/>
        <w:jc w:val="both"/>
      </w:pPr>
      <w:r>
        <w:rPr>
          <w:sz w:val="20"/>
        </w:rPr>
        <w:t xml:space="preserve">(в ред. </w:t>
      </w:r>
      <w:hyperlink w:history="0" r:id="rId400" w:tooltip="Постановление Правительства РФ от 14.02.2009 N 114 (ред. от 04.09.2015)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quot; (вместе с &quot;Правилами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 {КонсультантПлюс}">
        <w:r>
          <w:rPr>
            <w:sz w:val="20"/>
            <w:color w:val="0000ff"/>
          </w:rPr>
          <w:t xml:space="preserve">Постановления</w:t>
        </w:r>
      </w:hyperlink>
      <w:r>
        <w:rPr>
          <w:sz w:val="20"/>
        </w:rPr>
        <w:t xml:space="preserve"> Правительства РФ от 14.02.2009 N 114)</w:t>
      </w:r>
    </w:p>
    <w:bookmarkStart w:id="721" w:name="P721"/>
    <w:bookmarkEnd w:id="721"/>
    <w:p>
      <w:pPr>
        <w:pStyle w:val="0"/>
        <w:spacing w:before="200" w:line-rule="auto"/>
        <w:ind w:firstLine="540"/>
        <w:jc w:val="both"/>
      </w:pPr>
      <w:r>
        <w:rPr>
          <w:sz w:val="20"/>
        </w:rPr>
        <w:t xml:space="preserve">9. Лицо, намеренное заключить договор (далее - заявитель), направляет системному оператору в письменной форме заявку о предоставлении доступа к услугам (далее - заявка), которая должна содержать следующие сведения, подтверждаемые приложенными к заявке документами:</w:t>
      </w:r>
    </w:p>
    <w:p>
      <w:pPr>
        <w:pStyle w:val="0"/>
        <w:spacing w:before="200" w:line-rule="auto"/>
        <w:ind w:firstLine="540"/>
        <w:jc w:val="both"/>
      </w:pPr>
      <w:r>
        <w:rPr>
          <w:sz w:val="20"/>
        </w:rPr>
        <w:t xml:space="preserve">а) реквизиты заявителя;</w:t>
      </w:r>
    </w:p>
    <w:p>
      <w:pPr>
        <w:pStyle w:val="0"/>
        <w:spacing w:before="200" w:line-rule="auto"/>
        <w:ind w:firstLine="540"/>
        <w:jc w:val="both"/>
      </w:pPr>
      <w:r>
        <w:rPr>
          <w:sz w:val="20"/>
        </w:rPr>
        <w:t xml:space="preserve">б) перечень принадлежащих заявителю на праве собственности или на ином законном основании электростанций с указанием установленной генерирующей мощности каждой из них, а также величины средней мощности поставки электрической энергии, которая рассчитывается в соответствии с </w:t>
      </w:r>
      <w:hyperlink w:history="0" r:id="rId401" w:tooltip="Постановление Правительства РФ от 14.02.2009 N 114 (ред. от 04.09.2015)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quot; (вместе с &quot;Правилами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 {КонсультантПлюс}">
        <w:r>
          <w:rPr>
            <w:sz w:val="20"/>
            <w:color w:val="0000ff"/>
          </w:rPr>
          <w:t xml:space="preserve">Правилами</w:t>
        </w:r>
      </w:hyperlink>
      <w:r>
        <w:rPr>
          <w:sz w:val="20"/>
        </w:rP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утвержденными Постановлением Правительства Российской Федерации от 14 февраля 2009 г. N 114, - в отношении каждой электростанции заявителя, если такая электростанция входит в Единую энергетическую систему России, а производимая на ней электрическая энергия поставляется на розничный рынок. Эти сведения представляются заявителем в соответствии с указанными Правилами;</w:t>
      </w:r>
    </w:p>
    <w:p>
      <w:pPr>
        <w:pStyle w:val="0"/>
        <w:spacing w:before="200" w:line-rule="auto"/>
        <w:ind w:firstLine="540"/>
        <w:jc w:val="both"/>
      </w:pPr>
      <w:r>
        <w:rPr>
          <w:sz w:val="20"/>
        </w:rPr>
        <w:t xml:space="preserve">в) точки присоединения объектов электроэнергетики и энергопринимающих устройств заявителя к сетям сетевой организации;</w:t>
      </w:r>
    </w:p>
    <w:p>
      <w:pPr>
        <w:pStyle w:val="0"/>
        <w:spacing w:before="200" w:line-rule="auto"/>
        <w:ind w:firstLine="540"/>
        <w:jc w:val="both"/>
      </w:pPr>
      <w:r>
        <w:rPr>
          <w:sz w:val="20"/>
        </w:rPr>
        <w:t xml:space="preserve">г) данные о состоянии систем обмена технологической информацией заявителя с диспетчерскими центрами субъекта оперативно-диспетчерского управления в электроэнергетике.</w:t>
      </w:r>
    </w:p>
    <w:p>
      <w:pPr>
        <w:pStyle w:val="0"/>
        <w:jc w:val="both"/>
      </w:pPr>
      <w:r>
        <w:rPr>
          <w:sz w:val="20"/>
        </w:rPr>
        <w:t xml:space="preserve">(п. 9 в ред. </w:t>
      </w:r>
      <w:hyperlink w:history="0" r:id="rId402" w:tooltip="Постановление Правительства РФ от 14.02.2009 N 114 (ред. от 04.09.2015)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quot; (вместе с &quot;Правилами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 {КонсультантПлюс}">
        <w:r>
          <w:rPr>
            <w:sz w:val="20"/>
            <w:color w:val="0000ff"/>
          </w:rPr>
          <w:t xml:space="preserve">Постановления</w:t>
        </w:r>
      </w:hyperlink>
      <w:r>
        <w:rPr>
          <w:sz w:val="20"/>
        </w:rPr>
        <w:t xml:space="preserve"> Правительства РФ от 14.02.2009 N 114)</w:t>
      </w:r>
    </w:p>
    <w:p>
      <w:pPr>
        <w:pStyle w:val="0"/>
        <w:spacing w:before="200" w:line-rule="auto"/>
        <w:ind w:firstLine="540"/>
        <w:jc w:val="both"/>
      </w:pPr>
      <w:r>
        <w:rPr>
          <w:sz w:val="20"/>
        </w:rPr>
        <w:t xml:space="preserve">10. Утратил силу. - </w:t>
      </w:r>
      <w:hyperlink w:history="0" r:id="rId403" w:tooltip="Постановление Правительства РФ от 14.02.2009 N 114 (ред. от 04.09.2015)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quot; (вместе с &quot;Правилами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 {КонсультантПлюс}">
        <w:r>
          <w:rPr>
            <w:sz w:val="20"/>
            <w:color w:val="0000ff"/>
          </w:rPr>
          <w:t xml:space="preserve">Постановление</w:t>
        </w:r>
      </w:hyperlink>
      <w:r>
        <w:rPr>
          <w:sz w:val="20"/>
        </w:rPr>
        <w:t xml:space="preserve"> Правительства РФ от 14.02.2009 N 114.</w:t>
      </w:r>
    </w:p>
    <w:bookmarkStart w:id="728" w:name="P728"/>
    <w:bookmarkEnd w:id="728"/>
    <w:p>
      <w:pPr>
        <w:pStyle w:val="0"/>
        <w:spacing w:before="200" w:line-rule="auto"/>
        <w:ind w:firstLine="540"/>
        <w:jc w:val="both"/>
      </w:pPr>
      <w:r>
        <w:rPr>
          <w:sz w:val="20"/>
        </w:rPr>
        <w:t xml:space="preserve">11. Системный оператор обязан рассмотреть заявку в течение 30 дней с даты ее получения и принять решение о предоставлении доступа к услугам либо об отказе в нем.</w:t>
      </w:r>
    </w:p>
    <w:p>
      <w:pPr>
        <w:pStyle w:val="0"/>
        <w:spacing w:before="200" w:line-rule="auto"/>
        <w:ind w:firstLine="540"/>
        <w:jc w:val="both"/>
      </w:pPr>
      <w:r>
        <w:rPr>
          <w:sz w:val="20"/>
        </w:rPr>
        <w:t xml:space="preserve">12. При отсутствии сведений, указанных в </w:t>
      </w:r>
      <w:hyperlink w:history="0" w:anchor="P721" w:tooltip="9. Лицо, намеренное заключить договор (далее - заявитель), направляет системному оператору в письменной форме заявку о предоставлении доступа к услугам (далее - заявка), которая должна содержать следующие сведения, подтверждаемые приложенными к заявке документами:">
        <w:r>
          <w:rPr>
            <w:sz w:val="20"/>
            <w:color w:val="0000ff"/>
          </w:rPr>
          <w:t xml:space="preserve">пункте 9</w:t>
        </w:r>
      </w:hyperlink>
      <w:r>
        <w:rPr>
          <w:sz w:val="20"/>
        </w:rPr>
        <w:t xml:space="preserve"> настоящих Правил, системный оператор в течение 3 дней уведомляет об этом заявителя и в 30-дневный срок с даты получения недостающих сведений рассматривает заявку в соответствии с </w:t>
      </w:r>
      <w:hyperlink w:history="0" w:anchor="P728" w:tooltip="11. Системный оператор обязан рассмотреть заявку в течение 30 дней с даты ее получения и принять решение о предоставлении доступа к услугам либо об отказе в нем.">
        <w:r>
          <w:rPr>
            <w:sz w:val="20"/>
            <w:color w:val="0000ff"/>
          </w:rPr>
          <w:t xml:space="preserve">пунктом 11</w:t>
        </w:r>
      </w:hyperlink>
      <w:r>
        <w:rPr>
          <w:sz w:val="20"/>
        </w:rPr>
        <w:t xml:space="preserve"> настоящих Правил.</w:t>
      </w:r>
    </w:p>
    <w:p>
      <w:pPr>
        <w:pStyle w:val="0"/>
        <w:spacing w:before="200" w:line-rule="auto"/>
        <w:ind w:firstLine="540"/>
        <w:jc w:val="both"/>
      </w:pPr>
      <w:r>
        <w:rPr>
          <w:sz w:val="20"/>
        </w:rPr>
        <w:t xml:space="preserve">13. В случае принятия решения о предоставлении доступа к услугам системный оператор обязан направить подписанный им проект договора заявителю.</w:t>
      </w:r>
    </w:p>
    <w:p>
      <w:pPr>
        <w:pStyle w:val="0"/>
        <w:spacing w:before="200" w:line-rule="auto"/>
        <w:ind w:firstLine="540"/>
        <w:jc w:val="both"/>
      </w:pPr>
      <w:r>
        <w:rPr>
          <w:sz w:val="20"/>
        </w:rPr>
        <w:t xml:space="preserve">14. Заявитель, получивший подписанный системным оператором проект договора и не имеющий возражений по его условиям, не позднее 10 дней заполняет ту часть договора, которая касается сведений о заявителе, подписывает его и направляет подписанный экземпляр договора системному оператору.</w:t>
      </w:r>
    </w:p>
    <w:p>
      <w:pPr>
        <w:pStyle w:val="0"/>
        <w:jc w:val="both"/>
      </w:pPr>
      <w:r>
        <w:rPr>
          <w:sz w:val="20"/>
        </w:rPr>
        <w:t xml:space="preserve">(в ред. </w:t>
      </w:r>
      <w:hyperlink w:history="0" r:id="rId404" w:tooltip="Постановление Правительства РФ от 14.02.2009 N 114 (ред. от 04.09.2015)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quot; (вместе с &quot;Правилами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 {КонсультантПлюс}">
        <w:r>
          <w:rPr>
            <w:sz w:val="20"/>
            <w:color w:val="0000ff"/>
          </w:rPr>
          <w:t xml:space="preserve">Постановления</w:t>
        </w:r>
      </w:hyperlink>
      <w:r>
        <w:rPr>
          <w:sz w:val="20"/>
        </w:rPr>
        <w:t xml:space="preserve"> Правительства РФ от 14.02.2009 N 114)</w:t>
      </w:r>
    </w:p>
    <w:p>
      <w:pPr>
        <w:pStyle w:val="0"/>
        <w:spacing w:before="200" w:line-rule="auto"/>
        <w:ind w:firstLine="540"/>
        <w:jc w:val="both"/>
      </w:pPr>
      <w:r>
        <w:rPr>
          <w:sz w:val="20"/>
        </w:rPr>
        <w:t xml:space="preserve">15. Абзац утратил силу. - </w:t>
      </w:r>
      <w:hyperlink w:history="0" r:id="rId405" w:tooltip="Постановление Правительства РФ от 14.02.2009 N 114 (ред. от 04.09.2015)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quot; (вместе с &quot;Правилами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 {КонсультантПлюс}">
        <w:r>
          <w:rPr>
            <w:sz w:val="20"/>
            <w:color w:val="0000ff"/>
          </w:rPr>
          <w:t xml:space="preserve">Постановление</w:t>
        </w:r>
      </w:hyperlink>
      <w:r>
        <w:rPr>
          <w:sz w:val="20"/>
        </w:rPr>
        <w:t xml:space="preserve"> Правительства РФ от 14.02.2009 N 114.</w:t>
      </w:r>
    </w:p>
    <w:p>
      <w:pPr>
        <w:pStyle w:val="0"/>
        <w:spacing w:before="200" w:line-rule="auto"/>
        <w:ind w:firstLine="540"/>
        <w:jc w:val="both"/>
      </w:pPr>
      <w:r>
        <w:rPr>
          <w:sz w:val="20"/>
        </w:rPr>
        <w:t xml:space="preserve">Договор считается заключенным с даты получения лицом, направившим подписанный им проект договора, подписанного другой стороной договора, если иное не установлено этим договором или решением суда.</w:t>
      </w:r>
    </w:p>
    <w:p>
      <w:pPr>
        <w:pStyle w:val="0"/>
        <w:spacing w:before="200" w:line-rule="auto"/>
        <w:ind w:firstLine="540"/>
        <w:jc w:val="both"/>
      </w:pPr>
      <w:r>
        <w:rPr>
          <w:sz w:val="20"/>
        </w:rPr>
        <w:t xml:space="preserve">16. В случае принятия решения об отказе в предоставлении доступа к услугам системный оператор обязан направить заявителю уведомление в письменной форме и обоснованный отказ не позднее 30 дней с даты получения заявки.</w:t>
      </w:r>
    </w:p>
    <w:p>
      <w:pPr>
        <w:pStyle w:val="0"/>
        <w:jc w:val="both"/>
      </w:pPr>
      <w:r>
        <w:rPr>
          <w:sz w:val="20"/>
        </w:rPr>
        <w:t xml:space="preserve">(в ред. </w:t>
      </w:r>
      <w:hyperlink w:history="0" r:id="rId406" w:tooltip="Постановление Правительства РФ от 14.02.2009 N 114 (ред. от 04.09.2015)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quot; (вместе с &quot;Правилами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 {КонсультантПлюс}">
        <w:r>
          <w:rPr>
            <w:sz w:val="20"/>
            <w:color w:val="0000ff"/>
          </w:rPr>
          <w:t xml:space="preserve">Постановления</w:t>
        </w:r>
      </w:hyperlink>
      <w:r>
        <w:rPr>
          <w:sz w:val="20"/>
        </w:rPr>
        <w:t xml:space="preserve"> Правительства РФ от 14.02.2009 N 114)</w:t>
      </w:r>
    </w:p>
    <w:p>
      <w:pPr>
        <w:pStyle w:val="0"/>
        <w:spacing w:before="200" w:line-rule="auto"/>
        <w:ind w:firstLine="540"/>
        <w:jc w:val="both"/>
      </w:pPr>
      <w:r>
        <w:rPr>
          <w:sz w:val="20"/>
        </w:rPr>
        <w:t xml:space="preserve">Отказ в предоставлении доступа к услугам может быть обжалован в антимонопольном органе и (или) оспорен в суде.</w:t>
      </w:r>
    </w:p>
    <w:bookmarkStart w:id="738" w:name="P738"/>
    <w:bookmarkEnd w:id="738"/>
    <w:p>
      <w:pPr>
        <w:pStyle w:val="0"/>
        <w:spacing w:before="200" w:line-rule="auto"/>
        <w:ind w:firstLine="540"/>
        <w:jc w:val="both"/>
      </w:pPr>
      <w:r>
        <w:rPr>
          <w:sz w:val="20"/>
        </w:rPr>
        <w:t xml:space="preserve">17. Системный оператор вправе отказать заявителю в предоставлении доступа к услугам по следующим основаниям:</w:t>
      </w:r>
    </w:p>
    <w:p>
      <w:pPr>
        <w:pStyle w:val="0"/>
        <w:spacing w:before="200" w:line-rule="auto"/>
        <w:ind w:firstLine="540"/>
        <w:jc w:val="both"/>
      </w:pPr>
      <w:r>
        <w:rPr>
          <w:sz w:val="20"/>
        </w:rPr>
        <w:t xml:space="preserve">а) заявитель не представил сведения, предусмотренные </w:t>
      </w:r>
      <w:hyperlink w:history="0" w:anchor="P721" w:tooltip="9. Лицо, намеренное заключить договор (далее - заявитель), направляет системному оператору в письменной форме заявку о предоставлении доступа к услугам (далее - заявка), которая должна содержать следующие сведения, подтверждаемые приложенными к заявке документами:">
        <w:r>
          <w:rPr>
            <w:sz w:val="20"/>
            <w:color w:val="0000ff"/>
          </w:rPr>
          <w:t xml:space="preserve">пунктом 9</w:t>
        </w:r>
      </w:hyperlink>
      <w:r>
        <w:rPr>
          <w:sz w:val="20"/>
        </w:rPr>
        <w:t xml:space="preserve"> настоящих Правил;</w:t>
      </w:r>
    </w:p>
    <w:p>
      <w:pPr>
        <w:pStyle w:val="0"/>
        <w:spacing w:before="200" w:line-rule="auto"/>
        <w:ind w:firstLine="540"/>
        <w:jc w:val="both"/>
      </w:pPr>
      <w:r>
        <w:rPr>
          <w:sz w:val="20"/>
        </w:rPr>
        <w:t xml:space="preserve">б) заявитель представил недостоверные сведения;</w:t>
      </w:r>
    </w:p>
    <w:p>
      <w:pPr>
        <w:pStyle w:val="0"/>
        <w:spacing w:before="200" w:line-rule="auto"/>
        <w:ind w:firstLine="540"/>
        <w:jc w:val="both"/>
      </w:pPr>
      <w:r>
        <w:rPr>
          <w:sz w:val="20"/>
        </w:rPr>
        <w:t xml:space="preserve">в) объекты электроэнергетики (энергопринимающие устройства) заявителя расположены вне зоны диспетчерской ответственности системного оператора;</w:t>
      </w:r>
    </w:p>
    <w:p>
      <w:pPr>
        <w:pStyle w:val="0"/>
        <w:jc w:val="both"/>
      </w:pPr>
      <w:r>
        <w:rPr>
          <w:sz w:val="20"/>
        </w:rPr>
        <w:t xml:space="preserve">(пп. "в" в ред. </w:t>
      </w:r>
      <w:hyperlink w:history="0" r:id="rId407" w:tooltip="Постановление Правительства РФ от 14.02.2009 N 114 (ред. от 04.09.2015)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quot; (вместе с &quot;Правилами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 {КонсультантПлюс}">
        <w:r>
          <w:rPr>
            <w:sz w:val="20"/>
            <w:color w:val="0000ff"/>
          </w:rPr>
          <w:t xml:space="preserve">Постановления</w:t>
        </w:r>
      </w:hyperlink>
      <w:r>
        <w:rPr>
          <w:sz w:val="20"/>
        </w:rPr>
        <w:t xml:space="preserve"> Правительства РФ от 14.02.2009 N 114)</w:t>
      </w:r>
    </w:p>
    <w:bookmarkStart w:id="743" w:name="P743"/>
    <w:bookmarkEnd w:id="743"/>
    <w:p>
      <w:pPr>
        <w:pStyle w:val="0"/>
        <w:spacing w:before="200" w:line-rule="auto"/>
        <w:ind w:firstLine="540"/>
        <w:jc w:val="both"/>
      </w:pPr>
      <w:r>
        <w:rPr>
          <w:sz w:val="20"/>
        </w:rPr>
        <w:t xml:space="preserve">г) заявитель не соответствует </w:t>
      </w:r>
      <w:hyperlink w:history="0" r:id="rId408" w:tooltip="Постановление Правительства РФ от 14.02.2009 N 114 (ред. от 04.09.2015)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quot; (вместе с &quot;Правилами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 {КонсультантПлюс}">
        <w:r>
          <w:rPr>
            <w:sz w:val="20"/>
            <w:color w:val="0000ff"/>
          </w:rPr>
          <w:t xml:space="preserve">критериям отнесения</w:t>
        </w:r>
      </w:hyperlink>
      <w:r>
        <w:rPr>
          <w:sz w:val="20"/>
        </w:rPr>
        <w:t xml:space="preserve"> субъектов электроэнергетики и потребителей электрической энергии к кругу лиц, подлежащих обязательному обслуживанию системным оператором.</w:t>
      </w:r>
    </w:p>
    <w:p>
      <w:pPr>
        <w:pStyle w:val="0"/>
        <w:jc w:val="both"/>
      </w:pPr>
      <w:r>
        <w:rPr>
          <w:sz w:val="20"/>
        </w:rPr>
        <w:t xml:space="preserve">(пп. "г" введен </w:t>
      </w:r>
      <w:hyperlink w:history="0" r:id="rId409" w:tooltip="Постановление Правительства РФ от 14.02.2009 N 114 (ред. от 04.09.2015)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quot; (вместе с &quot;Правилами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 {КонсультантПлюс}">
        <w:r>
          <w:rPr>
            <w:sz w:val="20"/>
            <w:color w:val="0000ff"/>
          </w:rPr>
          <w:t xml:space="preserve">Постановлением</w:t>
        </w:r>
      </w:hyperlink>
      <w:r>
        <w:rPr>
          <w:sz w:val="20"/>
        </w:rPr>
        <w:t xml:space="preserve"> Правительства РФ от 14.02.2009 N 114)</w:t>
      </w:r>
    </w:p>
    <w:p>
      <w:pPr>
        <w:pStyle w:val="0"/>
        <w:spacing w:before="200" w:line-rule="auto"/>
        <w:ind w:firstLine="540"/>
        <w:jc w:val="both"/>
      </w:pPr>
      <w:r>
        <w:rPr>
          <w:sz w:val="20"/>
        </w:rPr>
        <w:t xml:space="preserve">18. Заявитель имеет право повторно обратиться к системному оператору с заявкой. При устранении оснований, указанных в </w:t>
      </w:r>
      <w:hyperlink w:history="0" w:anchor="P738" w:tooltip="17. Системный оператор вправе отказать заявителю в предоставлении доступа к услугам по следующим основаниям:">
        <w:r>
          <w:rPr>
            <w:sz w:val="20"/>
            <w:color w:val="0000ff"/>
          </w:rPr>
          <w:t xml:space="preserve">пункте 17</w:t>
        </w:r>
      </w:hyperlink>
      <w:r>
        <w:rPr>
          <w:sz w:val="20"/>
        </w:rPr>
        <w:t xml:space="preserve"> настоящих Правил, системный оператор не вправе отказать заявителю в предоставлении доступа к услугам.</w:t>
      </w:r>
    </w:p>
    <w:p>
      <w:pPr>
        <w:pStyle w:val="0"/>
        <w:spacing w:before="200" w:line-rule="auto"/>
        <w:ind w:firstLine="540"/>
        <w:jc w:val="both"/>
      </w:pPr>
      <w:r>
        <w:rPr>
          <w:sz w:val="20"/>
        </w:rPr>
        <w:t xml:space="preserve">В случае отказа в предоставлении доступа заявителя к услугам по основанию, предусмотренному </w:t>
      </w:r>
      <w:hyperlink w:history="0" w:anchor="P743" w:tooltip="г) заявитель не соответствует критериям отнесения субъектов электроэнергетики и потребителей электрической энергии к кругу лиц, подлежащих обязательному обслуживанию системным оператором.">
        <w:r>
          <w:rPr>
            <w:sz w:val="20"/>
            <w:color w:val="0000ff"/>
          </w:rPr>
          <w:t xml:space="preserve">подпунктом "г" пункта 17</w:t>
        </w:r>
      </w:hyperlink>
      <w:r>
        <w:rPr>
          <w:sz w:val="20"/>
        </w:rPr>
        <w:t xml:space="preserve"> настоящих Правил, если технологический режим работы и эксплуатационное состояние объектов электроэнергетики или энергопринимающих устройств заявителя оказывают влияние на электроэнергетический режим работы энергетической системы, системный оператор вправе требовать заключения с заявителем соглашения, предусмотренного </w:t>
      </w:r>
      <w:hyperlink w:history="0" w:anchor="P712" w:tooltip="5. Системный оператор осуществляет оказание услуг субъектам электроэнергетики и потребителям электрической энергии, которые относятся к кругу лиц, подлежащих обязательному обслуживанию системным оператором (далее - потребители услуг).">
        <w:r>
          <w:rPr>
            <w:sz w:val="20"/>
            <w:color w:val="0000ff"/>
          </w:rPr>
          <w:t xml:space="preserve">пунктом 5</w:t>
        </w:r>
      </w:hyperlink>
      <w:r>
        <w:rPr>
          <w:sz w:val="20"/>
        </w:rPr>
        <w:t xml:space="preserve"> настоящих Правил. Соглашение заключается в </w:t>
      </w:r>
      <w:hyperlink w:history="0" w:anchor="P209" w:tooltip="II. Порядок заключения и исполнения договора">
        <w:r>
          <w:rPr>
            <w:sz w:val="20"/>
            <w:color w:val="0000ff"/>
          </w:rPr>
          <w:t xml:space="preserve">порядке</w:t>
        </w:r>
      </w:hyperlink>
      <w:r>
        <w:rPr>
          <w:sz w:val="20"/>
        </w:rPr>
        <w:t xml:space="preserve">, предусмотренном настоящими Правилами для заключения договора.</w:t>
      </w:r>
    </w:p>
    <w:p>
      <w:pPr>
        <w:pStyle w:val="0"/>
        <w:jc w:val="both"/>
      </w:pPr>
      <w:r>
        <w:rPr>
          <w:sz w:val="20"/>
        </w:rPr>
        <w:t xml:space="preserve">(абзац введен </w:t>
      </w:r>
      <w:hyperlink w:history="0" r:id="rId410" w:tooltip="Постановление Правительства РФ от 14.02.2009 N 114 (ред. от 04.09.2015)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quot; (вместе с &quot;Правилами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 {КонсультантПлюс}">
        <w:r>
          <w:rPr>
            <w:sz w:val="20"/>
            <w:color w:val="0000ff"/>
          </w:rPr>
          <w:t xml:space="preserve">Постановлением</w:t>
        </w:r>
      </w:hyperlink>
      <w:r>
        <w:rPr>
          <w:sz w:val="20"/>
        </w:rPr>
        <w:t xml:space="preserve"> Правительства РФ от 14.02.2009 N 114)</w:t>
      </w:r>
    </w:p>
    <w:p>
      <w:pPr>
        <w:pStyle w:val="0"/>
        <w:spacing w:before="200" w:line-rule="auto"/>
        <w:ind w:firstLine="540"/>
        <w:jc w:val="both"/>
      </w:pPr>
      <w:r>
        <w:rPr>
          <w:sz w:val="20"/>
        </w:rPr>
        <w:t xml:space="preserve">19. В рамках оказания услуг по договору системный оператор обязуется осуществить комплекс организационно и технологически связанных действий по выполнению функций по оказанию услуг, предусмотренных утверждаемым Правительством Российской Федерации перечнем услуг субъектов оперативно-диспетчерского управления в электроэнергетике, цены (тарифы) на которые регулируются государством.</w:t>
      </w:r>
    </w:p>
    <w:p>
      <w:pPr>
        <w:pStyle w:val="0"/>
        <w:spacing w:before="200" w:line-rule="auto"/>
        <w:ind w:firstLine="540"/>
        <w:jc w:val="both"/>
      </w:pPr>
      <w:r>
        <w:rPr>
          <w:sz w:val="20"/>
        </w:rPr>
        <w:t xml:space="preserve">При исполнении договора потребитель услуг обязан выполнять установленные системным оператором требования, необходимые для управления электроэнергетическим режимом работы энергетической системы, требования, предусмотренные договором, и оплачивать услуги системного оператора в сроки, предусмотренные договором.</w:t>
      </w:r>
    </w:p>
    <w:p>
      <w:pPr>
        <w:pStyle w:val="0"/>
        <w:jc w:val="both"/>
      </w:pPr>
      <w:r>
        <w:rPr>
          <w:sz w:val="20"/>
        </w:rPr>
        <w:t xml:space="preserve">(п. 19 в ред. </w:t>
      </w:r>
      <w:hyperlink w:history="0" r:id="rId411" w:tooltip="Постановление Правительства РФ от 14.02.2009 N 114 (ред. от 04.09.2015)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quot; (вместе с &quot;Правилами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 {КонсультантПлюс}">
        <w:r>
          <w:rPr>
            <w:sz w:val="20"/>
            <w:color w:val="0000ff"/>
          </w:rPr>
          <w:t xml:space="preserve">Постановления</w:t>
        </w:r>
      </w:hyperlink>
      <w:r>
        <w:rPr>
          <w:sz w:val="20"/>
        </w:rPr>
        <w:t xml:space="preserve"> Правительства РФ от 14.02.2009 N 114)</w:t>
      </w:r>
    </w:p>
    <w:p>
      <w:pPr>
        <w:pStyle w:val="0"/>
        <w:spacing w:before="200" w:line-rule="auto"/>
        <w:ind w:firstLine="540"/>
        <w:jc w:val="both"/>
      </w:pPr>
      <w:r>
        <w:rPr>
          <w:sz w:val="20"/>
        </w:rPr>
        <w:t xml:space="preserve">20. Потребители услуг вправе не исполнять оперативные диспетчерские команды и распоряжения, если их исполнение создает угрозу жизни людей и сохранности оборудования или приводит к нарушению пределов и условий безопасной эксплуатации атомных электростанций.</w:t>
      </w:r>
    </w:p>
    <w:p>
      <w:pPr>
        <w:pStyle w:val="0"/>
        <w:spacing w:before="200" w:line-rule="auto"/>
        <w:ind w:firstLine="540"/>
        <w:jc w:val="both"/>
      </w:pPr>
      <w:r>
        <w:rPr>
          <w:sz w:val="20"/>
        </w:rPr>
        <w:t xml:space="preserve">21. При возникновении аварийных электроэнергетических режимов оказание услуг осуществляется с учетом особенностей, установленных законодательством Российской Федерации.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27 декабря 2004 г. N 861</w:t>
      </w:r>
    </w:p>
    <w:p>
      <w:pPr>
        <w:pStyle w:val="0"/>
        <w:ind w:firstLine="540"/>
        <w:jc w:val="both"/>
      </w:pPr>
      <w:r>
        <w:rPr>
          <w:sz w:val="20"/>
        </w:rPr>
      </w:r>
    </w:p>
    <w:bookmarkStart w:id="763" w:name="P763"/>
    <w:bookmarkEnd w:id="763"/>
    <w:p>
      <w:pPr>
        <w:pStyle w:val="2"/>
        <w:jc w:val="center"/>
      </w:pPr>
      <w:r>
        <w:rPr>
          <w:sz w:val="20"/>
        </w:rPr>
        <w:t xml:space="preserve">ПРАВИЛА</w:t>
      </w:r>
    </w:p>
    <w:p>
      <w:pPr>
        <w:pStyle w:val="2"/>
        <w:jc w:val="center"/>
      </w:pPr>
      <w:r>
        <w:rPr>
          <w:sz w:val="20"/>
        </w:rPr>
        <w:t xml:space="preserve">НЕДИСКРИМИНАЦИОННОГО ДОСТУПА К УСЛУГАМ АДМИНИСТРАТОРА</w:t>
      </w:r>
    </w:p>
    <w:p>
      <w:pPr>
        <w:pStyle w:val="2"/>
        <w:jc w:val="center"/>
      </w:pPr>
      <w:r>
        <w:rPr>
          <w:sz w:val="20"/>
        </w:rPr>
        <w:t xml:space="preserve">ТОРГОВОЙ СИСТЕМЫ ОПТОВОГО РЫНКА И ОКАЗАНИЯ ЭТИХ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21.03.2007 </w:t>
            </w:r>
            <w:hyperlink w:history="0" r:id="rId412" w:tooltip="Постановление Правительства РФ от 21.03.2007 N 168 (ред. от 22.10.2012) &quot;О внесении изменений в некоторые Постановления Правительства Российской Федерации по вопросам электроэнергетики&quot; {КонсультантПлюс}">
              <w:r>
                <w:rPr>
                  <w:sz w:val="20"/>
                  <w:color w:val="0000ff"/>
                </w:rPr>
                <w:t xml:space="preserve">N 168</w:t>
              </w:r>
            </w:hyperlink>
            <w:r>
              <w:rPr>
                <w:sz w:val="20"/>
                <w:color w:val="392c69"/>
              </w:rPr>
              <w:t xml:space="preserve">,</w:t>
            </w:r>
          </w:p>
          <w:p>
            <w:pPr>
              <w:pStyle w:val="0"/>
              <w:jc w:val="center"/>
            </w:pPr>
            <w:r>
              <w:rPr>
                <w:sz w:val="20"/>
                <w:color w:val="392c69"/>
              </w:rPr>
              <w:t xml:space="preserve">от 09.06.2010 </w:t>
            </w:r>
            <w:hyperlink w:history="0" r:id="rId413" w:tooltip="Постановление Правительства РФ от 09.06.2010 N 416 (ред. от 28.07.2017) &quot;О внесении изменений в некоторые акты Правительства Российской Федерации по вопросу определения особенностей расположения точек поставки для единого хозяйствующего субъекта на железнодорожном транспорте на оптовом и розничном рынках электрической энергии (мощности)&quot; {КонсультантПлюс}">
              <w:r>
                <w:rPr>
                  <w:sz w:val="20"/>
                  <w:color w:val="0000ff"/>
                </w:rPr>
                <w:t xml:space="preserve">N 416</w:t>
              </w:r>
            </w:hyperlink>
            <w:r>
              <w:rPr>
                <w:sz w:val="20"/>
                <w:color w:val="392c69"/>
              </w:rPr>
              <w:t xml:space="preserve">, от 07.05.2017 </w:t>
            </w:r>
            <w:hyperlink w:history="0" r:id="rId414"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N 542</w:t>
              </w:r>
            </w:hyperlink>
            <w:r>
              <w:rPr>
                <w:sz w:val="20"/>
                <w:color w:val="392c69"/>
              </w:rPr>
              <w:t xml:space="preserve">, от 28.07.2017 </w:t>
            </w:r>
            <w:hyperlink w:history="0" r:id="rId415" w:tooltip="Постановление Правительства РФ от 28.07.2017 N 895 (ред. от 16.12.2021) &quot;О достижении на территориях Дальневосточного федерального округа базовых уровней цен (тарифов) на электрическую энергию (мощность)&quot; (вместе с &quot;Правилами определения и примен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на территориях Дальневосточного федерального округа планируемых на следующий период регулир {КонсультантПлюс}">
              <w:r>
                <w:rPr>
                  <w:sz w:val="20"/>
                  <w:color w:val="0000ff"/>
                </w:rPr>
                <w:t xml:space="preserve">N 895</w:t>
              </w:r>
            </w:hyperlink>
            <w:r>
              <w:rPr>
                <w:sz w:val="20"/>
                <w:color w:val="392c69"/>
              </w:rPr>
              <w:t xml:space="preserve">,</w:t>
            </w:r>
          </w:p>
          <w:p>
            <w:pPr>
              <w:pStyle w:val="0"/>
              <w:jc w:val="center"/>
            </w:pPr>
            <w:r>
              <w:rPr>
                <w:sz w:val="20"/>
                <w:color w:val="392c69"/>
              </w:rPr>
              <w:t xml:space="preserve">от 29.10.2021 </w:t>
            </w:r>
            <w:hyperlink w:history="0" r:id="rId416" w:tooltip="Постановление Правительства РФ от 29.10.2021 N 1852 &quot;О внесении изменений в некоторые акты Правительства Российской Федерации&quot; {КонсультантПлюс}">
              <w:r>
                <w:rPr>
                  <w:sz w:val="20"/>
                  <w:color w:val="0000ff"/>
                </w:rPr>
                <w:t xml:space="preserve">N 1852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Настоящие Правила определяют общие принципы и порядок обеспечения недискриминационного доступа субъектов оптового рынка электрической энергии (мощности) к услугам по организации функционирования торговой системы оптового рынка электрической энергии (мощности) администратора торговой системы оптового рынка (далее соответственно - субъекты оптового рынка, услуги, администратор), а также порядок оказания этих услуг.</w:t>
      </w:r>
    </w:p>
    <w:p>
      <w:pPr>
        <w:pStyle w:val="0"/>
        <w:spacing w:before="200" w:line-rule="auto"/>
        <w:ind w:firstLine="540"/>
        <w:jc w:val="both"/>
      </w:pPr>
      <w:r>
        <w:rPr>
          <w:sz w:val="20"/>
        </w:rPr>
        <w:t xml:space="preserve">2. Недискриминационный доступ к услугам администратора предусматривает обеспечение равных условий оказания субъектам оптового рынка услуг независимо от их организационно-правовой формы и отношений с лицом, оказывающим эти услуги.</w:t>
      </w:r>
    </w:p>
    <w:p>
      <w:pPr>
        <w:pStyle w:val="0"/>
        <w:spacing w:before="200" w:line-rule="auto"/>
        <w:ind w:firstLine="540"/>
        <w:jc w:val="both"/>
      </w:pPr>
      <w:r>
        <w:rPr>
          <w:sz w:val="20"/>
        </w:rPr>
        <w:t xml:space="preserve">3. Администратор обязан раскрывать информацию, касающуюся доступа к услугам и их оказания, в соответствии со стандартами раскрытия информации субъектами оптового и розничных рынков электрической энергии.</w:t>
      </w:r>
    </w:p>
    <w:p>
      <w:pPr>
        <w:pStyle w:val="0"/>
        <w:spacing w:before="200" w:line-rule="auto"/>
        <w:ind w:firstLine="540"/>
        <w:jc w:val="both"/>
      </w:pPr>
      <w:r>
        <w:rPr>
          <w:sz w:val="20"/>
        </w:rPr>
        <w:t xml:space="preserve">4. Администратор не вправе отказаться от оказания услуг субъектам оптового рынка, за исключением случаев, установленных настоящими Правилами и правилами оптового рынка электрической энергии (мощности).</w:t>
      </w:r>
    </w:p>
    <w:p>
      <w:pPr>
        <w:pStyle w:val="0"/>
        <w:spacing w:before="200" w:line-rule="auto"/>
        <w:ind w:firstLine="540"/>
        <w:jc w:val="both"/>
      </w:pPr>
      <w:r>
        <w:rPr>
          <w:sz w:val="20"/>
        </w:rPr>
        <w:t xml:space="preserve">5. Услуги администратора могут быть оказаны лицам, получившим статус субъекта оптового рынка в соответствии с правилами оптового рынка электрической энергии (мощности) и предоставившим администратору документы и информацию, предусмотренную </w:t>
      </w:r>
      <w:hyperlink w:history="0" w:anchor="P776" w:tooltip="6. Юридическое лицо, желающее получить доступ к услугам администратора (далее - заявитель), подает заявление об этом и представляет администратору:">
        <w:r>
          <w:rPr>
            <w:sz w:val="20"/>
            <w:color w:val="0000ff"/>
          </w:rPr>
          <w:t xml:space="preserve">пунктами 6</w:t>
        </w:r>
      </w:hyperlink>
      <w:r>
        <w:rPr>
          <w:sz w:val="20"/>
        </w:rPr>
        <w:t xml:space="preserve"> - </w:t>
      </w:r>
      <w:hyperlink w:history="0" w:anchor="P794" w:tooltip="8. Заявитель, представляющий интересы третьих лиц на оптовом рынке электрической энергии (мощности) на основании заключенных ими договоров об оказании услуг, договоров поручения, комиссии, купли-продажи, поставки или иных договоров, направляет администратору сведения о технологических характеристиках генерирующего оборудования поставщиков, интересы которых он представляет, и (или) о технологических характеристиках энергопринимающего оборудования потребителей, интересы которых он представляет, а также нот...">
        <w:r>
          <w:rPr>
            <w:sz w:val="20"/>
            <w:color w:val="0000ff"/>
          </w:rPr>
          <w:t xml:space="preserve">8</w:t>
        </w:r>
      </w:hyperlink>
      <w:r>
        <w:rPr>
          <w:sz w:val="20"/>
        </w:rPr>
        <w:t xml:space="preserve"> настоящих Правил, а также подписавшим договор о присоединении к торговой системе оптового рынка.</w:t>
      </w:r>
    </w:p>
    <w:bookmarkStart w:id="776" w:name="P776"/>
    <w:bookmarkEnd w:id="776"/>
    <w:p>
      <w:pPr>
        <w:pStyle w:val="0"/>
        <w:spacing w:before="200" w:line-rule="auto"/>
        <w:ind w:firstLine="540"/>
        <w:jc w:val="both"/>
      </w:pPr>
      <w:r>
        <w:rPr>
          <w:sz w:val="20"/>
        </w:rPr>
        <w:t xml:space="preserve">6. Юридическое лицо, желающее получить доступ к услугам администратора (далее - заявитель), подает заявление об этом и представляет администратору:</w:t>
      </w:r>
    </w:p>
    <w:p>
      <w:pPr>
        <w:pStyle w:val="0"/>
        <w:spacing w:before="200" w:line-rule="auto"/>
        <w:ind w:firstLine="540"/>
        <w:jc w:val="both"/>
      </w:pPr>
      <w:r>
        <w:rPr>
          <w:sz w:val="20"/>
        </w:rPr>
        <w:t xml:space="preserve">а) информацию о типе субъекта оптового рынка (поставщик электрической энергии, энергосбытовая организация, энергоснабжающая организация, гарантирующий поставщик электрической энергии, потребитель электрической энергии и т.д.), которому соответствует заявитель, в соответствии с правилами оптового рынка электрической энергии (мощности) переходного периода;</w:t>
      </w:r>
    </w:p>
    <w:p>
      <w:pPr>
        <w:pStyle w:val="0"/>
        <w:spacing w:before="200" w:line-rule="auto"/>
        <w:ind w:firstLine="540"/>
        <w:jc w:val="both"/>
      </w:pPr>
      <w:r>
        <w:rPr>
          <w:sz w:val="20"/>
        </w:rPr>
        <w:t xml:space="preserve">б) анкету заявителя, заполненную по установленной форме;</w:t>
      </w:r>
    </w:p>
    <w:p>
      <w:pPr>
        <w:pStyle w:val="0"/>
        <w:spacing w:before="200" w:line-rule="auto"/>
        <w:ind w:firstLine="540"/>
        <w:jc w:val="both"/>
      </w:pPr>
      <w:r>
        <w:rPr>
          <w:sz w:val="20"/>
        </w:rPr>
        <w:t xml:space="preserve">в) нотариально заверенную копию учредительных документов;</w:t>
      </w:r>
    </w:p>
    <w:p>
      <w:pPr>
        <w:pStyle w:val="0"/>
        <w:spacing w:before="200" w:line-rule="auto"/>
        <w:ind w:firstLine="540"/>
        <w:jc w:val="both"/>
      </w:pPr>
      <w:r>
        <w:rPr>
          <w:sz w:val="20"/>
        </w:rPr>
        <w:t xml:space="preserve">г) нотариально заверенную копию свидетельства о государственной регистрации юридического лица;</w:t>
      </w:r>
    </w:p>
    <w:p>
      <w:pPr>
        <w:pStyle w:val="0"/>
        <w:spacing w:before="200" w:line-rule="auto"/>
        <w:ind w:firstLine="540"/>
        <w:jc w:val="both"/>
      </w:pPr>
      <w:r>
        <w:rPr>
          <w:sz w:val="20"/>
        </w:rPr>
        <w:t xml:space="preserve">д) нотариально заверенную копию свидетельства о постановке заявителя на учет в налоговых органах Российской Федерации;</w:t>
      </w:r>
    </w:p>
    <w:p>
      <w:pPr>
        <w:pStyle w:val="0"/>
        <w:spacing w:before="200" w:line-rule="auto"/>
        <w:ind w:firstLine="540"/>
        <w:jc w:val="both"/>
      </w:pPr>
      <w:r>
        <w:rPr>
          <w:sz w:val="20"/>
        </w:rPr>
        <w:t xml:space="preserve">е) документы, подтверждающие полномочия лиц, представляющих интересы заявителя;</w:t>
      </w:r>
    </w:p>
    <w:p>
      <w:pPr>
        <w:pStyle w:val="0"/>
        <w:spacing w:before="200" w:line-rule="auto"/>
        <w:ind w:firstLine="540"/>
        <w:jc w:val="both"/>
      </w:pPr>
      <w:r>
        <w:rPr>
          <w:sz w:val="20"/>
        </w:rPr>
        <w:t xml:space="preserve">ж) документ, подтверждающий присвоение заявителю статуса гарантирующего поставщика в порядке и в случаях, установленных законодательством Российской Федерации;</w:t>
      </w:r>
    </w:p>
    <w:p>
      <w:pPr>
        <w:pStyle w:val="0"/>
        <w:spacing w:before="200" w:line-rule="auto"/>
        <w:ind w:firstLine="540"/>
        <w:jc w:val="both"/>
      </w:pPr>
      <w:r>
        <w:rPr>
          <w:sz w:val="20"/>
        </w:rPr>
        <w:t xml:space="preserve">з) однолинейную схему присоединения к внешней электрической сети, согласованную с собственником или иным законным владельцем сетевых объектов, к которым технологически присоединен заявитель либо третьи лица, интересы которых он представляет, с указанием названий и уровней напряжения шин внешних подстанций, предполагаемых групп точек поставки, мест подключения приборов коммерческого учета, измерительных трансформаторов напряжения и границ балансовой принадлежности, заверенной представителями смежных владельцев электрических сетей;</w:t>
      </w:r>
    </w:p>
    <w:p>
      <w:pPr>
        <w:pStyle w:val="0"/>
        <w:spacing w:before="200" w:line-rule="auto"/>
        <w:ind w:firstLine="540"/>
        <w:jc w:val="both"/>
      </w:pPr>
      <w:r>
        <w:rPr>
          <w:sz w:val="20"/>
        </w:rPr>
        <w:t xml:space="preserve">и) утратил силу. - </w:t>
      </w:r>
      <w:hyperlink w:history="0" r:id="rId417" w:tooltip="Постановление Правительства РФ от 28.07.2017 N 895 (ред. от 16.12.2021) &quot;О достижении на территориях Дальневосточного федерального округа базовых уровней цен (тарифов) на электрическую энергию (мощность)&quot; (вместе с &quot;Правилами определения и примен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на территориях Дальневосточного федерального округа планируемых на следующий период регулир {КонсультантПлюс}">
        <w:r>
          <w:rPr>
            <w:sz w:val="20"/>
            <w:color w:val="0000ff"/>
          </w:rPr>
          <w:t xml:space="preserve">Постановление</w:t>
        </w:r>
      </w:hyperlink>
      <w:r>
        <w:rPr>
          <w:sz w:val="20"/>
        </w:rPr>
        <w:t xml:space="preserve"> Правительства РФ от 28.07.2017 N 895;</w:t>
      </w:r>
    </w:p>
    <w:p>
      <w:pPr>
        <w:pStyle w:val="0"/>
        <w:spacing w:before="200" w:line-rule="auto"/>
        <w:ind w:firstLine="540"/>
        <w:jc w:val="both"/>
      </w:pPr>
      <w:r>
        <w:rPr>
          <w:sz w:val="20"/>
        </w:rPr>
        <w:t xml:space="preserve">к) документы, подтверждающие наличие заключенного в установленном порядке договора об оказании услуг по передаче электрической энергии (в случае если поставщик (покупатель) электрической энергии в соответствии с законодательством Российской Федерации является плательщиком по такому договору);</w:t>
      </w:r>
    </w:p>
    <w:p>
      <w:pPr>
        <w:pStyle w:val="0"/>
        <w:spacing w:before="200" w:line-rule="auto"/>
        <w:ind w:firstLine="540"/>
        <w:jc w:val="both"/>
      </w:pPr>
      <w:r>
        <w:rPr>
          <w:sz w:val="20"/>
        </w:rPr>
        <w:t xml:space="preserve">л) потребители электрической энергии, которые покупают часть электрической энергии на розничном рынке электрической энергии (лица, представляющие на оптовом рынке электрической энергии (мощности) интересы таких потребителей), - нотариально заверенную копию договора, заключенного организацией, имеющей право на продажу электроэнергии на розничном рынке электрической энергии, и указанным потребителем электрической энергии, и содержащего условие о передаче потребителю электрической энергии всего фактически потребляемого им объема электроэнергии либо условие об обязанности указанной организации заключить договор об оказании услуг по передаче электрической энергии в интересах потребителя электрической энергии;</w:t>
      </w:r>
    </w:p>
    <w:p>
      <w:pPr>
        <w:pStyle w:val="0"/>
        <w:spacing w:before="200" w:line-rule="auto"/>
        <w:ind w:firstLine="540"/>
        <w:jc w:val="both"/>
      </w:pPr>
      <w:r>
        <w:rPr>
          <w:sz w:val="20"/>
        </w:rPr>
        <w:t xml:space="preserve">м) документы, подтверждающие наличие у субъектов электроэнергетики заключенного в установленном порядке договора об оказании услуг по оперативно-диспетчерскому управлению (в случае если поставщик (покупатель) электрической энергии в соответствии с законодательством Российской Федерации является плательщиком по такому договору);</w:t>
      </w:r>
    </w:p>
    <w:p>
      <w:pPr>
        <w:pStyle w:val="0"/>
        <w:spacing w:before="200" w:line-rule="auto"/>
        <w:ind w:firstLine="540"/>
        <w:jc w:val="both"/>
      </w:pPr>
      <w:r>
        <w:rPr>
          <w:sz w:val="20"/>
        </w:rPr>
        <w:t xml:space="preserve">н) паспортные технологические характеристики генерирующего и энергопринимающего оборудования, в отношении которого заявитель планирует свое участие в оптовом рынке электрической энергии (мощности);</w:t>
      </w:r>
    </w:p>
    <w:p>
      <w:pPr>
        <w:pStyle w:val="0"/>
        <w:spacing w:before="200" w:line-rule="auto"/>
        <w:ind w:firstLine="540"/>
        <w:jc w:val="both"/>
      </w:pPr>
      <w:r>
        <w:rPr>
          <w:sz w:val="20"/>
        </w:rPr>
        <w:t xml:space="preserve">о) документы, подтверждающие обеспечение системы связи, включая систему передачи данных, с системным оператором Единой энергетической системы России и администратором.</w:t>
      </w:r>
    </w:p>
    <w:p>
      <w:pPr>
        <w:pStyle w:val="0"/>
        <w:spacing w:before="200" w:line-rule="auto"/>
        <w:ind w:firstLine="540"/>
        <w:jc w:val="both"/>
      </w:pPr>
      <w:r>
        <w:rPr>
          <w:sz w:val="20"/>
        </w:rPr>
        <w:t xml:space="preserve">7. В целях получения сбалансированных данных о фактическом производстве (потреблении) электрической энергии на оптовом рынке электрической энергии (мощности) с учетом потерь, а также проведения финансовых расчетов на оптовом рынке электрической энергии (мощности) заявитель также представляет администратору по форме, утвержденной администратором, документы, подтверждающие:</w:t>
      </w:r>
    </w:p>
    <w:p>
      <w:pPr>
        <w:pStyle w:val="0"/>
        <w:spacing w:before="200" w:line-rule="auto"/>
        <w:ind w:firstLine="540"/>
        <w:jc w:val="both"/>
      </w:pPr>
      <w:r>
        <w:rPr>
          <w:sz w:val="20"/>
        </w:rPr>
        <w:t xml:space="preserve">а) обеспечение коммерческого учета произведенной (потребленной) на оптовом рынке электрической энергии (мощности);</w:t>
      </w:r>
    </w:p>
    <w:p>
      <w:pPr>
        <w:pStyle w:val="0"/>
        <w:spacing w:before="200" w:line-rule="auto"/>
        <w:ind w:firstLine="540"/>
        <w:jc w:val="both"/>
      </w:pPr>
      <w:r>
        <w:rPr>
          <w:sz w:val="20"/>
        </w:rPr>
        <w:t xml:space="preserve">б) наличие согласованного со смежными субъектами оптового рынка перечня средств измерений для коммерческого учета электрической энергии (мощности) и согласованных с системным оператором способов формирования оперативной информации.</w:t>
      </w:r>
    </w:p>
    <w:bookmarkStart w:id="794" w:name="P794"/>
    <w:bookmarkEnd w:id="794"/>
    <w:p>
      <w:pPr>
        <w:pStyle w:val="0"/>
        <w:spacing w:before="200" w:line-rule="auto"/>
        <w:ind w:firstLine="540"/>
        <w:jc w:val="both"/>
      </w:pPr>
      <w:r>
        <w:rPr>
          <w:sz w:val="20"/>
        </w:rPr>
        <w:t xml:space="preserve">8. Заявитель, представляющий интересы третьих лиц на оптовом рынке электрической энергии (мощности) на основании заключенных ими договоров об оказании услуг, договоров поручения, комиссии, купли-продажи, поставки или иных договоров, направляет администратору сведения о технологических характеристиках генерирующего оборудования поставщиков, интересы которых он представляет, и (или) о технологических характеристиках энергопринимающего оборудования потребителей, интересы которых он представляет, а также нотариально заверенные копии договоров, в соответствии с которыми заявитель представляет интересы третьих лиц на оптовом рынке электрической энергии (мощности).</w:t>
      </w:r>
    </w:p>
    <w:p>
      <w:pPr>
        <w:pStyle w:val="0"/>
        <w:spacing w:before="200" w:line-rule="auto"/>
        <w:ind w:firstLine="540"/>
        <w:jc w:val="both"/>
      </w:pPr>
      <w:r>
        <w:rPr>
          <w:sz w:val="20"/>
        </w:rPr>
        <w:t xml:space="preserve">Заявитель, осуществляющий деятельность по передаче электрической энергии и покупающий электрическую энергию на оптовом рынке электрической энергии (мощности), в целях компенсации потерь в электрических сетях представляет администратору характеристики электрической сети и объектов сетевого хозяйства по каждой группе точек поставки (сетевому объекту).</w:t>
      </w:r>
    </w:p>
    <w:p>
      <w:pPr>
        <w:pStyle w:val="0"/>
        <w:spacing w:before="200" w:line-rule="auto"/>
        <w:ind w:firstLine="540"/>
        <w:jc w:val="both"/>
      </w:pPr>
      <w:r>
        <w:rPr>
          <w:sz w:val="20"/>
        </w:rPr>
        <w:t xml:space="preserve">В целях получения данных о фактическом производстве и потреблении энергии, а также проведения расчетов на оптовом рынке электрической энергии (мощности) заявитель представляет документы, подтверждающие соответствие средств измерений, которыми оснащены точки (группы точек) поставки на оптовом рынке электрической энергии (мощности), требованиям Правил оптового рынка электрической энергии (мощности) и условиям договора о присоединении к торговой системе оптового рынка, в порядке, установленном администратором.</w:t>
      </w:r>
    </w:p>
    <w:p>
      <w:pPr>
        <w:pStyle w:val="0"/>
        <w:jc w:val="both"/>
      </w:pPr>
      <w:r>
        <w:rPr>
          <w:sz w:val="20"/>
        </w:rPr>
        <w:t xml:space="preserve">(в ред. </w:t>
      </w:r>
      <w:hyperlink w:history="0" r:id="rId418" w:tooltip="Постановление Правительства РФ от 29.10.2021 N 1852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29.10.2021 N 1852)</w:t>
      </w:r>
    </w:p>
    <w:p>
      <w:pPr>
        <w:pStyle w:val="0"/>
        <w:spacing w:before="200" w:line-rule="auto"/>
        <w:ind w:firstLine="540"/>
        <w:jc w:val="both"/>
      </w:pPr>
      <w:r>
        <w:rPr>
          <w:sz w:val="20"/>
        </w:rPr>
        <w:t xml:space="preserve">Администратор не вправе требовать от заявителя представления сведений, не предусмотренных настоящими Правилами, если иное не установлено законодательством Российской Федерации.</w:t>
      </w:r>
    </w:p>
    <w:p>
      <w:pPr>
        <w:pStyle w:val="0"/>
        <w:spacing w:before="200" w:line-rule="auto"/>
        <w:ind w:firstLine="540"/>
        <w:jc w:val="both"/>
      </w:pPr>
      <w:r>
        <w:rPr>
          <w:sz w:val="20"/>
        </w:rPr>
        <w:t xml:space="preserve">В целях обеспечения равного доступа к услугам администратора собственник или иной законный владелец сетевых объектов, к которым технологически присоединен заявитель либо третьи лица, интересы которых он представляет, обязан в течение 30 дней со дня получения указанных документов согласовать однолинейную схему присоединения к внешней электрической сети и оформить акты разграничения балансовой принадлежности и ответственности.</w:t>
      </w:r>
    </w:p>
    <w:p>
      <w:pPr>
        <w:pStyle w:val="0"/>
        <w:jc w:val="both"/>
      </w:pPr>
      <w:r>
        <w:rPr>
          <w:sz w:val="20"/>
        </w:rPr>
        <w:t xml:space="preserve">(в ред. </w:t>
      </w:r>
      <w:hyperlink w:history="0" r:id="rId419" w:tooltip="Постановление Правительства РФ от 09.06.2010 N 416 (ред. от 28.07.2017) &quot;О внесении изменений в некоторые акты Правительства Российской Федерации по вопросу определения особенностей расположения точек поставки для единого хозяйствующего субъекта на железнодорожном транспорте на оптовом и розничном рынках электрической энергии (мощности)&quot; {КонсультантПлюс}">
        <w:r>
          <w:rPr>
            <w:sz w:val="20"/>
            <w:color w:val="0000ff"/>
          </w:rPr>
          <w:t xml:space="preserve">Постановления</w:t>
        </w:r>
      </w:hyperlink>
      <w:r>
        <w:rPr>
          <w:sz w:val="20"/>
        </w:rPr>
        <w:t xml:space="preserve"> Правительства РФ от 09.06.2010 N 416)</w:t>
      </w:r>
    </w:p>
    <w:p>
      <w:pPr>
        <w:pStyle w:val="0"/>
        <w:spacing w:before="200" w:line-rule="auto"/>
        <w:ind w:firstLine="540"/>
        <w:jc w:val="both"/>
      </w:pPr>
      <w:r>
        <w:rPr>
          <w:sz w:val="20"/>
        </w:rPr>
        <w:t xml:space="preserve">Смежные с заявителем субъекты оптового рынка в течение 10 рабочих дней со дня получения указанных документов обязаны согласовать с ним документы, подтверждающие обеспечение коммерческого учета произведенной (потребленной) на оптовом рынке электрической энергии (мощности), порядок информационного обмена и порядок использования приборов коммерческого учета для определения объемов производства (потребления) электрической энергии (мощности) на границах балансовой принадлежности субъектов оптового рынка.</w:t>
      </w:r>
    </w:p>
    <w:p>
      <w:pPr>
        <w:pStyle w:val="0"/>
        <w:jc w:val="both"/>
      </w:pPr>
      <w:r>
        <w:rPr>
          <w:sz w:val="20"/>
        </w:rPr>
        <w:t xml:space="preserve">(в ред. Постановлений Правительства РФ от 09.06.2010 </w:t>
      </w:r>
      <w:hyperlink w:history="0" r:id="rId420" w:tooltip="Постановление Правительства РФ от 09.06.2010 N 416 (ред. от 28.07.2017) &quot;О внесении изменений в некоторые акты Правительства Российской Федерации по вопросу определения особенностей расположения точек поставки для единого хозяйствующего субъекта на железнодорожном транспорте на оптовом и розничном рынках электрической энергии (мощности)&quot; {КонсультантПлюс}">
        <w:r>
          <w:rPr>
            <w:sz w:val="20"/>
            <w:color w:val="0000ff"/>
          </w:rPr>
          <w:t xml:space="preserve">N 416</w:t>
        </w:r>
      </w:hyperlink>
      <w:r>
        <w:rPr>
          <w:sz w:val="20"/>
        </w:rPr>
        <w:t xml:space="preserve">, от 28.07.2017 </w:t>
      </w:r>
      <w:hyperlink w:history="0" r:id="rId421" w:tooltip="Постановление Правительства РФ от 28.07.2017 N 895 (ред. от 16.12.2021) &quot;О достижении на территориях Дальневосточного федерального округа базовых уровней цен (тарифов) на электрическую энергию (мощность)&quot; (вместе с &quot;Правилами определения и примен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на территориях Дальневосточного федерального округа планируемых на следующий период регулир {КонсультантПлюс}">
        <w:r>
          <w:rPr>
            <w:sz w:val="20"/>
            <w:color w:val="0000ff"/>
          </w:rPr>
          <w:t xml:space="preserve">N 895</w:t>
        </w:r>
      </w:hyperlink>
      <w:r>
        <w:rPr>
          <w:sz w:val="20"/>
        </w:rPr>
        <w:t xml:space="preserve">)</w:t>
      </w:r>
    </w:p>
    <w:p>
      <w:pPr>
        <w:pStyle w:val="0"/>
        <w:spacing w:before="200" w:line-rule="auto"/>
        <w:ind w:firstLine="540"/>
        <w:jc w:val="both"/>
      </w:pPr>
      <w:r>
        <w:rPr>
          <w:sz w:val="20"/>
        </w:rPr>
        <w:t xml:space="preserve">Расположение одной или нескольких точек поставки внутри границ балансовой принадлежности (эксплуатационной ответственности) объектов электросетевого хозяйства субъекта электроэнергетики или потребителей электрической энергии в случаях, предусмотренных Правилами оптового рынка электрической энергии (мощности) переходного периода, не является основанием для отказа смежным субъектом оптового рынка в согласовании перечня средств измерений для коммерческого учета электрической энергии (мощности). При этом субъект оптового рынка, в группу точек поставки которого включены такие точки поставки, обязан обеспечить доступ смежному субъекту оптового рынка к средствам измерений для проверки достоверности их показаний.</w:t>
      </w:r>
    </w:p>
    <w:p>
      <w:pPr>
        <w:pStyle w:val="0"/>
        <w:jc w:val="both"/>
      </w:pPr>
      <w:r>
        <w:rPr>
          <w:sz w:val="20"/>
        </w:rPr>
        <w:t xml:space="preserve">(абзац введен </w:t>
      </w:r>
      <w:hyperlink w:history="0" r:id="rId422" w:tooltip="Постановление Правительства РФ от 09.06.2010 N 416 (ред. от 28.07.2017) &quot;О внесении изменений в некоторые акты Правительства Российской Федерации по вопросу определения особенностей расположения точек поставки для единого хозяйствующего субъекта на железнодорожном транспорте на оптовом и розничном рынках электрической энергии (мощности)&quot; {КонсультантПлюс}">
        <w:r>
          <w:rPr>
            <w:sz w:val="20"/>
            <w:color w:val="0000ff"/>
          </w:rPr>
          <w:t xml:space="preserve">Постановлением</w:t>
        </w:r>
      </w:hyperlink>
      <w:r>
        <w:rPr>
          <w:sz w:val="20"/>
        </w:rPr>
        <w:t xml:space="preserve"> Правительства РФ от 09.06.2010 N 416)</w:t>
      </w:r>
    </w:p>
    <w:p>
      <w:pPr>
        <w:pStyle w:val="0"/>
        <w:spacing w:before="200" w:line-rule="auto"/>
        <w:ind w:firstLine="540"/>
        <w:jc w:val="both"/>
      </w:pPr>
      <w:r>
        <w:rPr>
          <w:sz w:val="20"/>
        </w:rPr>
        <w:t xml:space="preserve">9. Администратор вправе отказать заявителю в доступе к услугам администратора, если он:</w:t>
      </w:r>
    </w:p>
    <w:p>
      <w:pPr>
        <w:pStyle w:val="0"/>
        <w:spacing w:before="200" w:line-rule="auto"/>
        <w:ind w:firstLine="540"/>
        <w:jc w:val="both"/>
      </w:pPr>
      <w:r>
        <w:rPr>
          <w:sz w:val="20"/>
        </w:rPr>
        <w:t xml:space="preserve">а) не представил документы и информацию, предусмотренные </w:t>
      </w:r>
      <w:hyperlink w:history="0" w:anchor="P776" w:tooltip="6. Юридическое лицо, желающее получить доступ к услугам администратора (далее - заявитель), подает заявление об этом и представляет администратору:">
        <w:r>
          <w:rPr>
            <w:sz w:val="20"/>
            <w:color w:val="0000ff"/>
          </w:rPr>
          <w:t xml:space="preserve">пунктом 6</w:t>
        </w:r>
      </w:hyperlink>
      <w:r>
        <w:rPr>
          <w:sz w:val="20"/>
        </w:rPr>
        <w:t xml:space="preserve"> настоящих Правил;</w:t>
      </w:r>
    </w:p>
    <w:p>
      <w:pPr>
        <w:pStyle w:val="0"/>
        <w:spacing w:before="200" w:line-rule="auto"/>
        <w:ind w:firstLine="540"/>
        <w:jc w:val="both"/>
      </w:pPr>
      <w:r>
        <w:rPr>
          <w:sz w:val="20"/>
        </w:rPr>
        <w:t xml:space="preserve">б) представил недостоверные сведения;</w:t>
      </w:r>
    </w:p>
    <w:p>
      <w:pPr>
        <w:pStyle w:val="0"/>
        <w:spacing w:before="200" w:line-rule="auto"/>
        <w:ind w:firstLine="540"/>
        <w:jc w:val="both"/>
      </w:pPr>
      <w:r>
        <w:rPr>
          <w:sz w:val="20"/>
        </w:rPr>
        <w:t xml:space="preserve">в) не соответствует какому-либо из установленных законодательством Российской Федерации требований, предъявляемых к субъектам оптового рынка;</w:t>
      </w:r>
    </w:p>
    <w:p>
      <w:pPr>
        <w:pStyle w:val="0"/>
        <w:spacing w:before="200" w:line-rule="auto"/>
        <w:ind w:firstLine="540"/>
        <w:jc w:val="both"/>
      </w:pPr>
      <w:r>
        <w:rPr>
          <w:sz w:val="20"/>
        </w:rPr>
        <w:t xml:space="preserve">г) не выполнил требования, установленные договором о присоединении к торговой системе оптового рынка.</w:t>
      </w:r>
    </w:p>
    <w:p>
      <w:pPr>
        <w:pStyle w:val="0"/>
        <w:spacing w:before="200" w:line-rule="auto"/>
        <w:ind w:firstLine="540"/>
        <w:jc w:val="both"/>
      </w:pPr>
      <w:r>
        <w:rPr>
          <w:sz w:val="20"/>
        </w:rPr>
        <w:t xml:space="preserve">10. Заявитель вправе обратиться к администратору с заявлением о предоставлении доступа к его услугам при устранении оснований для отказа заявителю в доступе к услугам администратора.</w:t>
      </w:r>
    </w:p>
    <w:p>
      <w:pPr>
        <w:pStyle w:val="0"/>
        <w:spacing w:before="200" w:line-rule="auto"/>
        <w:ind w:firstLine="540"/>
        <w:jc w:val="both"/>
      </w:pPr>
      <w:r>
        <w:rPr>
          <w:sz w:val="20"/>
        </w:rPr>
        <w:t xml:space="preserve">11. Решение об отказе в доступе к услугам администратора может быть обжаловано в порядке, установленном законодательством Российской Федерации.</w:t>
      </w:r>
    </w:p>
    <w:p>
      <w:pPr>
        <w:pStyle w:val="0"/>
        <w:spacing w:before="200" w:line-rule="auto"/>
        <w:ind w:firstLine="540"/>
        <w:jc w:val="both"/>
      </w:pPr>
      <w:r>
        <w:rPr>
          <w:sz w:val="20"/>
        </w:rPr>
        <w:t xml:space="preserve">12. Администратор оказывает услуги субъектам оптового рынка на основании договора о присоединении к торговой системе оптового рынка.</w:t>
      </w:r>
    </w:p>
    <w:p>
      <w:pPr>
        <w:pStyle w:val="0"/>
        <w:spacing w:before="200" w:line-rule="auto"/>
        <w:ind w:firstLine="540"/>
        <w:jc w:val="both"/>
      </w:pPr>
      <w:r>
        <w:rPr>
          <w:sz w:val="20"/>
        </w:rPr>
        <w:t xml:space="preserve">Подписанный экземпляр договора о присоединении к торговой системе оптового рынка направляется администратором субъекту оптового рынка.</w:t>
      </w:r>
    </w:p>
    <w:p>
      <w:pPr>
        <w:pStyle w:val="0"/>
        <w:spacing w:before="200" w:line-rule="auto"/>
        <w:ind w:firstLine="540"/>
        <w:jc w:val="both"/>
      </w:pPr>
      <w:r>
        <w:rPr>
          <w:sz w:val="20"/>
        </w:rPr>
        <w:t xml:space="preserve">13. Услуги администратора оплачиваются субъектом оптового рынка по тарифам, утвержденным федеральным органом исполнительной власти в области государственного регулирования тарифов.</w:t>
      </w:r>
    </w:p>
    <w:p>
      <w:pPr>
        <w:pStyle w:val="0"/>
        <w:spacing w:before="200" w:line-rule="auto"/>
        <w:ind w:firstLine="540"/>
        <w:jc w:val="both"/>
      </w:pPr>
      <w:r>
        <w:rPr>
          <w:sz w:val="20"/>
        </w:rPr>
        <w:t xml:space="preserve">14. В случае неоплаты услуг администратора субъектом оптового рынка администратор вправе приостановить прием заявок субъекта оптового рынка для участия в процедуре конкурентного отбора ценовых заявок на оптовом рынке или применить иные меры, предусмотренные договором о присоединении к торговой системе оптового рынка, до полного погашения задолженности.</w:t>
      </w:r>
    </w:p>
    <w:p>
      <w:pPr>
        <w:pStyle w:val="0"/>
        <w:spacing w:before="200" w:line-rule="auto"/>
        <w:ind w:firstLine="540"/>
        <w:jc w:val="both"/>
      </w:pPr>
      <w:r>
        <w:rPr>
          <w:sz w:val="20"/>
        </w:rPr>
        <w:t xml:space="preserve">15. Администратор вправе прекратить оказание услуг субъекту оптового рынка в случае:</w:t>
      </w:r>
    </w:p>
    <w:p>
      <w:pPr>
        <w:pStyle w:val="0"/>
        <w:spacing w:before="200" w:line-rule="auto"/>
        <w:ind w:firstLine="540"/>
        <w:jc w:val="both"/>
      </w:pPr>
      <w:r>
        <w:rPr>
          <w:sz w:val="20"/>
        </w:rPr>
        <w:t xml:space="preserve">а) несоответствия юридического лица требованиям, предъявляемым к субъекту оптового рынка;</w:t>
      </w:r>
    </w:p>
    <w:p>
      <w:pPr>
        <w:pStyle w:val="0"/>
        <w:spacing w:before="200" w:line-rule="auto"/>
        <w:ind w:firstLine="540"/>
        <w:jc w:val="both"/>
      </w:pPr>
      <w:r>
        <w:rPr>
          <w:sz w:val="20"/>
        </w:rPr>
        <w:t xml:space="preserve">б) утраты юридическим лицом статуса субъекта оптового рынка;</w:t>
      </w:r>
    </w:p>
    <w:p>
      <w:pPr>
        <w:pStyle w:val="0"/>
        <w:spacing w:before="200" w:line-rule="auto"/>
        <w:ind w:firstLine="540"/>
        <w:jc w:val="both"/>
      </w:pPr>
      <w:r>
        <w:rPr>
          <w:sz w:val="20"/>
        </w:rPr>
        <w:t xml:space="preserve">в) неоднократного неисполнения (ненадлежащего исполнения) субъектом оптового рынка обязательств по оплате услуг администратора;</w:t>
      </w:r>
    </w:p>
    <w:p>
      <w:pPr>
        <w:pStyle w:val="0"/>
        <w:spacing w:before="200" w:line-rule="auto"/>
        <w:ind w:firstLine="540"/>
        <w:jc w:val="both"/>
      </w:pPr>
      <w:r>
        <w:rPr>
          <w:sz w:val="20"/>
        </w:rPr>
        <w:t xml:space="preserve">г) прекращения действия договора о присоединении к торговой системе оптового рынка;</w:t>
      </w:r>
    </w:p>
    <w:p>
      <w:pPr>
        <w:pStyle w:val="0"/>
        <w:spacing w:before="200" w:line-rule="auto"/>
        <w:ind w:firstLine="540"/>
        <w:jc w:val="both"/>
      </w:pPr>
      <w:r>
        <w:rPr>
          <w:sz w:val="20"/>
        </w:rPr>
        <w:t xml:space="preserve">д) прекращения деятельности субъекта оптового рынка по основаниям, предусмотренным законодательством Российской Федерации.</w:t>
      </w:r>
    </w:p>
    <w:p>
      <w:pPr>
        <w:pStyle w:val="0"/>
        <w:spacing w:before="200" w:line-rule="auto"/>
        <w:ind w:firstLine="540"/>
        <w:jc w:val="both"/>
      </w:pPr>
      <w:r>
        <w:rPr>
          <w:sz w:val="20"/>
        </w:rPr>
        <w:t xml:space="preserve">16. Принятие администратором в соответствии с правилами оптового рынка электрической энергии (мощности) и договором о присоединении к торговой системе оптового рынка решения о признании несостоявшейся продажи (покупки) электрической энергии на оптовом рынке или на какой-либо ограниченной территории не может рассматриваться как неисполнение или ненадлежащее исполнение обязательств по оказанию услуг администратора.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27 декабря 2004 г. N 861</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Временный фактический прием (подача) напряжения и мощности в ходе тех. присоединения к объектам электросетевого хозяйства, временное подключение (тех. присоединение) объекта теплоснабжения до 31.12.2022 </w:t>
            </w:r>
            <w:hyperlink w:history="0" r:id="rId423" w:tooltip="Постановление Правительства РФ от 12.03.2022 N 353 (ред. от 01.07.2022) &quot;Об особенностях разрешительной деятельности в Российской Федерации в 2022 году&quot; {КонсультантПлюс}">
              <w:r>
                <w:rPr>
                  <w:sz w:val="20"/>
                  <w:color w:val="0000ff"/>
                </w:rPr>
                <w:t xml:space="preserve">могут</w:t>
              </w:r>
            </w:hyperlink>
            <w:r>
              <w:rPr>
                <w:sz w:val="20"/>
                <w:color w:val="392c69"/>
              </w:rPr>
              <w:t xml:space="preserve"> осуществляться без разрешения на допуск в эксплуатацию.</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35" w:name="P835"/>
    <w:bookmarkEnd w:id="835"/>
    <w:p>
      <w:pPr>
        <w:pStyle w:val="2"/>
        <w:spacing w:before="260" w:line-rule="auto"/>
        <w:jc w:val="center"/>
      </w:pPr>
      <w:r>
        <w:rPr>
          <w:sz w:val="20"/>
        </w:rPr>
        <w:t xml:space="preserve">ПРАВИЛА</w:t>
      </w:r>
    </w:p>
    <w:p>
      <w:pPr>
        <w:pStyle w:val="2"/>
        <w:jc w:val="center"/>
      </w:pPr>
      <w:r>
        <w:rPr>
          <w:sz w:val="20"/>
        </w:rPr>
        <w:t xml:space="preserve">ТЕХНОЛОГИЧЕСКОГО ПРИСОЕДИНЕНИЯ ЭНЕРГОПРИНИМАЮЩИХ</w:t>
      </w:r>
    </w:p>
    <w:p>
      <w:pPr>
        <w:pStyle w:val="2"/>
        <w:jc w:val="center"/>
      </w:pPr>
      <w:r>
        <w:rPr>
          <w:sz w:val="20"/>
        </w:rPr>
        <w:t xml:space="preserve">УСТРОЙСТВ ПОТРЕБИТЕЛЕЙ ЭЛЕКТРИЧЕСКОЙ ЭНЕРГИИ, ОБЪЕКТОВ ПО</w:t>
      </w:r>
    </w:p>
    <w:p>
      <w:pPr>
        <w:pStyle w:val="2"/>
        <w:jc w:val="center"/>
      </w:pPr>
      <w:r>
        <w:rPr>
          <w:sz w:val="20"/>
        </w:rPr>
        <w:t xml:space="preserve">ПРОИЗВОДСТВУ ЭЛЕКТРИЧЕСКОЙ ЭНЕРГИИ, А ТАКЖЕ ОБЪЕКТОВ</w:t>
      </w:r>
    </w:p>
    <w:p>
      <w:pPr>
        <w:pStyle w:val="2"/>
        <w:jc w:val="center"/>
      </w:pPr>
      <w:r>
        <w:rPr>
          <w:sz w:val="20"/>
        </w:rPr>
        <w:t xml:space="preserve">ЭЛЕКТРОСЕТЕВОГО ХОЗЯЙСТВА, ПРИНАДЛЕЖАЩИХ СЕТЕВЫМ</w:t>
      </w:r>
    </w:p>
    <w:p>
      <w:pPr>
        <w:pStyle w:val="2"/>
        <w:jc w:val="center"/>
      </w:pPr>
      <w:r>
        <w:rPr>
          <w:sz w:val="20"/>
        </w:rPr>
        <w:t xml:space="preserve">ОРГАНИЗАЦИЯМ И ИНЫМ ЛИЦАМ, К ЭЛЕКТРИЧЕСКИМ СЕТЯМ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21.03.2007 </w:t>
            </w:r>
            <w:hyperlink w:history="0" r:id="rId424" w:tooltip="Постановление Правительства РФ от 21.03.2007 N 168 (ред. от 22.10.2012) &quot;О внесении изменений в некоторые Постановления Правительства Российской Федерации по вопросам электроэнергетики&quot; {КонсультантПлюс}">
              <w:r>
                <w:rPr>
                  <w:sz w:val="20"/>
                  <w:color w:val="0000ff"/>
                </w:rPr>
                <w:t xml:space="preserve">N 168</w:t>
              </w:r>
            </w:hyperlink>
            <w:r>
              <w:rPr>
                <w:sz w:val="20"/>
                <w:color w:val="392c69"/>
              </w:rPr>
              <w:t xml:space="preserve">,</w:t>
            </w:r>
          </w:p>
          <w:p>
            <w:pPr>
              <w:pStyle w:val="0"/>
              <w:jc w:val="center"/>
            </w:pPr>
            <w:r>
              <w:rPr>
                <w:sz w:val="20"/>
                <w:color w:val="392c69"/>
              </w:rPr>
              <w:t xml:space="preserve">от 14.02.2009 </w:t>
            </w:r>
            <w:hyperlink w:history="0" r:id="rId425" w:tooltip="Постановление Правительства РФ от 14.02.2009 N 118 &quot;О внесении изменения в Правила технологического присоединения энергопринимающих устройств (энергетических установок) юридических и физических лиц к электрическим сетям&quot; {КонсультантПлюс}">
              <w:r>
                <w:rPr>
                  <w:sz w:val="20"/>
                  <w:color w:val="0000ff"/>
                </w:rPr>
                <w:t xml:space="preserve">N 118</w:t>
              </w:r>
            </w:hyperlink>
            <w:r>
              <w:rPr>
                <w:sz w:val="20"/>
                <w:color w:val="392c69"/>
              </w:rPr>
              <w:t xml:space="preserve">, от 21.04.2009 </w:t>
            </w:r>
            <w:hyperlink w:history="0" r:id="rId426"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антПлюс}">
              <w:r>
                <w:rPr>
                  <w:sz w:val="20"/>
                  <w:color w:val="0000ff"/>
                </w:rPr>
                <w:t xml:space="preserve">N 334</w:t>
              </w:r>
            </w:hyperlink>
            <w:r>
              <w:rPr>
                <w:sz w:val="20"/>
                <w:color w:val="392c69"/>
              </w:rPr>
              <w:t xml:space="preserve">, от 24.09.2010 </w:t>
            </w:r>
            <w:hyperlink w:history="0" r:id="rId427"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sz w:val="20"/>
                  <w:color w:val="0000ff"/>
                </w:rPr>
                <w:t xml:space="preserve">N 759</w:t>
              </w:r>
            </w:hyperlink>
            <w:r>
              <w:rPr>
                <w:sz w:val="20"/>
                <w:color w:val="392c69"/>
              </w:rPr>
              <w:t xml:space="preserve">,</w:t>
            </w:r>
          </w:p>
          <w:p>
            <w:pPr>
              <w:pStyle w:val="0"/>
              <w:jc w:val="center"/>
            </w:pPr>
            <w:r>
              <w:rPr>
                <w:sz w:val="20"/>
                <w:color w:val="392c69"/>
              </w:rPr>
              <w:t xml:space="preserve">от 01.03.2011 </w:t>
            </w:r>
            <w:hyperlink w:history="0" r:id="rId428" w:tooltip="Постановление Правительства РФ от 01.03.2011 N 129 (ред. от 10.03.202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129</w:t>
              </w:r>
            </w:hyperlink>
            <w:r>
              <w:rPr>
                <w:sz w:val="20"/>
                <w:color w:val="392c69"/>
              </w:rPr>
              <w:t xml:space="preserve">, от 29.12.2011 </w:t>
            </w:r>
            <w:hyperlink w:history="0" r:id="rId429" w:tooltip="Постановление Правительства РФ от 29.12.2011 N 1178 (ред. от 30.06.2022)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дарственного регулирования (пересмотра, применения) цен (тарифов) в электроэнергетике&quot;) (с изм. и доп., вступ. в силу с 05.07.2022) {КонсультантПлюс}">
              <w:r>
                <w:rPr>
                  <w:sz w:val="20"/>
                  <w:color w:val="0000ff"/>
                </w:rPr>
                <w:t xml:space="preserve">N 1178</w:t>
              </w:r>
            </w:hyperlink>
            <w:r>
              <w:rPr>
                <w:sz w:val="20"/>
                <w:color w:val="392c69"/>
              </w:rPr>
              <w:t xml:space="preserve">, от 04.05.2012 </w:t>
            </w:r>
            <w:hyperlink w:history="0" r:id="rId430"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N 442</w:t>
              </w:r>
            </w:hyperlink>
            <w:r>
              <w:rPr>
                <w:sz w:val="20"/>
                <w:color w:val="392c69"/>
              </w:rPr>
              <w:t xml:space="preserve">,</w:t>
            </w:r>
          </w:p>
          <w:p>
            <w:pPr>
              <w:pStyle w:val="0"/>
              <w:jc w:val="center"/>
            </w:pPr>
            <w:r>
              <w:rPr>
                <w:sz w:val="20"/>
                <w:color w:val="392c69"/>
              </w:rPr>
              <w:t xml:space="preserve">от 05.10.2012 </w:t>
            </w:r>
            <w:hyperlink w:history="0" r:id="rId431" w:tooltip="Постановление Правительства РФ от 05.10.2012 N 1015 (ред. от 10.03.2020) &quot;О внесении изменений в некоторые акты Правительства Российской Федерации в целях повышения доступности энергетической инфраструктуры&quot; {КонсультантПлюс}">
              <w:r>
                <w:rPr>
                  <w:sz w:val="20"/>
                  <w:color w:val="0000ff"/>
                </w:rPr>
                <w:t xml:space="preserve">N 1015</w:t>
              </w:r>
            </w:hyperlink>
            <w:r>
              <w:rPr>
                <w:sz w:val="20"/>
                <w:color w:val="392c69"/>
              </w:rPr>
              <w:t xml:space="preserve">, от 22.11.2012 </w:t>
            </w:r>
            <w:hyperlink w:history="0" r:id="rId432" w:tooltip="Постановление Правительства РФ от 22.11.2012 N 1209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1209</w:t>
              </w:r>
            </w:hyperlink>
            <w:r>
              <w:rPr>
                <w:sz w:val="20"/>
                <w:color w:val="392c69"/>
              </w:rPr>
              <w:t xml:space="preserve">, от 20.12.2012 </w:t>
            </w:r>
            <w:hyperlink w:history="0" r:id="rId433" w:tooltip="Постановление Правительства РФ от 20.12.2012 N 1354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1354</w:t>
              </w:r>
            </w:hyperlink>
            <w:r>
              <w:rPr>
                <w:sz w:val="20"/>
                <w:color w:val="392c69"/>
              </w:rPr>
              <w:t xml:space="preserve">,</w:t>
            </w:r>
          </w:p>
          <w:p>
            <w:pPr>
              <w:pStyle w:val="0"/>
              <w:jc w:val="center"/>
            </w:pPr>
            <w:r>
              <w:rPr>
                <w:sz w:val="20"/>
                <w:color w:val="392c69"/>
              </w:rPr>
              <w:t xml:space="preserve">от 26.07.2013 </w:t>
            </w:r>
            <w:hyperlink w:history="0" r:id="rId434" w:tooltip="Постановление Правительства РФ от 26.07.2013 N 630 &quot;О внесении изменений в некоторые акты Правительства Российской Федерации в целях повышения доступности энергетической инфраструктуры&quot; {КонсультантПлюс}">
              <w:r>
                <w:rPr>
                  <w:sz w:val="20"/>
                  <w:color w:val="0000ff"/>
                </w:rPr>
                <w:t xml:space="preserve">N 630</w:t>
              </w:r>
            </w:hyperlink>
            <w:r>
              <w:rPr>
                <w:sz w:val="20"/>
                <w:color w:val="392c69"/>
              </w:rPr>
              <w:t xml:space="preserve">, от 29.07.2013 </w:t>
            </w:r>
            <w:hyperlink w:history="0" r:id="rId435" w:tooltip="Постановление Правительства РФ от 29.07.2013 N 64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640</w:t>
              </w:r>
            </w:hyperlink>
            <w:r>
              <w:rPr>
                <w:sz w:val="20"/>
                <w:color w:val="392c69"/>
              </w:rPr>
              <w:t xml:space="preserve">, от 12.08.2013 </w:t>
            </w:r>
            <w:hyperlink w:history="0" r:id="rId436" w:tooltip="Постановление Правительства РФ от 12.08.2013 N 691 (ред. от 10.03.2020) &quot;О внесении изменений в некоторые акты Правительства Российской Федерации по вопросам технологического присоединения к электрическим сетям&quot; {КонсультантПлюс}">
              <w:r>
                <w:rPr>
                  <w:sz w:val="20"/>
                  <w:color w:val="0000ff"/>
                </w:rPr>
                <w:t xml:space="preserve">N 691</w:t>
              </w:r>
            </w:hyperlink>
            <w:r>
              <w:rPr>
                <w:sz w:val="20"/>
                <w:color w:val="392c69"/>
              </w:rPr>
              <w:t xml:space="preserve">,</w:t>
            </w:r>
          </w:p>
          <w:p>
            <w:pPr>
              <w:pStyle w:val="0"/>
              <w:jc w:val="center"/>
            </w:pPr>
            <w:r>
              <w:rPr>
                <w:sz w:val="20"/>
                <w:color w:val="392c69"/>
              </w:rPr>
              <w:t xml:space="preserve">от 26.08.2013 </w:t>
            </w:r>
            <w:hyperlink w:history="0" r:id="rId437" w:tooltip="Постановление Правительства РФ от 26.08.2013 N 737 (ред. от 10.03.2020) &quot;О внесении изменений в некоторые акты Правительства Российской Федерации по вопросу осуществления временного технологического присоединения к электрическим сетям&quot; {КонсультантПлюс}">
              <w:r>
                <w:rPr>
                  <w:sz w:val="20"/>
                  <w:color w:val="0000ff"/>
                </w:rPr>
                <w:t xml:space="preserve">N 737</w:t>
              </w:r>
            </w:hyperlink>
            <w:r>
              <w:rPr>
                <w:sz w:val="20"/>
                <w:color w:val="392c69"/>
              </w:rPr>
              <w:t xml:space="preserve">, от 12.10.2013 </w:t>
            </w:r>
            <w:hyperlink w:history="0" r:id="rId438" w:tooltip="Постановление Правительства РФ от 12.10.2013 N 915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915</w:t>
              </w:r>
            </w:hyperlink>
            <w:r>
              <w:rPr>
                <w:sz w:val="20"/>
                <w:color w:val="392c69"/>
              </w:rPr>
              <w:t xml:space="preserve">, от 28.10.2013 </w:t>
            </w:r>
            <w:hyperlink w:history="0" r:id="rId439" w:tooltip="Постановление Правительства РФ от 28.10.2013 N 96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967</w:t>
              </w:r>
            </w:hyperlink>
            <w:r>
              <w:rPr>
                <w:sz w:val="20"/>
                <w:color w:val="392c69"/>
              </w:rPr>
              <w:t xml:space="preserve">,</w:t>
            </w:r>
          </w:p>
          <w:p>
            <w:pPr>
              <w:pStyle w:val="0"/>
              <w:jc w:val="center"/>
            </w:pPr>
            <w:r>
              <w:rPr>
                <w:sz w:val="20"/>
                <w:color w:val="392c69"/>
              </w:rPr>
              <w:t xml:space="preserve">от 21.11.2013 </w:t>
            </w:r>
            <w:hyperlink w:history="0" r:id="rId440" w:tooltip="Постановление Правительства РФ от 21.11.2013 N 1047 &quot;О внесении изменений в раздел VII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1047</w:t>
              </w:r>
            </w:hyperlink>
            <w:r>
              <w:rPr>
                <w:sz w:val="20"/>
                <w:color w:val="392c69"/>
              </w:rPr>
              <w:t xml:space="preserve">, от 09.12.2013 </w:t>
            </w:r>
            <w:hyperlink w:history="0" r:id="rId441" w:tooltip="Постановление Правительства РФ от 09.12.2013 N 1131 (ред. от 10.03.2020) &quot;О внесении изменений в некоторые акты Правительства Российской Федерации по вопросам введения процедуры приема заявок на технологическое присоединение к электрической сети классом напряжения до 10 кВ включительно от лиц, мощность энергопринимающих устройств которых составляет до 150 кВт, через информационно-телекоммуникационную сеть &quot;Интернет&quot; с возможностью отслеживания исполнения заявки в режиме реального времени&quot; {КонсультантПлюс}">
              <w:r>
                <w:rPr>
                  <w:sz w:val="20"/>
                  <w:color w:val="0000ff"/>
                </w:rPr>
                <w:t xml:space="preserve">N 1131</w:t>
              </w:r>
            </w:hyperlink>
            <w:r>
              <w:rPr>
                <w:sz w:val="20"/>
                <w:color w:val="392c69"/>
              </w:rPr>
              <w:t xml:space="preserve">, от 10.02.2014 </w:t>
            </w:r>
            <w:hyperlink w:history="0" r:id="rId442" w:tooltip="Постановление Правительства РФ от 10.02.2014 N 95 &quot;О внесении изменений в акты Правительства Российской Федерации в части обязанности гарантирующих поставщиков заключить договор энергоснабжения (купли-продажи (поставки) электрической энергии (мощности)) с потребителям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N 95</w:t>
              </w:r>
            </w:hyperlink>
            <w:r>
              <w:rPr>
                <w:sz w:val="20"/>
                <w:color w:val="392c69"/>
              </w:rPr>
              <w:t xml:space="preserve">,</w:t>
            </w:r>
          </w:p>
          <w:p>
            <w:pPr>
              <w:pStyle w:val="0"/>
              <w:jc w:val="center"/>
            </w:pPr>
            <w:r>
              <w:rPr>
                <w:sz w:val="20"/>
                <w:color w:val="392c69"/>
              </w:rPr>
              <w:t xml:space="preserve">от 20.02.2014 </w:t>
            </w:r>
            <w:hyperlink w:history="0" r:id="rId443"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sz w:val="20"/>
                  <w:color w:val="0000ff"/>
                </w:rPr>
                <w:t xml:space="preserve">N 130</w:t>
              </w:r>
            </w:hyperlink>
            <w:r>
              <w:rPr>
                <w:sz w:val="20"/>
                <w:color w:val="392c69"/>
              </w:rPr>
              <w:t xml:space="preserve">, от 11.06.2014 </w:t>
            </w:r>
            <w:hyperlink w:history="0" r:id="rId444" w:tooltip="Постановление Правительства РФ от 11.06.2014 N 542 &quot;О внесении изменений в некоторые акты Правительства Российской Федерации по вопросам компенсации сетевым организациям выпадающих доходов, связанных с технологическим присоединением к электрическим сетям, и принятии тарифных решений&quot; {КонсультантПлюс}">
              <w:r>
                <w:rPr>
                  <w:sz w:val="20"/>
                  <w:color w:val="0000ff"/>
                </w:rPr>
                <w:t xml:space="preserve">N 542</w:t>
              </w:r>
            </w:hyperlink>
            <w:r>
              <w:rPr>
                <w:sz w:val="20"/>
                <w:color w:val="392c69"/>
              </w:rPr>
              <w:t xml:space="preserve">, от 31.07.2014 </w:t>
            </w:r>
            <w:hyperlink w:history="0" r:id="rId445" w:tooltip="Постановление Правительства РФ от 31.07.2014 N 740 &quot;О внесении изменений в постановление Правительства Российской Федерации от 27 декабря 2004 г. N 861 в целях уточнения порядка определения объема услуг по передаче электрической энергии, оплачиваемых потребителями услуг&quot; {КонсультантПлюс}">
              <w:r>
                <w:rPr>
                  <w:sz w:val="20"/>
                  <w:color w:val="0000ff"/>
                </w:rPr>
                <w:t xml:space="preserve">N 740</w:t>
              </w:r>
            </w:hyperlink>
            <w:r>
              <w:rPr>
                <w:sz w:val="20"/>
                <w:color w:val="392c69"/>
              </w:rPr>
              <w:t xml:space="preserve">,</w:t>
            </w:r>
          </w:p>
          <w:p>
            <w:pPr>
              <w:pStyle w:val="0"/>
              <w:jc w:val="center"/>
            </w:pPr>
            <w:r>
              <w:rPr>
                <w:sz w:val="20"/>
                <w:color w:val="392c69"/>
              </w:rPr>
              <w:t xml:space="preserve">от 13.03.2015 </w:t>
            </w:r>
            <w:hyperlink w:history="0" r:id="rId446" w:tooltip="Постановление Правительства РФ от 13.03.2015 N 219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219</w:t>
              </w:r>
            </w:hyperlink>
            <w:r>
              <w:rPr>
                <w:sz w:val="20"/>
                <w:color w:val="392c69"/>
              </w:rPr>
              <w:t xml:space="preserve">, от 13.04.2015 </w:t>
            </w:r>
            <w:hyperlink w:history="0" r:id="rId447" w:tooltip="Постановление Правительства РФ от 13.04.2015 N 35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350</w:t>
              </w:r>
            </w:hyperlink>
            <w:r>
              <w:rPr>
                <w:sz w:val="20"/>
                <w:color w:val="392c69"/>
              </w:rPr>
              <w:t xml:space="preserve">, от 11.06.2015 </w:t>
            </w:r>
            <w:hyperlink w:history="0" r:id="rId448" w:tooltip="Постановление Правительства РФ от 11.06.2015 N 588 (ред. от 10.03.2020, с изм. от 30.06.2022) &quot;О внесении изменений в постановление Правительства Российской Федерации от 27 декабря 2004 г. N 861&quot; {КонсультантПлюс}">
              <w:r>
                <w:rPr>
                  <w:sz w:val="20"/>
                  <w:color w:val="0000ff"/>
                </w:rPr>
                <w:t xml:space="preserve">N 588</w:t>
              </w:r>
            </w:hyperlink>
            <w:r>
              <w:rPr>
                <w:sz w:val="20"/>
                <w:color w:val="392c69"/>
              </w:rPr>
              <w:t xml:space="preserve">,</w:t>
            </w:r>
          </w:p>
          <w:p>
            <w:pPr>
              <w:pStyle w:val="0"/>
              <w:jc w:val="center"/>
            </w:pPr>
            <w:r>
              <w:rPr>
                <w:sz w:val="20"/>
                <w:color w:val="392c69"/>
              </w:rPr>
              <w:t xml:space="preserve">от 07.07.2015 </w:t>
            </w:r>
            <w:hyperlink w:history="0" r:id="rId449" w:tooltip="Постановление Правительства РФ от 07.07.2015 N 679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679</w:t>
              </w:r>
            </w:hyperlink>
            <w:r>
              <w:rPr>
                <w:sz w:val="20"/>
                <w:color w:val="392c69"/>
              </w:rPr>
              <w:t xml:space="preserve">, от 04.09.2015 </w:t>
            </w:r>
            <w:hyperlink w:history="0" r:id="rId450" w:tooltip="Постановление Правительства РФ от 04.09.2015 N 941 (ред. от 25.12.2021) &quot;О внесении изменений,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едеральной антимонопольной службой решений об определении (установлении) цен (тарифов) и (или) их предельных уровней в сфере деятельности субъектов естественных монополий и иных регулируемых организаций&quot; {КонсультантПлюс}">
              <w:r>
                <w:rPr>
                  <w:sz w:val="20"/>
                  <w:color w:val="0000ff"/>
                </w:rPr>
                <w:t xml:space="preserve">N 941</w:t>
              </w:r>
            </w:hyperlink>
            <w:r>
              <w:rPr>
                <w:sz w:val="20"/>
                <w:color w:val="392c69"/>
              </w:rPr>
              <w:t xml:space="preserve">,</w:t>
            </w:r>
          </w:p>
          <w:p>
            <w:pPr>
              <w:pStyle w:val="0"/>
              <w:jc w:val="center"/>
            </w:pPr>
            <w:r>
              <w:rPr>
                <w:sz w:val="20"/>
                <w:color w:val="392c69"/>
              </w:rPr>
              <w:t xml:space="preserve">от 30.09.2015 </w:t>
            </w:r>
            <w:hyperlink w:history="0" r:id="rId451"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1044</w:t>
              </w:r>
            </w:hyperlink>
            <w:r>
              <w:rPr>
                <w:sz w:val="20"/>
                <w:color w:val="392c69"/>
              </w:rPr>
              <w:t xml:space="preserve"> (ред. 07.05.2017), от 22.02.2016 </w:t>
            </w:r>
            <w:hyperlink w:history="0" r:id="rId452" w:tooltip="Постановление Правительства РФ от 22.02.2016 N 128 &quot;О внесении изменений в некоторые акты Правительства Российской Федерации по вопросам взаимодействия субъектов розничных рынков электрической энергии при заключении договоров энергоснабжения (купли-продажи (поставки) электрической энергии (мощности) с потребителям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N 128</w:t>
              </w:r>
            </w:hyperlink>
            <w:r>
              <w:rPr>
                <w:sz w:val="20"/>
                <w:color w:val="392c69"/>
              </w:rPr>
              <w:t xml:space="preserve">,</w:t>
            </w:r>
          </w:p>
          <w:p>
            <w:pPr>
              <w:pStyle w:val="0"/>
              <w:jc w:val="center"/>
            </w:pPr>
            <w:r>
              <w:rPr>
                <w:sz w:val="20"/>
                <w:color w:val="392c69"/>
              </w:rPr>
              <w:t xml:space="preserve">от 09.08.2016 </w:t>
            </w:r>
            <w:hyperlink w:history="0" r:id="rId453" w:tooltip="Постановление Правительства РФ от 09.08.2016 N 759 &quot;Об уточнении порядка осуществления технологического присоединения к объектам электросетевого хозяйства, принадлежащим организации по управлению единой национальной (общероссийской) электрической сетью&quot; {КонсультантПлюс}">
              <w:r>
                <w:rPr>
                  <w:sz w:val="20"/>
                  <w:color w:val="0000ff"/>
                </w:rPr>
                <w:t xml:space="preserve">N 759</w:t>
              </w:r>
            </w:hyperlink>
            <w:r>
              <w:rPr>
                <w:sz w:val="20"/>
                <w:color w:val="392c69"/>
              </w:rPr>
              <w:t xml:space="preserve">, от 23.09.2016 </w:t>
            </w:r>
            <w:hyperlink w:history="0" r:id="rId454" w:tooltip="Постановление Правительства РФ от 23.09.2016 N 95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953</w:t>
              </w:r>
            </w:hyperlink>
            <w:r>
              <w:rPr>
                <w:sz w:val="20"/>
                <w:color w:val="392c69"/>
              </w:rPr>
              <w:t xml:space="preserve">, от 05.10.2016 </w:t>
            </w:r>
            <w:hyperlink w:history="0" r:id="rId455" w:tooltip="Постановление Правительства РФ от 05.10.2016 N 999 (с изм. от 30.06.2022) &quot;О внесении изменений в акты Правительства Российской Федерации по вопросам формирования мер ответственности за несоблюдение сроков осуществления мероприятий по технологическому присоединению&quot; {КонсультантПлюс}">
              <w:r>
                <w:rPr>
                  <w:sz w:val="20"/>
                  <w:color w:val="0000ff"/>
                </w:rPr>
                <w:t xml:space="preserve">N 999</w:t>
              </w:r>
            </w:hyperlink>
            <w:r>
              <w:rPr>
                <w:sz w:val="20"/>
                <w:color w:val="392c69"/>
              </w:rPr>
              <w:t xml:space="preserve">,</w:t>
            </w:r>
          </w:p>
          <w:p>
            <w:pPr>
              <w:pStyle w:val="0"/>
              <w:jc w:val="center"/>
            </w:pPr>
            <w:r>
              <w:rPr>
                <w:sz w:val="20"/>
                <w:color w:val="392c69"/>
              </w:rPr>
              <w:t xml:space="preserve">от 30.11.2016 </w:t>
            </w:r>
            <w:hyperlink w:history="0" r:id="rId456" w:tooltip="Постановление Правительства РФ от 30.11.2016 N 1265 &quot;О порядке установления платы за технологическое присоединение вновь вводимых в эксплуатацию объектов по производству электрической энергии атомных станций и гидроэлектростанций (в том числе гидроаккумулирующих электростанций) к объектам единой национальной (общероссийской) электрической сети&quot; {КонсультантПлюс}">
              <w:r>
                <w:rPr>
                  <w:sz w:val="20"/>
                  <w:color w:val="0000ff"/>
                </w:rPr>
                <w:t xml:space="preserve">N 1265</w:t>
              </w:r>
            </w:hyperlink>
            <w:r>
              <w:rPr>
                <w:sz w:val="20"/>
                <w:color w:val="392c69"/>
              </w:rPr>
              <w:t xml:space="preserve">, от 08.12.2016 </w:t>
            </w:r>
            <w:hyperlink w:history="0" r:id="rId457" w:tooltip="Постановление Правительства РФ от 08.12.2016 N 1319 &quot;О внесении изменений в некоторые акты Правительства Российской Федерации по вопросам обмена документами, подписанными электронной подписью, в ходе осуществления мероприятий по технологическому присоединению энергопринимающих устройств потребителей электрической энергии&quot; {КонсультантПлюс}">
              <w:r>
                <w:rPr>
                  <w:sz w:val="20"/>
                  <w:color w:val="0000ff"/>
                </w:rPr>
                <w:t xml:space="preserve">N 1319</w:t>
              </w:r>
            </w:hyperlink>
            <w:r>
              <w:rPr>
                <w:sz w:val="20"/>
                <w:color w:val="392c69"/>
              </w:rPr>
              <w:t xml:space="preserve">, от 24.12.2016 </w:t>
            </w:r>
            <w:hyperlink w:history="0" r:id="rId458" w:tooltip="Постановление Правительства РФ от 24.12.2016 N 1476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 связи с установлением стандартизированных тарифных ставок за технологическое присоединение, единых для всех террит {КонсультантПлюс}">
              <w:r>
                <w:rPr>
                  <w:sz w:val="20"/>
                  <w:color w:val="0000ff"/>
                </w:rPr>
                <w:t xml:space="preserve">N 1476</w:t>
              </w:r>
            </w:hyperlink>
            <w:r>
              <w:rPr>
                <w:sz w:val="20"/>
                <w:color w:val="392c69"/>
              </w:rPr>
              <w:t xml:space="preserve">,</w:t>
            </w:r>
          </w:p>
          <w:p>
            <w:pPr>
              <w:pStyle w:val="0"/>
              <w:jc w:val="center"/>
            </w:pPr>
            <w:r>
              <w:rPr>
                <w:sz w:val="20"/>
                <w:color w:val="392c69"/>
              </w:rPr>
              <w:t xml:space="preserve">от 07.05.2017 </w:t>
            </w:r>
            <w:hyperlink w:history="0" r:id="rId459"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N 542</w:t>
              </w:r>
            </w:hyperlink>
            <w:r>
              <w:rPr>
                <w:sz w:val="20"/>
                <w:color w:val="392c69"/>
              </w:rPr>
              <w:t xml:space="preserve">, от 11.05.2017 </w:t>
            </w:r>
            <w:hyperlink w:history="0" r:id="rId460"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N 557</w:t>
              </w:r>
            </w:hyperlink>
            <w:r>
              <w:rPr>
                <w:sz w:val="20"/>
                <w:color w:val="392c69"/>
              </w:rPr>
              <w:t xml:space="preserve">, от 10.11.2017 </w:t>
            </w:r>
            <w:hyperlink w:history="0" r:id="rId461" w:tooltip="Постановление Правительства РФ от 10.11.2017 N 1351 (ред. от 09.10.2021) &quot;О внесении изменений в некоторые акты Правительства Российской Федерации по вопросам повышения доступности энергетической инфраструктуры в отношении отдельных групп потребителей&quot; {КонсультантПлюс}">
              <w:r>
                <w:rPr>
                  <w:sz w:val="20"/>
                  <w:color w:val="0000ff"/>
                </w:rPr>
                <w:t xml:space="preserve">N 1351</w:t>
              </w:r>
            </w:hyperlink>
            <w:r>
              <w:rPr>
                <w:sz w:val="20"/>
                <w:color w:val="392c69"/>
              </w:rPr>
              <w:t xml:space="preserve">,</w:t>
            </w:r>
          </w:p>
          <w:p>
            <w:pPr>
              <w:pStyle w:val="0"/>
              <w:jc w:val="center"/>
            </w:pPr>
            <w:r>
              <w:rPr>
                <w:sz w:val="20"/>
                <w:color w:val="392c69"/>
              </w:rPr>
              <w:t xml:space="preserve">от 27.12.2017 </w:t>
            </w:r>
            <w:hyperlink w:history="0" r:id="rId462"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1661</w:t>
              </w:r>
            </w:hyperlink>
            <w:r>
              <w:rPr>
                <w:sz w:val="20"/>
                <w:color w:val="392c69"/>
              </w:rPr>
              <w:t xml:space="preserve">, от 12.04.2018 </w:t>
            </w:r>
            <w:hyperlink w:history="0" r:id="rId463" w:tooltip="Постановление Правительства РФ от 12.04.2018 N 448 (ред. от 30.11.2021) &quot;О внесении изменений в некоторые акты Правительства Российской Федерации&quot; {КонсультантПлюс}">
              <w:r>
                <w:rPr>
                  <w:sz w:val="20"/>
                  <w:color w:val="0000ff"/>
                </w:rPr>
                <w:t xml:space="preserve">N 448</w:t>
              </w:r>
            </w:hyperlink>
            <w:r>
              <w:rPr>
                <w:sz w:val="20"/>
                <w:color w:val="392c69"/>
              </w:rPr>
              <w:t xml:space="preserve">, от 18.04.2018 </w:t>
            </w:r>
            <w:hyperlink w:history="0" r:id="rId464" w:tooltip="Постановление Правительства РФ от 18.04.2018 N 463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463</w:t>
              </w:r>
            </w:hyperlink>
            <w:r>
              <w:rPr>
                <w:sz w:val="20"/>
                <w:color w:val="392c69"/>
              </w:rPr>
              <w:t xml:space="preserve">,</w:t>
            </w:r>
          </w:p>
          <w:p>
            <w:pPr>
              <w:pStyle w:val="0"/>
              <w:jc w:val="center"/>
            </w:pPr>
            <w:r>
              <w:rPr>
                <w:sz w:val="20"/>
                <w:color w:val="392c69"/>
              </w:rPr>
              <w:t xml:space="preserve">от 13.08.2018 </w:t>
            </w:r>
            <w:hyperlink w:history="0" r:id="rId465"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N 937</w:t>
              </w:r>
            </w:hyperlink>
            <w:r>
              <w:rPr>
                <w:sz w:val="20"/>
                <w:color w:val="392c69"/>
              </w:rPr>
              <w:t xml:space="preserve">, от 17.09.2018 </w:t>
            </w:r>
            <w:hyperlink w:history="0" r:id="rId466" w:tooltip="Постановление Правительства РФ от 17.09.2018 N 1096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sz w:val="20"/>
                  <w:color w:val="0000ff"/>
                </w:rPr>
                <w:t xml:space="preserve">N 1096</w:t>
              </w:r>
            </w:hyperlink>
            <w:r>
              <w:rPr>
                <w:sz w:val="20"/>
                <w:color w:val="392c69"/>
              </w:rPr>
              <w:t xml:space="preserve">, от 21.12.2018 </w:t>
            </w:r>
            <w:hyperlink w:history="0" r:id="rId467"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sz w:val="20"/>
                  <w:color w:val="0000ff"/>
                </w:rPr>
                <w:t xml:space="preserve">N 1622</w:t>
              </w:r>
            </w:hyperlink>
            <w:r>
              <w:rPr>
                <w:sz w:val="20"/>
                <w:color w:val="392c69"/>
              </w:rPr>
              <w:t xml:space="preserve">,</w:t>
            </w:r>
          </w:p>
          <w:p>
            <w:pPr>
              <w:pStyle w:val="0"/>
              <w:jc w:val="center"/>
            </w:pPr>
            <w:r>
              <w:rPr>
                <w:sz w:val="20"/>
                <w:color w:val="392c69"/>
              </w:rPr>
              <w:t xml:space="preserve">от 19.04.2019 </w:t>
            </w:r>
            <w:hyperlink w:history="0" r:id="rId468" w:tooltip="Постановление Правительства РФ от 19.04.2019 N 47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470</w:t>
              </w:r>
            </w:hyperlink>
            <w:r>
              <w:rPr>
                <w:sz w:val="20"/>
                <w:color w:val="392c69"/>
              </w:rPr>
              <w:t xml:space="preserve">, от 29.05.2019 </w:t>
            </w:r>
            <w:hyperlink w:history="0" r:id="rId469" w:tooltip="Постановление Правительства РФ от 29.05.2019 N 682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технологического присоединения к электрическим сетям&quot; {КонсультантПлюс}">
              <w:r>
                <w:rPr>
                  <w:sz w:val="20"/>
                  <w:color w:val="0000ff"/>
                </w:rPr>
                <w:t xml:space="preserve">N 682</w:t>
              </w:r>
            </w:hyperlink>
            <w:r>
              <w:rPr>
                <w:sz w:val="20"/>
                <w:color w:val="392c69"/>
              </w:rPr>
              <w:t xml:space="preserve">, от 26.12.2019 </w:t>
            </w:r>
            <w:hyperlink w:history="0" r:id="rId470" w:tooltip="Постановление Правительства РФ от 26.12.2019 N 1857 &quot;О внесении изменений в некоторые акты Правительства Российской Федерации по вопросам компенсации расходов на приобретение электрической энергии (мощности) в целях компенсации потерь электрической энергии собственникам или иным законным владельцам объектов электросетевого хозяйства, понесенных ими в связи с обеспечением перетока электрической энергии в энергопринимающие устройства потребителей электрической энергии&quot; {КонсультантПлюс}">
              <w:r>
                <w:rPr>
                  <w:sz w:val="20"/>
                  <w:color w:val="0000ff"/>
                </w:rPr>
                <w:t xml:space="preserve">N 1857</w:t>
              </w:r>
            </w:hyperlink>
            <w:r>
              <w:rPr>
                <w:sz w:val="20"/>
                <w:color w:val="392c69"/>
              </w:rPr>
              <w:t xml:space="preserve">,</w:t>
            </w:r>
          </w:p>
          <w:p>
            <w:pPr>
              <w:pStyle w:val="0"/>
              <w:jc w:val="center"/>
            </w:pPr>
            <w:r>
              <w:rPr>
                <w:sz w:val="20"/>
                <w:color w:val="392c69"/>
              </w:rPr>
              <w:t xml:space="preserve">от 10.03.2020 </w:t>
            </w:r>
            <w:hyperlink w:history="0" r:id="rId471" w:tooltip="Постановление Правительства РФ от 10.03.2020 N 262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262</w:t>
              </w:r>
            </w:hyperlink>
            <w:r>
              <w:rPr>
                <w:sz w:val="20"/>
                <w:color w:val="392c69"/>
              </w:rPr>
              <w:t xml:space="preserve">, от 01.04.2020 </w:t>
            </w:r>
            <w:hyperlink w:history="0" r:id="rId472"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N 403</w:t>
              </w:r>
            </w:hyperlink>
            <w:r>
              <w:rPr>
                <w:sz w:val="20"/>
                <w:color w:val="392c69"/>
              </w:rPr>
              <w:t xml:space="preserve">, от 18.04.2020 </w:t>
            </w:r>
            <w:hyperlink w:history="0" r:id="rId473" w:tooltip="Постановление Правительства РФ от 18.04.2020 N 55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554</w:t>
              </w:r>
            </w:hyperlink>
            <w:r>
              <w:rPr>
                <w:sz w:val="20"/>
                <w:color w:val="392c69"/>
              </w:rPr>
              <w:t xml:space="preserve">,</w:t>
            </w:r>
          </w:p>
          <w:p>
            <w:pPr>
              <w:pStyle w:val="0"/>
              <w:jc w:val="center"/>
            </w:pPr>
            <w:r>
              <w:rPr>
                <w:sz w:val="20"/>
                <w:color w:val="392c69"/>
              </w:rPr>
              <w:t xml:space="preserve">от 30.01.2021 </w:t>
            </w:r>
            <w:hyperlink w:history="0" r:id="rId474" w:tooltip="Постановление Правительства РФ от 30.01.2021 N 85 (ред. от 25.12.2021) &quot;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quot; {КонсультантПлюс}">
              <w:r>
                <w:rPr>
                  <w:sz w:val="20"/>
                  <w:color w:val="0000ff"/>
                </w:rPr>
                <w:t xml:space="preserve">N 85</w:t>
              </w:r>
            </w:hyperlink>
            <w:r>
              <w:rPr>
                <w:sz w:val="20"/>
                <w:color w:val="392c69"/>
              </w:rPr>
              <w:t xml:space="preserve">, от 30.01.2021 </w:t>
            </w:r>
            <w:hyperlink w:history="0" r:id="rId475"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N 86</w:t>
              </w:r>
            </w:hyperlink>
            <w:r>
              <w:rPr>
                <w:sz w:val="20"/>
                <w:color w:val="392c69"/>
              </w:rPr>
              <w:t xml:space="preserve">, от 02.03.2021 </w:t>
            </w:r>
            <w:hyperlink w:history="0" r:id="rId476"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N 299</w:t>
              </w:r>
            </w:hyperlink>
            <w:r>
              <w:rPr>
                <w:sz w:val="20"/>
                <w:color w:val="392c69"/>
              </w:rPr>
              <w:t xml:space="preserve">,</w:t>
            </w:r>
          </w:p>
          <w:p>
            <w:pPr>
              <w:pStyle w:val="0"/>
              <w:jc w:val="center"/>
            </w:pPr>
            <w:r>
              <w:rPr>
                <w:sz w:val="20"/>
                <w:color w:val="392c69"/>
              </w:rPr>
              <w:t xml:space="preserve">от 26.04.2021 </w:t>
            </w:r>
            <w:hyperlink w:history="0" r:id="rId477" w:tooltip="Постановление Правительства РФ от 26.04.2021 N 639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639</w:t>
              </w:r>
            </w:hyperlink>
            <w:r>
              <w:rPr>
                <w:sz w:val="20"/>
                <w:color w:val="392c69"/>
              </w:rPr>
              <w:t xml:space="preserve">, от 11.08.2021 </w:t>
            </w:r>
            <w:hyperlink w:history="0" r:id="rId478" w:tooltip="Постановление Правительства РФ от 11.08.2021 N 1332 &quot;О внесении изменений в пункт 16(1)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1332</w:t>
              </w:r>
            </w:hyperlink>
            <w:r>
              <w:rPr>
                <w:sz w:val="20"/>
                <w:color w:val="392c69"/>
              </w:rPr>
              <w:t xml:space="preserve">, от 09.10.2021 </w:t>
            </w:r>
            <w:hyperlink w:history="0" r:id="rId479" w:tooltip="Постановление Правительства РФ от 09.10.2021 N 1711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1711</w:t>
              </w:r>
            </w:hyperlink>
            <w:r>
              <w:rPr>
                <w:sz w:val="20"/>
                <w:color w:val="392c69"/>
              </w:rPr>
              <w:t xml:space="preserve">,</w:t>
            </w:r>
          </w:p>
          <w:p>
            <w:pPr>
              <w:pStyle w:val="0"/>
              <w:jc w:val="center"/>
            </w:pPr>
            <w:r>
              <w:rPr>
                <w:sz w:val="20"/>
                <w:color w:val="392c69"/>
              </w:rPr>
              <w:t xml:space="preserve">от 29.12.2021 </w:t>
            </w:r>
            <w:hyperlink w:history="0" r:id="rId480"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2566</w:t>
              </w:r>
            </w:hyperlink>
            <w:r>
              <w:rPr>
                <w:sz w:val="20"/>
                <w:color w:val="392c69"/>
              </w:rPr>
              <w:t xml:space="preserve">, от 14.03.2022 </w:t>
            </w:r>
            <w:hyperlink w:history="0" r:id="rId481"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360</w:t>
              </w:r>
            </w:hyperlink>
            <w:r>
              <w:rPr>
                <w:sz w:val="20"/>
                <w:color w:val="392c69"/>
              </w:rPr>
              <w:t xml:space="preserve">, от 30.06.2022 </w:t>
            </w:r>
            <w:hyperlink w:history="0" r:id="rId482"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1178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1"/>
        <w:jc w:val="center"/>
      </w:pPr>
      <w:r>
        <w:rPr>
          <w:sz w:val="20"/>
        </w:rPr>
        <w:t xml:space="preserve">I. Общие положения</w:t>
      </w:r>
    </w:p>
    <w:p>
      <w:pPr>
        <w:pStyle w:val="0"/>
        <w:ind w:firstLine="540"/>
        <w:jc w:val="both"/>
      </w:pPr>
      <w:r>
        <w:rPr>
          <w:sz w:val="20"/>
        </w:rPr>
      </w:r>
    </w:p>
    <w:p>
      <w:pPr>
        <w:pStyle w:val="0"/>
        <w:ind w:firstLine="540"/>
        <w:jc w:val="both"/>
      </w:pPr>
      <w:r>
        <w:rPr>
          <w:sz w:val="20"/>
        </w:rPr>
        <w:t xml:space="preserve">1. Настоящие Правила определяют порядок и особенности технологического присоединения энергопринимающих устройств потребителей электрической энергии, объектов по производству электрической энергии, в том числе объектов микрогенерации, а также объектов электросетевого хозяйства, принадлежащих сетевым организациям и иным лицам (далее - энергопринимающие устройства), к электрическим сетям, регламентируют процедуру присоединения энергопринимающих устройств к электрическим сетям сетевой организации (далее - технологическое присоединение), определяют существенные условия договора об осуществлении технологического присоединения к электрическим сетям (далее - договор), устанавливают требования к выдаче технических условий, в том числе индивидуальных, для присоединения к электрическим сетям (далее - технические условия), порядок проведения проверки выполнения заявителем и сетевой организацией технических условий, критерии наличия (отсутствия) технической возможности технологического присоединения и особенности технологического присоединения энергопринимающих устройств потребителей посредством перераспределения максимальной мощности между юридическими лицами и индивидуальными предпринимателями, а также особенности отказа потребителей электрической энергии от максимальной мощности в пользу сетевой организации.</w:t>
      </w:r>
    </w:p>
    <w:p>
      <w:pPr>
        <w:pStyle w:val="0"/>
        <w:jc w:val="both"/>
      </w:pPr>
      <w:r>
        <w:rPr>
          <w:sz w:val="20"/>
        </w:rPr>
        <w:t xml:space="preserve">(в ред. Постановлений Правительства РФ от 21.04.2009 </w:t>
      </w:r>
      <w:hyperlink w:history="0" r:id="rId483"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антПлюс}">
        <w:r>
          <w:rPr>
            <w:sz w:val="20"/>
            <w:color w:val="0000ff"/>
          </w:rPr>
          <w:t xml:space="preserve">N 334</w:t>
        </w:r>
      </w:hyperlink>
      <w:r>
        <w:rPr>
          <w:sz w:val="20"/>
        </w:rPr>
        <w:t xml:space="preserve">, от 24.09.2010 </w:t>
      </w:r>
      <w:hyperlink w:history="0" r:id="rId484"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sz w:val="20"/>
            <w:color w:val="0000ff"/>
          </w:rPr>
          <w:t xml:space="preserve">N 759</w:t>
        </w:r>
      </w:hyperlink>
      <w:r>
        <w:rPr>
          <w:sz w:val="20"/>
        </w:rPr>
        <w:t xml:space="preserve">, от 04.05.2012 </w:t>
      </w:r>
      <w:hyperlink w:history="0" r:id="rId485"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N 442</w:t>
        </w:r>
      </w:hyperlink>
      <w:r>
        <w:rPr>
          <w:sz w:val="20"/>
        </w:rPr>
        <w:t xml:space="preserve">, от 28.10.2013 </w:t>
      </w:r>
      <w:hyperlink w:history="0" r:id="rId486" w:tooltip="Постановление Правительства РФ от 28.10.2013 N 96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967</w:t>
        </w:r>
      </w:hyperlink>
      <w:r>
        <w:rPr>
          <w:sz w:val="20"/>
        </w:rPr>
        <w:t xml:space="preserve">, от 20.02.2014 </w:t>
      </w:r>
      <w:hyperlink w:history="0" r:id="rId487"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sz w:val="20"/>
            <w:color w:val="0000ff"/>
          </w:rPr>
          <w:t xml:space="preserve">N 130</w:t>
        </w:r>
      </w:hyperlink>
      <w:r>
        <w:rPr>
          <w:sz w:val="20"/>
        </w:rPr>
        <w:t xml:space="preserve">, от 29.05.2019 </w:t>
      </w:r>
      <w:hyperlink w:history="0" r:id="rId488" w:tooltip="Постановление Правительства РФ от 29.05.2019 N 682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технологического присоединения к электрическим сетям&quot; {КонсультантПлюс}">
        <w:r>
          <w:rPr>
            <w:sz w:val="20"/>
            <w:color w:val="0000ff"/>
          </w:rPr>
          <w:t xml:space="preserve">N 682</w:t>
        </w:r>
      </w:hyperlink>
      <w:r>
        <w:rPr>
          <w:sz w:val="20"/>
        </w:rPr>
        <w:t xml:space="preserve">, от 02.03.2021 </w:t>
      </w:r>
      <w:hyperlink w:history="0" r:id="rId489"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N 299</w:t>
        </w:r>
      </w:hyperlink>
      <w:r>
        <w:rPr>
          <w:sz w:val="20"/>
        </w:rPr>
        <w:t xml:space="preserve">)</w:t>
      </w:r>
    </w:p>
    <w:bookmarkStart w:id="868" w:name="P868"/>
    <w:bookmarkEnd w:id="868"/>
    <w:p>
      <w:pPr>
        <w:pStyle w:val="0"/>
        <w:spacing w:before="200" w:line-rule="auto"/>
        <w:ind w:firstLine="540"/>
        <w:jc w:val="both"/>
      </w:pPr>
      <w:r>
        <w:rPr>
          <w:sz w:val="20"/>
        </w:rPr>
        <w:t xml:space="preserve">2. Действие настоящих Правил распространяется на случаи:</w:t>
      </w:r>
    </w:p>
    <w:p>
      <w:pPr>
        <w:pStyle w:val="0"/>
        <w:spacing w:before="200" w:line-rule="auto"/>
        <w:ind w:firstLine="540"/>
        <w:jc w:val="both"/>
      </w:pPr>
      <w:r>
        <w:rPr>
          <w:sz w:val="20"/>
        </w:rPr>
        <w:t xml:space="preserve">присоединения впервые вводимых в эксплуатацию энергопринимающих устройств;</w:t>
      </w:r>
    </w:p>
    <w:p>
      <w:pPr>
        <w:pStyle w:val="0"/>
        <w:spacing w:before="200" w:line-rule="auto"/>
        <w:ind w:firstLine="540"/>
        <w:jc w:val="both"/>
      </w:pPr>
      <w:r>
        <w:rPr>
          <w:sz w:val="20"/>
        </w:rPr>
        <w:t xml:space="preserve">увеличения максимальной мощности ранее присоединенных энергопринимающих устройств;</w:t>
      </w:r>
    </w:p>
    <w:p>
      <w:pPr>
        <w:pStyle w:val="0"/>
        <w:spacing w:before="200" w:line-rule="auto"/>
        <w:ind w:firstLine="540"/>
        <w:jc w:val="both"/>
      </w:pPr>
      <w:r>
        <w:rPr>
          <w:sz w:val="20"/>
        </w:rPr>
        <w:t xml:space="preserve">изменения категории надежности электроснабжения, точек присоединения, видов производственной деятельности, не влекущих пересмотра величины максимальной мощности, но изменяющих схему внешнего электроснабжения ранее присоединенных энергопринимающих устройств;</w:t>
      </w:r>
    </w:p>
    <w:p>
      <w:pPr>
        <w:pStyle w:val="0"/>
        <w:spacing w:before="200" w:line-rule="auto"/>
        <w:ind w:firstLine="540"/>
        <w:jc w:val="both"/>
      </w:pPr>
      <w:r>
        <w:rPr>
          <w:sz w:val="20"/>
        </w:rPr>
        <w:t xml:space="preserve">присоединения ранее присоединенных энергопринимающих устройств, выведенных из эксплуатации (в том числе в целях консервации на срок более 1 года) в порядке, установленном </w:t>
      </w:r>
      <w:hyperlink w:history="0" r:id="rId490" w:tooltip="Постановление Правительства РФ от 26.07.2007 N 484 (ред. от 05.09.2018) &quot;О выводе объектов электроэнергетики в ремонт и из эксплуатации&quot; ------------ Утратил силу или отменен {КонсультантПлюс}">
        <w:r>
          <w:rPr>
            <w:sz w:val="20"/>
            <w:color w:val="0000ff"/>
          </w:rPr>
          <w:t xml:space="preserve">Правилами</w:t>
        </w:r>
      </w:hyperlink>
      <w:r>
        <w:rPr>
          <w:sz w:val="20"/>
        </w:rPr>
        <w:t xml:space="preserve"> вывода объектов электроэнергетики в ремонт и из эксплуатации, утвержденными постановлением Правительства Российской Федерации от 26 июля 2007 г. N 484 "О выводе объектов электроэнергетики в ремонт и из эксплуатации";</w:t>
      </w:r>
    </w:p>
    <w:p>
      <w:pPr>
        <w:pStyle w:val="0"/>
        <w:spacing w:before="200" w:line-rule="auto"/>
        <w:ind w:firstLine="540"/>
        <w:jc w:val="both"/>
      </w:pPr>
      <w:r>
        <w:rPr>
          <w:sz w:val="20"/>
        </w:rPr>
        <w:t xml:space="preserve">предусмотренные </w:t>
      </w:r>
      <w:hyperlink w:history="0" w:anchor="P1842" w:tooltip="41. Сетевая организация обязана подать заявку на технологическое присоединение к сетям смежной сетевой организации в следующих случаях:">
        <w:r>
          <w:rPr>
            <w:sz w:val="20"/>
            <w:color w:val="0000ff"/>
          </w:rPr>
          <w:t xml:space="preserve">пунктом 41</w:t>
        </w:r>
      </w:hyperlink>
      <w:r>
        <w:rPr>
          <w:sz w:val="20"/>
        </w:rPr>
        <w:t xml:space="preserve"> настоящих Правил.</w:t>
      </w:r>
    </w:p>
    <w:p>
      <w:pPr>
        <w:pStyle w:val="0"/>
        <w:spacing w:before="200" w:line-rule="auto"/>
        <w:ind w:firstLine="540"/>
        <w:jc w:val="both"/>
      </w:pPr>
      <w:r>
        <w:rPr>
          <w:sz w:val="20"/>
        </w:rPr>
        <w:t xml:space="preserve">Технологическое присоединение энергопринимающих устройств осуществляется с применением временной или постоянной схемы электроснабжения.</w:t>
      </w:r>
    </w:p>
    <w:p>
      <w:pPr>
        <w:pStyle w:val="0"/>
        <w:spacing w:before="200" w:line-rule="auto"/>
        <w:ind w:firstLine="540"/>
        <w:jc w:val="both"/>
      </w:pPr>
      <w:r>
        <w:rPr>
          <w:sz w:val="20"/>
        </w:rPr>
        <w:t xml:space="preserve">Под временной схемой электроснабжения понимается схема электроснабжения энергопринимающих устройств потребителя электрической энергии, осуществившего технологическое присоединение энергопринимающих устройств, которая применяется в результате исполнения договора об осуществлении временного технологического присоединения к электрическим сетям, заключаемого на период осуществления мероприятий по технологическому присоединению энергопринимающих устройств с применением постоянной схемы электроснабжения, либо в результате исполнения договора об осуществлении временного технологического присоединения к электрическим сетям передвижных энергопринимающих устройств с максимальной мощностью до 150 кВт включительно.</w:t>
      </w:r>
    </w:p>
    <w:p>
      <w:pPr>
        <w:pStyle w:val="0"/>
        <w:spacing w:before="200" w:line-rule="auto"/>
        <w:ind w:firstLine="540"/>
        <w:jc w:val="both"/>
      </w:pPr>
      <w:r>
        <w:rPr>
          <w:sz w:val="20"/>
        </w:rPr>
        <w:t xml:space="preserve">Под постоянной схемой электроснабжения понимается схема электроснабжения энергопринимающих устройств потребителя электрической энергии, осуществившего технологическое присоединение энергопринимающих устройств, которая применяется в результате исполнения договора.</w:t>
      </w:r>
    </w:p>
    <w:p>
      <w:pPr>
        <w:pStyle w:val="0"/>
        <w:jc w:val="both"/>
      </w:pPr>
      <w:r>
        <w:rPr>
          <w:sz w:val="20"/>
        </w:rPr>
        <w:t xml:space="preserve">(п. 2 в ред. </w:t>
      </w:r>
      <w:hyperlink w:history="0" r:id="rId491" w:tooltip="Постановление Правительства РФ от 29.05.2019 N 682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технологического присоединения к электрическим сетям&quot; {КонсультантПлюс}">
        <w:r>
          <w:rPr>
            <w:sz w:val="20"/>
            <w:color w:val="0000ff"/>
          </w:rPr>
          <w:t xml:space="preserve">Постановления</w:t>
        </w:r>
      </w:hyperlink>
      <w:r>
        <w:rPr>
          <w:sz w:val="20"/>
        </w:rPr>
        <w:t xml:space="preserve"> Правительства РФ от 29.05.2019 N 682)</w:t>
      </w:r>
    </w:p>
    <w:p>
      <w:pPr>
        <w:pStyle w:val="0"/>
        <w:spacing w:before="200" w:line-rule="auto"/>
        <w:ind w:firstLine="540"/>
        <w:jc w:val="both"/>
      </w:pPr>
      <w:r>
        <w:rPr>
          <w:sz w:val="20"/>
        </w:rPr>
        <w:t xml:space="preserve">2(1). Действие настоящих Правил распространяется на случаи присоединения к системам электроснабжения, входящим в состав общего имущества, принадлежащего на праве общей долевой собственности собственникам помещений в многоквартирном доме, в целях увеличения максимальной мощности в отношении энергопринимающих устройств, находящихся в помещениях, расположенных в многоквартирном доме.</w:t>
      </w:r>
    </w:p>
    <w:p>
      <w:pPr>
        <w:pStyle w:val="0"/>
        <w:spacing w:before="200" w:line-rule="auto"/>
        <w:ind w:firstLine="540"/>
        <w:jc w:val="both"/>
      </w:pPr>
      <w:r>
        <w:rPr>
          <w:sz w:val="20"/>
        </w:rPr>
        <w:t xml:space="preserve">Технологическое присоединение энергопринимающих устройств, находящихся в жилых помещениях, расположенных в многоквартирных домах, к электрическим сетям сетевой организации не допускается без использования внутридомовой системы электроснабжения, входящей в состав общего имущества, принадлежащего на праве общей долевой собственности собственникам помещений в многоквартирном доме.</w:t>
      </w:r>
    </w:p>
    <w:p>
      <w:pPr>
        <w:pStyle w:val="0"/>
        <w:spacing w:before="200" w:line-rule="auto"/>
        <w:ind w:firstLine="540"/>
        <w:jc w:val="both"/>
      </w:pPr>
      <w:r>
        <w:rPr>
          <w:sz w:val="20"/>
        </w:rPr>
        <w:t xml:space="preserve">Технологическое присоединение энергопринимающих устройств, находящихся в нежилых помещениях, расположенных в многоквартирных домах, к электрическим сетям сетевой организации осуществляется не ранее технологического присоединения систем электроснабжения, входящих в состав общего имущества, соответствующего многоквартирного дома.</w:t>
      </w:r>
    </w:p>
    <w:p>
      <w:pPr>
        <w:pStyle w:val="0"/>
        <w:jc w:val="both"/>
      </w:pPr>
      <w:r>
        <w:rPr>
          <w:sz w:val="20"/>
        </w:rPr>
        <w:t xml:space="preserve">(п. 2(1) введен </w:t>
      </w:r>
      <w:hyperlink w:history="0" r:id="rId492" w:tooltip="Постановление Правительства РФ от 12.10.2013 N 915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12.10.2013 N 915)</w:t>
      </w:r>
    </w:p>
    <w:p>
      <w:pPr>
        <w:pStyle w:val="0"/>
        <w:spacing w:before="200" w:line-rule="auto"/>
        <w:ind w:firstLine="540"/>
        <w:jc w:val="both"/>
      </w:pPr>
      <w:r>
        <w:rPr>
          <w:sz w:val="20"/>
        </w:rPr>
        <w:t xml:space="preserve">2(2). Действие настоящих Правил распространяется на случаи присоединения впервые завершенных строительством, ранее присоединенных энергопринимающих устройств и объектов электроэнергетики, относящихся к имуществу общего пользования садоводческого или огороднического некоммерческого товарищества либо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 иным правообладателям объектов недвижимости, расположенных в границах территории садоводства или огородничества, максимальная мощность которых изменяется.</w:t>
      </w:r>
    </w:p>
    <w:p>
      <w:pPr>
        <w:pStyle w:val="0"/>
        <w:jc w:val="both"/>
      </w:pPr>
      <w:r>
        <w:rPr>
          <w:sz w:val="20"/>
        </w:rPr>
        <w:t xml:space="preserve">(п. 2(2) в ред. </w:t>
      </w:r>
      <w:hyperlink w:history="0" r:id="rId493"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21.12.2018 N 1622)</w:t>
      </w:r>
    </w:p>
    <w:p>
      <w:pPr>
        <w:pStyle w:val="0"/>
        <w:spacing w:before="200" w:line-rule="auto"/>
        <w:ind w:firstLine="540"/>
        <w:jc w:val="both"/>
      </w:pPr>
      <w:r>
        <w:rPr>
          <w:sz w:val="20"/>
        </w:rPr>
        <w:t xml:space="preserve">2(3). Технологическое присоединение объектов микрогенерации осуществляется к объектам электросетевого хозяйства с уровнем напряжения до 1000 В.</w:t>
      </w:r>
    </w:p>
    <w:p>
      <w:pPr>
        <w:pStyle w:val="0"/>
        <w:spacing w:before="200" w:line-rule="auto"/>
        <w:ind w:firstLine="540"/>
        <w:jc w:val="both"/>
      </w:pPr>
      <w:r>
        <w:rPr>
          <w:sz w:val="20"/>
        </w:rPr>
        <w:t xml:space="preserve">Технологическое присоединение объектов микрогенерации к электрическим сетям сетевой организации осуществляется не ранее технологического присоединения энергопринимающих устройств потребителя электрической энергии, которому принадлежат на праве собственности или на ином законном основании такие объекты микрогенерации, либо одновременно с технологическим присоединением энергопринимающих устройств потребителя электрической энергии.</w:t>
      </w:r>
    </w:p>
    <w:p>
      <w:pPr>
        <w:pStyle w:val="0"/>
        <w:spacing w:before="200" w:line-rule="auto"/>
        <w:ind w:firstLine="540"/>
        <w:jc w:val="both"/>
      </w:pPr>
      <w:r>
        <w:rPr>
          <w:sz w:val="20"/>
        </w:rPr>
        <w:t xml:space="preserve">Технологическое присоединение объектов микрогенерации с использованием систем электроснабжения, предназначенных для обслуживания более одного помещения в здании, в том числе входящих в состав общего имущества многоквартирного дома, не допускается.</w:t>
      </w:r>
    </w:p>
    <w:p>
      <w:pPr>
        <w:pStyle w:val="0"/>
        <w:jc w:val="both"/>
      </w:pPr>
      <w:r>
        <w:rPr>
          <w:sz w:val="20"/>
        </w:rPr>
        <w:t xml:space="preserve">(п. 2(3) введен </w:t>
      </w:r>
      <w:hyperlink w:history="0" r:id="rId494"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Постановлением</w:t>
        </w:r>
      </w:hyperlink>
      <w:r>
        <w:rPr>
          <w:sz w:val="20"/>
        </w:rPr>
        <w:t xml:space="preserve"> Правительства РФ от 02.03.2021 N 299)</w:t>
      </w:r>
    </w:p>
    <w:p>
      <w:pPr>
        <w:pStyle w:val="0"/>
        <w:spacing w:before="200" w:line-rule="auto"/>
        <w:ind w:firstLine="540"/>
        <w:jc w:val="both"/>
      </w:pPr>
      <w:r>
        <w:rPr>
          <w:sz w:val="20"/>
        </w:rPr>
        <w:t xml:space="preserve">3. Сетевая организация обязана выполнить в отношении любого обратившегося к ней лица мероприятия по технологическому присоединению при условии соблюдения им настоящих Правил.</w:t>
      </w:r>
    </w:p>
    <w:p>
      <w:pPr>
        <w:pStyle w:val="0"/>
        <w:jc w:val="both"/>
      </w:pPr>
      <w:r>
        <w:rPr>
          <w:sz w:val="20"/>
        </w:rPr>
        <w:t xml:space="preserve">(в ред. </w:t>
      </w:r>
      <w:hyperlink w:history="0" r:id="rId495"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p>
      <w:pPr>
        <w:pStyle w:val="0"/>
        <w:spacing w:before="200" w:line-rule="auto"/>
        <w:ind w:firstLine="540"/>
        <w:jc w:val="both"/>
      </w:pPr>
      <w:r>
        <w:rPr>
          <w:sz w:val="20"/>
        </w:rPr>
        <w:t xml:space="preserve">Независимо от наличия или отсутствия технической возможности технологического присоединения на дату обращения заявителя сетевая организация обязана заключить договор с лицами, указанными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и </w:t>
      </w:r>
      <w:hyperlink w:history="0" w:anchor="P1686" w:tooltip="34. Лица, имеющие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технологическое присоединение к электрическим сетям, вправе по соглашению с иными владельцами энергопринимающих устройств снизить объем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
        <w:r>
          <w:rPr>
            <w:sz w:val="20"/>
            <w:color w:val="0000ff"/>
          </w:rPr>
          <w:t xml:space="preserve">34</w:t>
        </w:r>
      </w:hyperlink>
      <w:r>
        <w:rPr>
          <w:sz w:val="20"/>
        </w:rPr>
        <w:t xml:space="preserve"> настоящих Правил, обратившимися в сетевую организацию с заявкой на технологическое присоединение энергопринимающих устройств, принадлежащих им на праве собственности или на ином предусмотренном законом основании (далее - заявка), а также выполнить в отношении энергопринимающих устройств таких лиц мероприятия по технологическому присоединению.</w:t>
      </w:r>
    </w:p>
    <w:p>
      <w:pPr>
        <w:pStyle w:val="0"/>
        <w:jc w:val="both"/>
      </w:pPr>
      <w:r>
        <w:rPr>
          <w:sz w:val="20"/>
        </w:rPr>
        <w:t xml:space="preserve">(абзац введен </w:t>
      </w:r>
      <w:hyperlink w:history="0" r:id="rId496"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антПлюс}">
        <w:r>
          <w:rPr>
            <w:sz w:val="20"/>
            <w:color w:val="0000ff"/>
          </w:rPr>
          <w:t xml:space="preserve">Постановлением</w:t>
        </w:r>
      </w:hyperlink>
      <w:r>
        <w:rPr>
          <w:sz w:val="20"/>
        </w:rPr>
        <w:t xml:space="preserve"> Правительства РФ от 21.04.2009 N 334)</w:t>
      </w:r>
    </w:p>
    <w:p>
      <w:pPr>
        <w:pStyle w:val="0"/>
        <w:spacing w:before="200" w:line-rule="auto"/>
        <w:ind w:firstLine="540"/>
        <w:jc w:val="both"/>
      </w:pPr>
      <w:r>
        <w:rPr>
          <w:sz w:val="20"/>
        </w:rPr>
        <w:t xml:space="preserve">Сетевая организация обязана соблюдать единые стандарты качества обслуживания сетевыми организациями потребителей услуг сетевых организаций,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отношении лица, обратившегося к ней с целью осуществления технологического присоединения энергопринимающих устройств.</w:t>
      </w:r>
    </w:p>
    <w:p>
      <w:pPr>
        <w:pStyle w:val="0"/>
        <w:jc w:val="both"/>
      </w:pPr>
      <w:r>
        <w:rPr>
          <w:sz w:val="20"/>
        </w:rPr>
        <w:t xml:space="preserve">(абзац введен </w:t>
      </w:r>
      <w:hyperlink w:history="0" r:id="rId497" w:tooltip="Постановление Правительства РФ от 26.07.2013 N 630 &quot;О внесении изменений в некоторые акты Правительства Российской Федерации в целях повышения доступности энергетической инфраструктуры&quot; {КонсультантПлюс}">
        <w:r>
          <w:rPr>
            <w:sz w:val="20"/>
            <w:color w:val="0000ff"/>
          </w:rPr>
          <w:t xml:space="preserve">Постановлением</w:t>
        </w:r>
      </w:hyperlink>
      <w:r>
        <w:rPr>
          <w:sz w:val="20"/>
        </w:rPr>
        <w:t xml:space="preserve"> Правительства РФ от 26.07.2013 N 630)</w:t>
      </w:r>
    </w:p>
    <w:p>
      <w:pPr>
        <w:pStyle w:val="0"/>
        <w:spacing w:before="200" w:line-rule="auto"/>
        <w:ind w:firstLine="540"/>
        <w:jc w:val="both"/>
      </w:pPr>
      <w:r>
        <w:rPr>
          <w:sz w:val="20"/>
        </w:rPr>
        <w:t xml:space="preserve">Независимо от наличия или отсутствия технической возможности технологического присоединения на дату обращения заявителя сетевая организация обязана заключить договор с лицами, указанными в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пунктах 13(2)</w:t>
        </w:r>
      </w:hyperlink>
      <w:r>
        <w:rPr>
          <w:sz w:val="20"/>
        </w:rPr>
        <w:t xml:space="preserve"> и </w:t>
      </w:r>
      <w:hyperlink w:history="0" w:anchor="P1139" w:tooltip="13(4). В заявке, направляемой заявителем - физическим лицом в целях технологического присоединения объекта микрогенерации к объектам электросетевого хозяйства с уровнем напряжения до 1000 В, должны быть указаны:">
        <w:r>
          <w:rPr>
            <w:sz w:val="20"/>
            <w:color w:val="0000ff"/>
          </w:rPr>
          <w:t xml:space="preserve">13(4)</w:t>
        </w:r>
      </w:hyperlink>
      <w:r>
        <w:rPr>
          <w:sz w:val="20"/>
        </w:rPr>
        <w:t xml:space="preserve"> настоящих Правил, обратившимися в сетевую организацию с заявкой на технологическое присоединение объектов микрогенерации, принадлежащих им на праве собственности или на ином предусмотренном законом основании, а также выполнить в отношении объектов микрогенерации таких лиц мероприятия по технологическому присоединению при условии, что принадлежащие заявителю энергопринимающие устройства потребителя электрической энергии технологически присоединены к объектам электросетевого хозяйства сетевой организации с уровнем напряжения до 1000 В.</w:t>
      </w:r>
    </w:p>
    <w:p>
      <w:pPr>
        <w:pStyle w:val="0"/>
        <w:jc w:val="both"/>
      </w:pPr>
      <w:r>
        <w:rPr>
          <w:sz w:val="20"/>
        </w:rPr>
        <w:t xml:space="preserve">(абзац введен </w:t>
      </w:r>
      <w:hyperlink w:history="0" r:id="rId498"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Постановлением</w:t>
        </w:r>
      </w:hyperlink>
      <w:r>
        <w:rPr>
          <w:sz w:val="20"/>
        </w:rPr>
        <w:t xml:space="preserve"> Правительства РФ от 02.03.2021 N 299)</w:t>
      </w:r>
    </w:p>
    <w:p>
      <w:pPr>
        <w:pStyle w:val="0"/>
        <w:spacing w:before="200" w:line-rule="auto"/>
        <w:ind w:firstLine="540"/>
        <w:jc w:val="both"/>
      </w:pPr>
      <w:r>
        <w:rPr>
          <w:sz w:val="20"/>
        </w:rPr>
        <w:t xml:space="preserve">4. Любые лица имеют право на технологическое присоединение построенных ими линий электропередачи к электрическим сетям в соответствии с настоящими Правилами.</w:t>
      </w:r>
    </w:p>
    <w:p>
      <w:pPr>
        <w:pStyle w:val="0"/>
        <w:spacing w:before="200" w:line-rule="auto"/>
        <w:ind w:firstLine="540"/>
        <w:jc w:val="both"/>
      </w:pPr>
      <w:r>
        <w:rPr>
          <w:sz w:val="20"/>
        </w:rPr>
        <w:t xml:space="preserve">5. При присоединении энергопринимающих устройств к распределительным устройствам электростанции последняя выполняет функции сетевой организации в части определения технической возможности технологического присоединения, согласования технических условий с субъектами оперативно-диспетчерского управления и смежными сетевыми организациями, а также выполнения необходимых условий договора.</w:t>
      </w:r>
    </w:p>
    <w:p>
      <w:pPr>
        <w:pStyle w:val="0"/>
        <w:spacing w:before="200" w:line-rule="auto"/>
        <w:ind w:firstLine="540"/>
        <w:jc w:val="both"/>
      </w:pPr>
      <w:r>
        <w:rPr>
          <w:sz w:val="20"/>
        </w:rPr>
        <w:t xml:space="preserve">Абзацы второй - третий утратили силу. - </w:t>
      </w:r>
      <w:hyperlink w:history="0" r:id="rId499" w:tooltip="Постановление Правительства РФ от 29.05.2019 N 682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технологического присоединения к электрическим сетям&quot; {КонсультантПлюс}">
        <w:r>
          <w:rPr>
            <w:sz w:val="20"/>
            <w:color w:val="0000ff"/>
          </w:rPr>
          <w:t xml:space="preserve">Постановление</w:t>
        </w:r>
      </w:hyperlink>
      <w:r>
        <w:rPr>
          <w:sz w:val="20"/>
        </w:rPr>
        <w:t xml:space="preserve"> Правительства РФ от 29.05.2019 N 682.</w:t>
      </w:r>
    </w:p>
    <w:p>
      <w:pPr>
        <w:pStyle w:val="0"/>
        <w:spacing w:before="200" w:line-rule="auto"/>
        <w:ind w:firstLine="540"/>
        <w:jc w:val="both"/>
      </w:pPr>
      <w:r>
        <w:rPr>
          <w:sz w:val="20"/>
        </w:rPr>
        <w:t xml:space="preserve">6. Технологическое присоединение осуществляется на основании договора, заключаемого между сетевой организацией и юридическим или физическим лицом, в сроки, установленные настоящими Правилами. Заключение договора является обязательным для сетевой организации. При необоснованном отказе или уклонении сетевой организации от заключения договора заинтересованное лицо вправе обратиться в суд с иском о понуждении к заключению договора и взыскании убытков, причиненных таким необоснованным отказом или уклонением.</w:t>
      </w:r>
    </w:p>
    <w:p>
      <w:pPr>
        <w:pStyle w:val="0"/>
        <w:spacing w:before="200" w:line-rule="auto"/>
        <w:ind w:firstLine="540"/>
        <w:jc w:val="both"/>
      </w:pPr>
      <w:r>
        <w:rPr>
          <w:sz w:val="20"/>
        </w:rPr>
        <w:t xml:space="preserve">7. Настоящие Правила устанавливают следующую процедуру технологического присоединения:</w:t>
      </w:r>
    </w:p>
    <w:p>
      <w:pPr>
        <w:pStyle w:val="0"/>
        <w:spacing w:before="200" w:line-rule="auto"/>
        <w:ind w:firstLine="540"/>
        <w:jc w:val="both"/>
      </w:pPr>
      <w:r>
        <w:rPr>
          <w:sz w:val="20"/>
        </w:rPr>
        <w:t xml:space="preserve">а) подача заявки юридическим или физическим лицом (далее - заявитель), которое имеет намерение осуществить технологическое присоединение по основаниям, предусмотренным </w:t>
      </w:r>
      <w:hyperlink w:history="0" w:anchor="P868" w:tooltip="2. Действие настоящих Правил распространяется на случаи:">
        <w:r>
          <w:rPr>
            <w:sz w:val="20"/>
            <w:color w:val="0000ff"/>
          </w:rPr>
          <w:t xml:space="preserve">пунктом 2</w:t>
        </w:r>
      </w:hyperlink>
      <w:r>
        <w:rPr>
          <w:sz w:val="20"/>
        </w:rPr>
        <w:t xml:space="preserve"> настоящих Правил;</w:t>
      </w:r>
    </w:p>
    <w:p>
      <w:pPr>
        <w:pStyle w:val="0"/>
        <w:jc w:val="both"/>
      </w:pPr>
      <w:r>
        <w:rPr>
          <w:sz w:val="20"/>
        </w:rPr>
        <w:t xml:space="preserve">(пп. "а" в ред. </w:t>
      </w:r>
      <w:hyperlink w:history="0" r:id="rId500" w:tooltip="Постановление Правительства РФ от 29.05.2019 N 682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технологического присоединения к электрическим сетям&quot; {КонсультантПлюс}">
        <w:r>
          <w:rPr>
            <w:sz w:val="20"/>
            <w:color w:val="0000ff"/>
          </w:rPr>
          <w:t xml:space="preserve">Постановления</w:t>
        </w:r>
      </w:hyperlink>
      <w:r>
        <w:rPr>
          <w:sz w:val="20"/>
        </w:rPr>
        <w:t xml:space="preserve"> Правительства РФ от 29.05.2019 N 682)</w:t>
      </w:r>
    </w:p>
    <w:p>
      <w:pPr>
        <w:pStyle w:val="0"/>
        <w:spacing w:before="200" w:line-rule="auto"/>
        <w:ind w:firstLine="540"/>
        <w:jc w:val="both"/>
      </w:pPr>
      <w:r>
        <w:rPr>
          <w:sz w:val="20"/>
        </w:rPr>
        <w:t xml:space="preserve">б) заключение договора;</w:t>
      </w:r>
    </w:p>
    <w:p>
      <w:pPr>
        <w:pStyle w:val="0"/>
        <w:spacing w:before="200" w:line-rule="auto"/>
        <w:ind w:firstLine="540"/>
        <w:jc w:val="both"/>
      </w:pPr>
      <w:r>
        <w:rPr>
          <w:sz w:val="20"/>
        </w:rPr>
        <w:t xml:space="preserve">в) выполнение сторонами договора мероприятий по технологическому присоединению, предусмотренных договором;</w:t>
      </w:r>
    </w:p>
    <w:p>
      <w:pPr>
        <w:pStyle w:val="0"/>
        <w:spacing w:before="200" w:line-rule="auto"/>
        <w:ind w:firstLine="540"/>
        <w:jc w:val="both"/>
      </w:pPr>
      <w:r>
        <w:rPr>
          <w:sz w:val="20"/>
        </w:rPr>
        <w:t xml:space="preserve">г) получение разрешения органа федерального государственного энергетического надзора в соответствии с </w:t>
      </w:r>
      <w:hyperlink w:history="0" r:id="rId501" w:tooltip="Постановление Правительства РФ от 30.01.2021 N 85 (ред. от 25.12.2021) &quot;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quot; {КонсультантПлюс}">
        <w:r>
          <w:rPr>
            <w:sz w:val="20"/>
            <w:color w:val="0000ff"/>
          </w:rPr>
          <w:t xml:space="preserve">Правилами</w:t>
        </w:r>
      </w:hyperlink>
      <w:r>
        <w:rPr>
          <w:sz w:val="20"/>
        </w:rP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внесении изменений в некоторые акты Правительства Российской Федерации". В случае технологического присоединения объектов лиц, указанных в </w:t>
      </w:r>
      <w:hyperlink w:history="0" w:anchor="P1081" w:tooltip="12. В заявке, направляемой заявителем - юридическим лицом или индивидуальным предпринимателем, максимальная мощность энергопринимающих устройств которых составляет свыше 150 кВт и менее 670 кВт, должны быть указаны:">
        <w:r>
          <w:rPr>
            <w:sz w:val="20"/>
            <w:color w:val="0000ff"/>
          </w:rPr>
          <w:t xml:space="preserve">пункте 12</w:t>
        </w:r>
      </w:hyperlink>
      <w:r>
        <w:rPr>
          <w:sz w:val="20"/>
        </w:rPr>
        <w:t xml:space="preserve"> настоящих Правил, технологическое присоединение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объектов лиц,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01" w:tooltip="13. В заявке, направляемой заявителем в целях временного технологического присоединения, предусмотренного разделом VII настоящих Правил, указывается:">
        <w:r>
          <w:rPr>
            <w:sz w:val="20"/>
            <w:color w:val="0000ff"/>
          </w:rPr>
          <w:t xml:space="preserve">13</w:t>
        </w:r>
      </w:hyperlink>
      <w:r>
        <w:rPr>
          <w:sz w:val="20"/>
        </w:rPr>
        <w:t xml:space="preserve">,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 электрическим сетям классом напряжения до 20 кВ включительно, которые используются физическими лицами для бытовых и иных нужд, не связанных с осуществлением предпринимательской деятельности, а также в отношении объектов электросетевого хозяйства сетевых организаций классом напряжения до 20 кВ включительно, построенных (реконструированных) в рамках исполнения технических условий в целях осуществления технологического присоединения заявителя, получение разрешения органа федерального государственного энергетического надзора в соответствии с </w:t>
      </w:r>
      <w:hyperlink w:history="0" r:id="rId502" w:tooltip="Постановление Правительства РФ от 30.01.2021 N 85 (ред. от 25.12.2021) &quot;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quot; {КонсультантПлюс}">
        <w:r>
          <w:rPr>
            <w:sz w:val="20"/>
            <w:color w:val="0000ff"/>
          </w:rPr>
          <w:t xml:space="preserve">Правилами</w:t>
        </w:r>
      </w:hyperlink>
      <w:r>
        <w:rPr>
          <w:sz w:val="20"/>
        </w:rP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внесении изменений в некоторые акты Правительства Российской Федерации" с учетом положений </w:t>
      </w:r>
      <w:hyperlink w:history="0" w:anchor="P1407" w:tooltip="18(1). Заявители, указанные в пункте 12 настоящих Правил, технологическое присоединение объектов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заявители, технологическое присоединение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которых осуществляется по второй категории надежн...">
        <w:r>
          <w:rPr>
            <w:sz w:val="20"/>
            <w:color w:val="0000ff"/>
          </w:rPr>
          <w:t xml:space="preserve">пунктов 18(1)</w:t>
        </w:r>
      </w:hyperlink>
      <w:r>
        <w:rPr>
          <w:sz w:val="20"/>
        </w:rPr>
        <w:t xml:space="preserve"> - </w:t>
      </w:r>
      <w:hyperlink w:history="0" w:anchor="P1435" w:tooltip="18(4). Объекты, указанные в пункте 18(1) настоящих Правил, считаются введенными в эксплуатацию с даты направления в орган федерального государственного энергетического надзора уведомления о готовности на ввод в эксплуатацию объектов.">
        <w:r>
          <w:rPr>
            <w:sz w:val="20"/>
            <w:color w:val="0000ff"/>
          </w:rPr>
          <w:t xml:space="preserve">18(4)</w:t>
        </w:r>
      </w:hyperlink>
      <w:r>
        <w:rPr>
          <w:sz w:val="20"/>
        </w:rPr>
        <w:t xml:space="preserve"> настоящих Правил не требуется;</w:t>
      </w:r>
    </w:p>
    <w:p>
      <w:pPr>
        <w:pStyle w:val="0"/>
        <w:jc w:val="both"/>
      </w:pPr>
      <w:r>
        <w:rPr>
          <w:sz w:val="20"/>
        </w:rPr>
        <w:t xml:space="preserve">(в ред. Постановлений Правительства РФ от 30.01.2021 </w:t>
      </w:r>
      <w:hyperlink w:history="0" r:id="rId503" w:tooltip="Постановление Правительства РФ от 30.01.2021 N 85 (ред. от 25.12.2021) &quot;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quot; {КонсультантПлюс}">
        <w:r>
          <w:rPr>
            <w:sz w:val="20"/>
            <w:color w:val="0000ff"/>
          </w:rPr>
          <w:t xml:space="preserve">N 85</w:t>
        </w:r>
      </w:hyperlink>
      <w:r>
        <w:rPr>
          <w:sz w:val="20"/>
        </w:rPr>
        <w:t xml:space="preserve">, от 02.03.2021 </w:t>
      </w:r>
      <w:hyperlink w:history="0" r:id="rId504"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N 299</w:t>
        </w:r>
      </w:hyperlink>
      <w:r>
        <w:rPr>
          <w:sz w:val="20"/>
        </w:rPr>
        <w:t xml:space="preserve">, от 30.06.2022 </w:t>
      </w:r>
      <w:hyperlink w:history="0" r:id="rId505"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1178</w:t>
        </w:r>
      </w:hyperlink>
      <w:r>
        <w:rPr>
          <w:sz w:val="20"/>
        </w:rPr>
        <w:t xml:space="preserve">)</w:t>
      </w:r>
    </w:p>
    <w:p>
      <w:pPr>
        <w:pStyle w:val="0"/>
        <w:spacing w:before="200" w:line-rule="auto"/>
        <w:ind w:firstLine="540"/>
        <w:jc w:val="both"/>
      </w:pPr>
      <w:r>
        <w:rPr>
          <w:sz w:val="20"/>
        </w:rPr>
        <w:t xml:space="preserve">д) осуществление сетевой организацией фактического присоединения объектов заявителя (за исключением заявителей,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в случае, если технологическое присоединение энергопринимающих устройств таких заявителей осуществляется на уровне напряжения 0,4 кВ и ниже) к электрическим сетям и фактического приема (подачи) напряжения и мощности. Для целей настоящих Правил под фактическим присоединением понимается комплекс технических и организационных мероприятий, обеспечивающих физическое соединение (контакт) объектов электросетевого хозяйства сетевой организации, в которую была подана заявка, и объектов электроэнергетики (энергопринимающих устройств, объектов микрогенерации) заявителя без осуществления фактической подачи (приема) напряжения и мощности на объекты заявителя (фиксация коммутационного аппарата в положении "отключено"). Фактический прием (подача) напряжения и мощности осуществляется путем включения коммутационного аппарата (фиксация коммутационного аппарата в положении "включено").</w:t>
      </w:r>
    </w:p>
    <w:p>
      <w:pPr>
        <w:pStyle w:val="0"/>
        <w:jc w:val="both"/>
      </w:pPr>
      <w:r>
        <w:rPr>
          <w:sz w:val="20"/>
        </w:rPr>
        <w:t xml:space="preserve">(в ред. Постановлений Правительства РФ от 10.03.2020 </w:t>
      </w:r>
      <w:hyperlink w:history="0" r:id="rId506" w:tooltip="Постановление Правительства РФ от 10.03.2020 N 262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262</w:t>
        </w:r>
      </w:hyperlink>
      <w:r>
        <w:rPr>
          <w:sz w:val="20"/>
        </w:rPr>
        <w:t xml:space="preserve">, от 02.03.2021 </w:t>
      </w:r>
      <w:hyperlink w:history="0" r:id="rId507"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N 299</w:t>
        </w:r>
      </w:hyperlink>
      <w:r>
        <w:rPr>
          <w:sz w:val="20"/>
        </w:rPr>
        <w:t xml:space="preserve">)</w:t>
      </w:r>
    </w:p>
    <w:p>
      <w:pPr>
        <w:pStyle w:val="0"/>
        <w:spacing w:before="200" w:line-rule="auto"/>
        <w:ind w:firstLine="540"/>
        <w:jc w:val="both"/>
      </w:pPr>
      <w:r>
        <w:rPr>
          <w:sz w:val="20"/>
        </w:rPr>
        <w:t xml:space="preserve">В отношении заявителей,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в случае, если технологическое присоединение энергопринимающих устройств таких заявителей осуществляется на уровне напряжения 0,4 кВ и ниже, - обеспечение сетевой организацией возможности осуществить действиями заявителя фактическое присоединение объектов заявителя к электрическим сетям и фактический прием (подачу) напряжения и мощности для потребления энергопринимающими устройствами и для выдачи объектами микрогенерации заявителя электрической энергии (мощности) в соответствии с законодательством Российской Федерации и на основании договоров, заключаемых заявителем на розничном рынке в целях обеспечения поставки электрической энергии.</w:t>
      </w:r>
    </w:p>
    <w:p>
      <w:pPr>
        <w:pStyle w:val="0"/>
        <w:jc w:val="both"/>
      </w:pPr>
      <w:r>
        <w:rPr>
          <w:sz w:val="20"/>
        </w:rPr>
        <w:t xml:space="preserve">(абзац введен </w:t>
      </w:r>
      <w:hyperlink w:history="0" r:id="rId508" w:tooltip="Постановление Правительства РФ от 10.03.2020 N 262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10.03.2020 N 262; в ред. </w:t>
      </w:r>
      <w:hyperlink w:history="0" r:id="rId509"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Постановления</w:t>
        </w:r>
      </w:hyperlink>
      <w:r>
        <w:rPr>
          <w:sz w:val="20"/>
        </w:rPr>
        <w:t xml:space="preserve"> Правительства РФ от 02.03.2021 N 299)</w:t>
      </w:r>
    </w:p>
    <w:p>
      <w:pPr>
        <w:pStyle w:val="0"/>
        <w:spacing w:before="200" w:line-rule="auto"/>
        <w:ind w:firstLine="540"/>
        <w:jc w:val="both"/>
      </w:pPr>
      <w:r>
        <w:rPr>
          <w:sz w:val="20"/>
        </w:rPr>
        <w:t xml:space="preserve">Для целей настоящих Правил под осуществлением действиями заявителя фактического присоединения и фактического приема (выдачи объектами микрогенерации) напряжения и мощности понимается комплекс технических и организационных мероприятий, обеспечивающих физическое соединение (контакт) объектов электросетевого хозяйства сетевой организации, в которую была подана заявка, и объектов электроэнергетики (энергопринимающих устройств, объектов микрогенерации) заявителя. Фактический прием напряжения и мощности осуществляется путем включения коммутационного аппарата, расположенного после прибора учета (фиксация коммутационного аппарата в положении "включено");</w:t>
      </w:r>
    </w:p>
    <w:p>
      <w:pPr>
        <w:pStyle w:val="0"/>
        <w:jc w:val="both"/>
      </w:pPr>
      <w:r>
        <w:rPr>
          <w:sz w:val="20"/>
        </w:rPr>
        <w:t xml:space="preserve">(абзац введен </w:t>
      </w:r>
      <w:hyperlink w:history="0" r:id="rId510" w:tooltip="Постановление Правительства РФ от 10.03.2020 N 262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10.03.2020 N 262; в ред. </w:t>
      </w:r>
      <w:hyperlink w:history="0" r:id="rId511"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Постановления</w:t>
        </w:r>
      </w:hyperlink>
      <w:r>
        <w:rPr>
          <w:sz w:val="20"/>
        </w:rPr>
        <w:t xml:space="preserve"> Правительства РФ от 02.03.2021 N 299)</w:t>
      </w:r>
    </w:p>
    <w:p>
      <w:pPr>
        <w:pStyle w:val="0"/>
        <w:spacing w:before="200" w:line-rule="auto"/>
        <w:ind w:firstLine="540"/>
        <w:jc w:val="both"/>
      </w:pPr>
      <w:r>
        <w:rPr>
          <w:sz w:val="20"/>
        </w:rPr>
        <w:t xml:space="preserve">е) составление акта об осуществлении технологического присоединения по форме согласно </w:t>
      </w:r>
      <w:hyperlink w:history="0" w:anchor="P2176" w:tooltip="                                    АКТ">
        <w:r>
          <w:rPr>
            <w:sz w:val="20"/>
            <w:color w:val="0000ff"/>
          </w:rPr>
          <w:t xml:space="preserve">приложению N 1</w:t>
        </w:r>
      </w:hyperlink>
      <w:r>
        <w:rPr>
          <w:sz w:val="20"/>
        </w:rPr>
        <w:t xml:space="preserve"> (для заявителей,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технологическое присоединение энергопринимающих устройств которых осуществляется на уровне напряжения 0,4 кВ и ниже, - уведомления об обеспечении сетевой организацией возможности присоединения к электрическим сетям по форме согласно </w:t>
      </w:r>
      <w:hyperlink w:history="0" w:anchor="P2369" w:tooltip="УВЕДОМЛЕНИЕ">
        <w:r>
          <w:rPr>
            <w:sz w:val="20"/>
            <w:color w:val="0000ff"/>
          </w:rPr>
          <w:t xml:space="preserve">приложению N 1(1)</w:t>
        </w:r>
      </w:hyperlink>
      <w:r>
        <w:rPr>
          <w:sz w:val="20"/>
        </w:rPr>
        <w:t xml:space="preserve">, а также акта согласования технологической и (или) аварийной брони (для заявителей, указанных в </w:t>
      </w:r>
      <w:hyperlink w:history="0" w:anchor="P1186" w:tooltip="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ым последствиям, относящихся к категориям, определенным в приложении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quot;О...">
        <w:r>
          <w:rPr>
            <w:sz w:val="20"/>
            <w:color w:val="0000ff"/>
          </w:rPr>
          <w:t xml:space="preserve">пункте 14(2)</w:t>
        </w:r>
      </w:hyperlink>
      <w:r>
        <w:rPr>
          <w:sz w:val="20"/>
        </w:rPr>
        <w:t xml:space="preserve"> настоящих Правил).</w:t>
      </w:r>
    </w:p>
    <w:p>
      <w:pPr>
        <w:pStyle w:val="0"/>
        <w:jc w:val="both"/>
      </w:pPr>
      <w:r>
        <w:rPr>
          <w:sz w:val="20"/>
        </w:rPr>
        <w:t xml:space="preserve">(в ред. </w:t>
      </w:r>
      <w:hyperlink w:history="0" r:id="rId512"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p>
      <w:pPr>
        <w:pStyle w:val="0"/>
        <w:jc w:val="both"/>
      </w:pPr>
      <w:r>
        <w:rPr>
          <w:sz w:val="20"/>
        </w:rPr>
        <w:t xml:space="preserve">(п. 7 в ред. </w:t>
      </w:r>
      <w:hyperlink w:history="0" r:id="rId513"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Постановления</w:t>
        </w:r>
      </w:hyperlink>
      <w:r>
        <w:rPr>
          <w:sz w:val="20"/>
        </w:rPr>
        <w:t xml:space="preserve"> Правительства РФ от 07.05.2017 N 542)</w:t>
      </w:r>
    </w:p>
    <w:p>
      <w:pPr>
        <w:pStyle w:val="0"/>
        <w:spacing w:before="200" w:line-rule="auto"/>
        <w:ind w:firstLine="540"/>
        <w:jc w:val="both"/>
      </w:pPr>
      <w:r>
        <w:rPr>
          <w:sz w:val="20"/>
        </w:rPr>
        <w:t xml:space="preserve">7(1). В отношении заявителей,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положения </w:t>
      </w:r>
      <w:hyperlink w:history="0" w:anchor="P108" w:tooltip="I. Общие положения">
        <w:r>
          <w:rPr>
            <w:sz w:val="20"/>
            <w:color w:val="0000ff"/>
          </w:rPr>
          <w:t xml:space="preserve">разделов I</w:t>
        </w:r>
      </w:hyperlink>
      <w:r>
        <w:rPr>
          <w:sz w:val="20"/>
        </w:rPr>
        <w:t xml:space="preserve">, </w:t>
      </w:r>
      <w:hyperlink w:history="0" w:anchor="P209" w:tooltip="II. Порядок заключения и исполнения договора">
        <w:r>
          <w:rPr>
            <w:sz w:val="20"/>
            <w:color w:val="0000ff"/>
          </w:rPr>
          <w:t xml:space="preserve">II</w:t>
        </w:r>
      </w:hyperlink>
      <w:r>
        <w:rPr>
          <w:sz w:val="20"/>
        </w:rPr>
        <w:t xml:space="preserve"> и </w:t>
      </w:r>
      <w:hyperlink w:history="0" w:anchor="P628" w:tooltip="IX. Порядок предоставления">
        <w:r>
          <w:rPr>
            <w:sz w:val="20"/>
            <w:color w:val="0000ff"/>
          </w:rPr>
          <w:t xml:space="preserve">IX</w:t>
        </w:r>
      </w:hyperlink>
      <w:r>
        <w:rPr>
          <w:sz w:val="20"/>
        </w:rPr>
        <w:t xml:space="preserve"> настоящих Правил применяются, если </w:t>
      </w:r>
      <w:hyperlink w:history="0" w:anchor="P2096" w:tooltip="X. Особенности технологического присоединения заявителей,">
        <w:r>
          <w:rPr>
            <w:sz w:val="20"/>
            <w:color w:val="0000ff"/>
          </w:rPr>
          <w:t xml:space="preserve">разделом X</w:t>
        </w:r>
      </w:hyperlink>
      <w:r>
        <w:rPr>
          <w:sz w:val="20"/>
        </w:rPr>
        <w:t xml:space="preserve"> настоящих Правил не установлено иное.</w:t>
      </w:r>
    </w:p>
    <w:p>
      <w:pPr>
        <w:pStyle w:val="0"/>
        <w:jc w:val="both"/>
      </w:pPr>
      <w:r>
        <w:rPr>
          <w:sz w:val="20"/>
        </w:rPr>
        <w:t xml:space="preserve">(п. 7(1) введен </w:t>
      </w:r>
      <w:hyperlink w:history="0" r:id="rId514" w:tooltip="Постановление Правительства РФ от 10.03.2020 N 262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10.03.2020 N 262; в ред. </w:t>
      </w:r>
      <w:hyperlink w:history="0" r:id="rId515"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Постановления</w:t>
        </w:r>
      </w:hyperlink>
      <w:r>
        <w:rPr>
          <w:sz w:val="20"/>
        </w:rPr>
        <w:t xml:space="preserve"> Правительства РФ от 02.03.2021 N 299)</w:t>
      </w:r>
    </w:p>
    <w:p>
      <w:pPr>
        <w:pStyle w:val="0"/>
        <w:ind w:firstLine="540"/>
        <w:jc w:val="both"/>
      </w:pPr>
      <w:r>
        <w:rPr>
          <w:sz w:val="20"/>
        </w:rPr>
      </w:r>
    </w:p>
    <w:p>
      <w:pPr>
        <w:pStyle w:val="2"/>
        <w:outlineLvl w:val="1"/>
        <w:jc w:val="center"/>
      </w:pPr>
      <w:r>
        <w:rPr>
          <w:sz w:val="20"/>
        </w:rPr>
        <w:t xml:space="preserve">II. Порядок заключения и выполнения договора</w:t>
      </w:r>
    </w:p>
    <w:p>
      <w:pPr>
        <w:pStyle w:val="0"/>
        <w:ind w:firstLine="540"/>
        <w:jc w:val="both"/>
      </w:pPr>
      <w:r>
        <w:rPr>
          <w:sz w:val="20"/>
        </w:rPr>
      </w:r>
    </w:p>
    <w:bookmarkStart w:id="921" w:name="P921"/>
    <w:bookmarkEnd w:id="921"/>
    <w:p>
      <w:pPr>
        <w:pStyle w:val="0"/>
        <w:ind w:firstLine="540"/>
        <w:jc w:val="both"/>
      </w:pPr>
      <w:r>
        <w:rPr>
          <w:sz w:val="20"/>
        </w:rPr>
        <w:t xml:space="preserve">8. Для заключения договора заявитель направляет заявку в сетевую организацию, объекты электросетевого хозяйства которой расположены на наименьшем расстоянии от границ участка заявителя, с учетом условий, установленных </w:t>
      </w:r>
      <w:hyperlink w:history="0" w:anchor="P934" w:tooltip="8(1). Если на расстоянии менее 300 метров от границ участка заявителя находятся объекты электросетевого хозяйства нескольких сетевых организаций, заявитель вправе направить заявку в любую из них. Эти положения не распространяются на заявителей, имеющих намерение осуществить технологическое присоединение энергопринимающих устройств по индивидуальному проекту.">
        <w:r>
          <w:rPr>
            <w:sz w:val="20"/>
            <w:color w:val="0000ff"/>
          </w:rPr>
          <w:t xml:space="preserve">пунктом 8(1)</w:t>
        </w:r>
      </w:hyperlink>
      <w:r>
        <w:rPr>
          <w:sz w:val="20"/>
        </w:rPr>
        <w:t xml:space="preserve"> настоящих Правил. Заявка направляется по формам согласно </w:t>
      </w:r>
      <w:r>
        <w:rPr>
          <w:sz w:val="20"/>
        </w:rPr>
        <w:t xml:space="preserve">приложениям N 4</w:t>
      </w:r>
      <w:r>
        <w:rPr>
          <w:sz w:val="20"/>
        </w:rPr>
        <w:t xml:space="preserve"> - </w:t>
      </w:r>
      <w:hyperlink w:history="0" w:anchor="P3024" w:tooltip="                                ЗАЯВКА &lt;1&gt;">
        <w:r>
          <w:rPr>
            <w:sz w:val="20"/>
            <w:color w:val="0000ff"/>
          </w:rPr>
          <w:t xml:space="preserve">7</w:t>
        </w:r>
      </w:hyperlink>
      <w:r>
        <w:rPr>
          <w:sz w:val="20"/>
        </w:rPr>
        <w:t xml:space="preserve"> любым способом ее подачи (очно, почтой, с использованием официального сайта сетевой организации или в случае обеспечения сетевой организацией, в которую подается заявка, возможности реализации прав и обязанностей заявителей, возникающих в ходе осуществления процедуры технологического присоединения энергопринимающих устройств к электрическим сетям,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pPr>
        <w:pStyle w:val="0"/>
        <w:jc w:val="both"/>
      </w:pPr>
      <w:r>
        <w:rPr>
          <w:sz w:val="20"/>
        </w:rPr>
        <w:t xml:space="preserve">(в ред. Постановлений Правительства РФ от 11.06.2015 </w:t>
      </w:r>
      <w:hyperlink w:history="0" r:id="rId516" w:tooltip="Постановление Правительства РФ от 11.06.2015 N 588 (ред. от 10.03.2020, с изм. от 30.06.2022) &quot;О внесении изменений в постановление Правительства Российской Федерации от 27 декабря 2004 г. N 861&quot; {КонсультантПлюс}">
        <w:r>
          <w:rPr>
            <w:sz w:val="20"/>
            <w:color w:val="0000ff"/>
          </w:rPr>
          <w:t xml:space="preserve">N 588</w:t>
        </w:r>
      </w:hyperlink>
      <w:r>
        <w:rPr>
          <w:sz w:val="20"/>
        </w:rPr>
        <w:t xml:space="preserve">, от 01.04.2020 </w:t>
      </w:r>
      <w:hyperlink w:history="0" r:id="rId517"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N 403</w:t>
        </w:r>
      </w:hyperlink>
      <w:r>
        <w:rPr>
          <w:sz w:val="20"/>
        </w:rPr>
        <w:t xml:space="preserve">, от 14.03.2022 </w:t>
      </w:r>
      <w:hyperlink w:history="0" r:id="rId518"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360</w:t>
        </w:r>
      </w:hyperlink>
      <w:r>
        <w:rPr>
          <w:sz w:val="20"/>
        </w:rPr>
        <w:t xml:space="preserve">)</w:t>
      </w:r>
    </w:p>
    <w:p>
      <w:pPr>
        <w:pStyle w:val="0"/>
        <w:spacing w:before="200" w:line-rule="auto"/>
        <w:ind w:firstLine="540"/>
        <w:jc w:val="both"/>
      </w:pPr>
      <w:r>
        <w:rPr>
          <w:sz w:val="20"/>
        </w:rPr>
        <w:t xml:space="preserve">Для целей настоящих Правил под наименьшим расстоянием от границ участка заявителя до объектов электросетевого хозяйства сетевой организации понимается минимальное расстояние, измеряемое по прямой линии от границы участка (нахождения присоединяемых энергопринимающих устройств) заявителя до ближайшего объекта электрической сети (опора линий электропередачи, кабельная линия, распределительное устройство, подстанция), имеющего указанный в заявке класс напряжения (в случае указания в заявке класса напряжения до 1000 В - до ближайшего объекта электрической сети класса напряжения не более 20 кВ), существующего или планируемого к вводу в эксплуатацию в соответствии с инвестиционной программой сетевой организации, утвержденной в установленном порядке, в сроки, предусмотренные </w:t>
      </w:r>
      <w:hyperlink w:history="0" w:anchor="P1242" w:tooltip="б) срок осуществления мероприятий по технологическому присоединению, который исчисляется со дня заключения договора и не может превышать:">
        <w:r>
          <w:rPr>
            <w:sz w:val="20"/>
            <w:color w:val="0000ff"/>
          </w:rPr>
          <w:t xml:space="preserve">подпунктом "б" пункта 16</w:t>
        </w:r>
      </w:hyperlink>
      <w:r>
        <w:rPr>
          <w:sz w:val="20"/>
        </w:rPr>
        <w:t xml:space="preserve"> настоящих Правил, исчисляемые со дня подачи заявки в сетевую организацию.</w:t>
      </w:r>
    </w:p>
    <w:p>
      <w:pPr>
        <w:pStyle w:val="0"/>
        <w:jc w:val="both"/>
      </w:pPr>
      <w:r>
        <w:rPr>
          <w:sz w:val="20"/>
        </w:rPr>
        <w:t xml:space="preserve">(в ред. </w:t>
      </w:r>
      <w:hyperlink w:history="0" r:id="rId519"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p>
      <w:pPr>
        <w:pStyle w:val="0"/>
        <w:spacing w:before="200" w:line-rule="auto"/>
        <w:ind w:firstLine="540"/>
        <w:jc w:val="both"/>
      </w:pPr>
      <w:r>
        <w:rPr>
          <w:sz w:val="20"/>
        </w:rPr>
        <w:t xml:space="preserve">Сетевой организацией для осуществления процедуры технологического присоединения, гарантирующим поставщиком для заключения договора, обеспечивающего продажу электрической энергии (мощности) на розничном рынке (если в заявке указаны сведения в соответствии с </w:t>
      </w:r>
      <w:hyperlink w:history="0" w:anchor="P1024"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
        <w:r>
          <w:rPr>
            <w:sz w:val="20"/>
            <w:color w:val="0000ff"/>
          </w:rPr>
          <w:t xml:space="preserve">подпунктом "л" пункта 9</w:t>
        </w:r>
      </w:hyperlink>
      <w:r>
        <w:rPr>
          <w:sz w:val="20"/>
        </w:rPr>
        <w:t xml:space="preserve"> настоящих Правил), договора купли-продажи электрической энергии, произведенной на объектах микрогенерации, наряду с использованием документов на бумажном носителе,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и договора купли-продажи электрической энергии, произведенной на объектах микрогенерации, обеспечивается возможность использования таких документов в форме электронных документов.</w:t>
      </w:r>
    </w:p>
    <w:p>
      <w:pPr>
        <w:pStyle w:val="0"/>
        <w:jc w:val="both"/>
      </w:pPr>
      <w:r>
        <w:rPr>
          <w:sz w:val="20"/>
        </w:rPr>
        <w:t xml:space="preserve">(в ред. </w:t>
      </w:r>
      <w:hyperlink w:history="0" r:id="rId520"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p>
      <w:pPr>
        <w:pStyle w:val="0"/>
        <w:spacing w:before="200" w:line-rule="auto"/>
        <w:ind w:firstLine="540"/>
        <w:jc w:val="both"/>
      </w:pPr>
      <w:r>
        <w:rPr>
          <w:sz w:val="20"/>
        </w:rPr>
        <w:t xml:space="preserve">Сетевая организация, гарантирующий поставщик и заявитель - юридическое лицо или индивидуальный предприниматель для 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договора купли-продажи электрической энергии, произведенной на объектах микрогенерации, подписывают документы в электронной форме с использованием усиленной квалифицированной электронной подписи. Заявитель - физическое лицо для 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подписывает документы в электронной форме простой электронной подписью.</w:t>
      </w:r>
    </w:p>
    <w:p>
      <w:pPr>
        <w:pStyle w:val="0"/>
        <w:jc w:val="both"/>
      </w:pPr>
      <w:r>
        <w:rPr>
          <w:sz w:val="20"/>
        </w:rPr>
        <w:t xml:space="preserve">(абзац введен </w:t>
      </w:r>
      <w:hyperlink w:history="0" r:id="rId521" w:tooltip="Постановление Правительства РФ от 08.12.2016 N 1319 &quot;О внесении изменений в некоторые акты Правительства Российской Федерации по вопросам обмена документами, подписанными электронной подписью, в ходе осуществления мероприятий по технологическому присоединению энергопринимающих устройств потребителей электрической энергии&quot; {КонсультантПлюс}">
        <w:r>
          <w:rPr>
            <w:sz w:val="20"/>
            <w:color w:val="0000ff"/>
          </w:rPr>
          <w:t xml:space="preserve">Постановлением</w:t>
        </w:r>
      </w:hyperlink>
      <w:r>
        <w:rPr>
          <w:sz w:val="20"/>
        </w:rPr>
        <w:t xml:space="preserve"> Правительства РФ от 08.12.2016 N 1319; в ред. </w:t>
      </w:r>
      <w:hyperlink w:history="0" r:id="rId522"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p>
      <w:pPr>
        <w:pStyle w:val="0"/>
        <w:spacing w:before="200" w:line-rule="auto"/>
        <w:ind w:firstLine="540"/>
        <w:jc w:val="both"/>
      </w:pPr>
      <w:r>
        <w:rPr>
          <w:sz w:val="20"/>
        </w:rPr>
        <w:t xml:space="preserve">При этом в случае, если заявителем выбран способ обмена документами в электронной форме, сетевая организация и гарантирующий поставщик (в случае, если в заявке указаны сведения в соответствии с </w:t>
      </w:r>
      <w:hyperlink w:history="0" w:anchor="P1024"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
        <w:r>
          <w:rPr>
            <w:sz w:val="20"/>
            <w:color w:val="0000ff"/>
          </w:rPr>
          <w:t xml:space="preserve">подпунктом "л" пункта 9</w:t>
        </w:r>
      </w:hyperlink>
      <w:r>
        <w:rPr>
          <w:sz w:val="20"/>
        </w:rPr>
        <w:t xml:space="preserve"> настоящих Правил) обязаны подписывать документы в электронной форме с использованием усиленной квалифицированной электронной подписи. В случае если заявителем выбран способ обмена документами в электронной форме, документы,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(в случае, если в заявке указаны сведения в соответствии с </w:t>
      </w:r>
      <w:hyperlink w:history="0" w:anchor="P1024"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
        <w:r>
          <w:rPr>
            <w:sz w:val="20"/>
            <w:color w:val="0000ff"/>
          </w:rPr>
          <w:t xml:space="preserve">подпунктом "л" пункта 9</w:t>
        </w:r>
      </w:hyperlink>
      <w:r>
        <w:rPr>
          <w:sz w:val="20"/>
        </w:rPr>
        <w:t xml:space="preserve"> настоящих Правил), подлежат направлению и оформлению сторонами в электронном виде. При этом оформление таких документов дополнительно на бумажном носителе не требуется, за исключением случая, предусмотренного </w:t>
      </w:r>
      <w:hyperlink w:history="0" w:anchor="P931" w:tooltip="Сетевая организация и гарантирующий поставщик в случае поступления запроса заявителя о необходимости предоставления документов, подписанных в форме электронных документов между сетевой организацией и (или) заявителем в ходе осуществления процедуры технологического присоединения, и (или) документов, подписанных в форме электронных документов между гарантирующим поставщиком и (или) заявителем в ходе заключения договора, обеспечивающего продажу электрической энергии (мощности) на розничном рынке (если в зая...">
        <w:r>
          <w:rPr>
            <w:sz w:val="20"/>
            <w:color w:val="0000ff"/>
          </w:rPr>
          <w:t xml:space="preserve">абзацем шестым</w:t>
        </w:r>
      </w:hyperlink>
      <w:r>
        <w:rPr>
          <w:sz w:val="20"/>
        </w:rPr>
        <w:t xml:space="preserve"> настоящего пункта.</w:t>
      </w:r>
    </w:p>
    <w:p>
      <w:pPr>
        <w:pStyle w:val="0"/>
        <w:jc w:val="both"/>
      </w:pPr>
      <w:r>
        <w:rPr>
          <w:sz w:val="20"/>
        </w:rPr>
        <w:t xml:space="preserve">(абзац введен </w:t>
      </w:r>
      <w:hyperlink w:history="0" r:id="rId523" w:tooltip="Постановление Правительства РФ от 08.12.2016 N 1319 &quot;О внесении изменений в некоторые акты Правительства Российской Федерации по вопросам обмена документами, подписанными электронной подписью, в ходе осуществления мероприятий по технологическому присоединению энергопринимающих устройств потребителей электрической энергии&quot; {КонсультантПлюс}">
        <w:r>
          <w:rPr>
            <w:sz w:val="20"/>
            <w:color w:val="0000ff"/>
          </w:rPr>
          <w:t xml:space="preserve">Постановлением</w:t>
        </w:r>
      </w:hyperlink>
      <w:r>
        <w:rPr>
          <w:sz w:val="20"/>
        </w:rPr>
        <w:t xml:space="preserve"> Правительства РФ от 08.12.2016 N 1319)</w:t>
      </w:r>
    </w:p>
    <w:bookmarkStart w:id="931" w:name="P931"/>
    <w:bookmarkEnd w:id="931"/>
    <w:p>
      <w:pPr>
        <w:pStyle w:val="0"/>
        <w:spacing w:before="200" w:line-rule="auto"/>
        <w:ind w:firstLine="540"/>
        <w:jc w:val="both"/>
      </w:pPr>
      <w:r>
        <w:rPr>
          <w:sz w:val="20"/>
        </w:rPr>
        <w:t xml:space="preserve">Сетевая организация и гарантирующий поставщик в случае поступления запроса заявителя о необходимости предоставления документов, подписанных в форме электронных документов между сетевой организацией и (или) заявителем в ходе осуществления процедуры технологического присоединения, и (или) документов, подписанных в форме электронных документов между гарантирующим поставщиком и (или) заявителем в ходе заключения договора, обеспечивающего продажу электрической энергии (мощности) на розничном рынке (если в заявке указаны сведения в соответствии с </w:t>
      </w:r>
      <w:hyperlink w:history="0" w:anchor="P1024"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
        <w:r>
          <w:rPr>
            <w:sz w:val="20"/>
            <w:color w:val="0000ff"/>
          </w:rPr>
          <w:t xml:space="preserve">подпунктом "л" пункта 9</w:t>
        </w:r>
      </w:hyperlink>
      <w:r>
        <w:rPr>
          <w:sz w:val="20"/>
        </w:rPr>
        <w:t xml:space="preserve"> настоящих Правил), договора купли-продажи электрической энергии, произведенной на объектах микрогенерации, на бумажном носителе обязаны в течение 10 дней со дня получения такого запроса обеспечить направление заявителю таких документов на бумажном носителе, подписанных со стороны сетевой организации (гарантирующего поставщика).</w:t>
      </w:r>
    </w:p>
    <w:p>
      <w:pPr>
        <w:pStyle w:val="0"/>
        <w:jc w:val="both"/>
      </w:pPr>
      <w:r>
        <w:rPr>
          <w:sz w:val="20"/>
        </w:rPr>
        <w:t xml:space="preserve">(в ред. </w:t>
      </w:r>
      <w:hyperlink w:history="0" r:id="rId524"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p>
      <w:pPr>
        <w:pStyle w:val="0"/>
        <w:jc w:val="both"/>
      </w:pPr>
      <w:r>
        <w:rPr>
          <w:sz w:val="20"/>
        </w:rPr>
        <w:t xml:space="preserve">(п. 8 в ред. </w:t>
      </w:r>
      <w:hyperlink w:history="0" r:id="rId525" w:tooltip="Постановление Правительства РФ от 12.08.2013 N 691 (ред. от 10.03.2020) &quot;О внесении изменений в некоторые акты Правительства Российской Федерации по вопросам технологического присоединения к электрическим сетям&quot; {КонсультантПлюс}">
        <w:r>
          <w:rPr>
            <w:sz w:val="20"/>
            <w:color w:val="0000ff"/>
          </w:rPr>
          <w:t xml:space="preserve">Постановления</w:t>
        </w:r>
      </w:hyperlink>
      <w:r>
        <w:rPr>
          <w:sz w:val="20"/>
        </w:rPr>
        <w:t xml:space="preserve"> Правительства РФ от 12.08.2013 N 691)</w:t>
      </w:r>
    </w:p>
    <w:bookmarkStart w:id="934" w:name="P934"/>
    <w:bookmarkEnd w:id="934"/>
    <w:p>
      <w:pPr>
        <w:pStyle w:val="0"/>
        <w:spacing w:before="200" w:line-rule="auto"/>
        <w:ind w:firstLine="540"/>
        <w:jc w:val="both"/>
      </w:pPr>
      <w:r>
        <w:rPr>
          <w:sz w:val="20"/>
        </w:rPr>
        <w:t xml:space="preserve">8(1). Если на расстоянии менее 300 метров от границ участка заявителя находятся объекты электросетевого хозяйства нескольких сетевых организаций, заявитель вправе направить заявку в любую из них. Эти положения не распространяются на заявителей, имеющих намерение осуществить технологическое присоединение энергопринимающих устройств по индивидуальному проекту.</w:t>
      </w:r>
    </w:p>
    <w:p>
      <w:pPr>
        <w:pStyle w:val="0"/>
        <w:jc w:val="both"/>
      </w:pPr>
      <w:r>
        <w:rPr>
          <w:sz w:val="20"/>
        </w:rPr>
        <w:t xml:space="preserve">(п. 8(1) введен </w:t>
      </w:r>
      <w:hyperlink w:history="0" r:id="rId526" w:tooltip="Постановление Правительства РФ от 12.08.2013 N 691 (ред. от 10.03.2020) &quot;О внесении изменений в некоторые акты Правительства Российской Федерации по вопросам технологического присоединения к электрическим сетям&quot; {КонсультантПлюс}">
        <w:r>
          <w:rPr>
            <w:sz w:val="20"/>
            <w:color w:val="0000ff"/>
          </w:rPr>
          <w:t xml:space="preserve">Постановлением</w:t>
        </w:r>
      </w:hyperlink>
      <w:r>
        <w:rPr>
          <w:sz w:val="20"/>
        </w:rPr>
        <w:t xml:space="preserve"> Правительства РФ от 12.08.2013 N 691)</w:t>
      </w:r>
    </w:p>
    <w:p>
      <w:pPr>
        <w:pStyle w:val="0"/>
        <w:spacing w:before="200" w:line-rule="auto"/>
        <w:ind w:firstLine="540"/>
        <w:jc w:val="both"/>
      </w:pPr>
      <w:r>
        <w:rPr>
          <w:sz w:val="20"/>
        </w:rPr>
        <w:t xml:space="preserve">8(2). Положения </w:t>
      </w:r>
      <w:hyperlink w:history="0" w:anchor="P921" w:tooltip="8. Для заключения договора заявитель направляет заявку в сетевую организацию, объекты электросетевого хозяйства которой расположены на наименьшем расстоянии от границ участка заявителя, с учетом условий, установленных пунктом 8(1) настоящих Правил. Заявка направляется по формам согласно приложениям N 4 - 7 любым способом ее подачи (очно, почтой, с использованием официального сайта сетевой организации или в случае обеспечения сетевой организацией, в которую подается заявка, возможности реализации прав и о...">
        <w:r>
          <w:rPr>
            <w:sz w:val="20"/>
            <w:color w:val="0000ff"/>
          </w:rPr>
          <w:t xml:space="preserve">пунктов 8</w:t>
        </w:r>
      </w:hyperlink>
      <w:r>
        <w:rPr>
          <w:sz w:val="20"/>
        </w:rPr>
        <w:t xml:space="preserve"> и </w:t>
      </w:r>
      <w:hyperlink w:history="0" w:anchor="P934" w:tooltip="8(1). Если на расстоянии менее 300 метров от границ участка заявителя находятся объекты электросетевого хозяйства нескольких сетевых организаций, заявитель вправе направить заявку в любую из них. Эти положения не распространяются на заявителей, имеющих намерение осуществить технологическое присоединение энергопринимающих устройств по индивидуальному проекту.">
        <w:r>
          <w:rPr>
            <w:sz w:val="20"/>
            <w:color w:val="0000ff"/>
          </w:rPr>
          <w:t xml:space="preserve">8(1)</w:t>
        </w:r>
      </w:hyperlink>
      <w:r>
        <w:rPr>
          <w:sz w:val="20"/>
        </w:rPr>
        <w:t xml:space="preserve"> настоящих Правил применяются с учетом того, что к объектам электросетевого хозяйства, принадлежащим организации по управлению единой национальной (общероссийской) электрической сетью, технологическое присоединение энергопринимающих устройств потребителей может осуществляться только на уровне напряжения 110 кВ и выше, за исключением:</w:t>
      </w:r>
    </w:p>
    <w:p>
      <w:pPr>
        <w:pStyle w:val="0"/>
        <w:spacing w:before="200" w:line-rule="auto"/>
        <w:ind w:firstLine="540"/>
        <w:jc w:val="both"/>
      </w:pPr>
      <w:r>
        <w:rPr>
          <w:sz w:val="20"/>
        </w:rPr>
        <w:t xml:space="preserve">технологического присоединения, осуществляемого в отношении ранее присоединенных энергопринимающих устройств по основаниям, установленным </w:t>
      </w:r>
      <w:hyperlink w:history="0" w:anchor="P868" w:tooltip="2. Действие настоящих Правил распространяется на случаи:">
        <w:r>
          <w:rPr>
            <w:sz w:val="20"/>
            <w:color w:val="0000ff"/>
          </w:rPr>
          <w:t xml:space="preserve">пунктом 2</w:t>
        </w:r>
      </w:hyperlink>
      <w:r>
        <w:rPr>
          <w:sz w:val="20"/>
        </w:rPr>
        <w:t xml:space="preserve"> настоящих Правил;</w:t>
      </w:r>
    </w:p>
    <w:p>
      <w:pPr>
        <w:pStyle w:val="0"/>
        <w:spacing w:before="200" w:line-rule="auto"/>
        <w:ind w:firstLine="540"/>
        <w:jc w:val="both"/>
      </w:pPr>
      <w:r>
        <w:rPr>
          <w:sz w:val="20"/>
        </w:rPr>
        <w:t xml:space="preserve">технологического присоединения электростанций;</w:t>
      </w:r>
    </w:p>
    <w:p>
      <w:pPr>
        <w:pStyle w:val="0"/>
        <w:spacing w:before="200" w:line-rule="auto"/>
        <w:ind w:firstLine="540"/>
        <w:jc w:val="both"/>
      </w:pPr>
      <w:r>
        <w:rPr>
          <w:sz w:val="20"/>
        </w:rPr>
        <w:t xml:space="preserve">технологического присоединения энергопринимающих устройств, обеспечивающих энергоснабжение линий связи, сооружений связи, средств связи, средств телевизионного вещания и радиовещания;</w:t>
      </w:r>
    </w:p>
    <w:p>
      <w:pPr>
        <w:pStyle w:val="0"/>
        <w:spacing w:before="200" w:line-rule="auto"/>
        <w:ind w:firstLine="540"/>
        <w:jc w:val="both"/>
      </w:pPr>
      <w:r>
        <w:rPr>
          <w:sz w:val="20"/>
        </w:rPr>
        <w:t xml:space="preserve">технологического присоединения энергопринимающих устройств, обеспечивающих работу пунктов пропуска через государственную границу Российской Федерации.</w:t>
      </w:r>
    </w:p>
    <w:p>
      <w:pPr>
        <w:pStyle w:val="0"/>
        <w:spacing w:before="200" w:line-rule="auto"/>
        <w:ind w:firstLine="540"/>
        <w:jc w:val="both"/>
      </w:pPr>
      <w:r>
        <w:rPr>
          <w:sz w:val="20"/>
        </w:rPr>
        <w:t xml:space="preserve">технологического присоединения энергопринимающих устройств, обеспечивающих энергоснабжение специально созданных технических устройств, осуществляющих прием, обработку и передачу аудио- и (или) аудиовизуальных, а также иных сообщений об угрозе возникновения, о возникновении чрезвычайных ситуаций и правилах поведения населения в таких ситуациях.</w:t>
      </w:r>
    </w:p>
    <w:p>
      <w:pPr>
        <w:pStyle w:val="0"/>
        <w:jc w:val="both"/>
      </w:pPr>
      <w:r>
        <w:rPr>
          <w:sz w:val="20"/>
        </w:rPr>
        <w:t xml:space="preserve">(абзац введен </w:t>
      </w:r>
      <w:hyperlink w:history="0" r:id="rId527" w:tooltip="Постановление Правительства РФ от 09.08.2016 N 759 &quot;Об уточнении порядка осуществления технологического присоединения к объектам электросетевого хозяйства, принадлежащим организации по управлению единой национальной (общероссийской) электрической сетью&quot; {КонсультантПлюс}">
        <w:r>
          <w:rPr>
            <w:sz w:val="20"/>
            <w:color w:val="0000ff"/>
          </w:rPr>
          <w:t xml:space="preserve">Постановлением</w:t>
        </w:r>
      </w:hyperlink>
      <w:r>
        <w:rPr>
          <w:sz w:val="20"/>
        </w:rPr>
        <w:t xml:space="preserve"> Правительства РФ от 09.08.2016 N 759)</w:t>
      </w:r>
    </w:p>
    <w:bookmarkStart w:id="943" w:name="P943"/>
    <w:bookmarkEnd w:id="943"/>
    <w:p>
      <w:pPr>
        <w:pStyle w:val="0"/>
        <w:spacing w:before="200" w:line-rule="auto"/>
        <w:ind w:firstLine="540"/>
        <w:jc w:val="both"/>
      </w:pPr>
      <w:r>
        <w:rPr>
          <w:sz w:val="20"/>
        </w:rPr>
        <w:t xml:space="preserve">На уровне напряжения ниже 110 кВ допускается технологическое присоединение вновь присоединяемых энергопринимающих устройств потребителей электрической энергии и территориальных сетевых организаций к объектам электросетевого хозяйства, принадлежащим организации по управлению единой национальной (общероссийской) электрической сетью, введенным в эксплуатацию до 1 января 2018 г. и включенным в </w:t>
      </w:r>
      <w:hyperlink w:history="0" r:id="rId528" w:tooltip="Распоряжение Правительства РФ от 09.08.2016 N 1671-р &lt;Об утверждении перечня объектов электросетевого хозяйства, принадлежащих организации по управлению единой национальной (общероссийской) электрической сетью, к которым допускается осуществление технологического присоединения вновь присоединяемых энергопринимающих устройств потребителей на уровне напряжения ниже 110 кВ&gt; {КонсультантПлюс}">
        <w:r>
          <w:rPr>
            <w:sz w:val="20"/>
            <w:color w:val="0000ff"/>
          </w:rPr>
          <w:t xml:space="preserve">перечень</w:t>
        </w:r>
      </w:hyperlink>
      <w:r>
        <w:rPr>
          <w:sz w:val="20"/>
        </w:rPr>
        <w:t xml:space="preserve"> объектов электросетевого хозяйства, принадлежащих организации по управлению единой национальной (общероссийской) электрической сетью, к которым допускается осуществление технологического присоединения вновь присоединяемых энергопринимающих устройств потребителей на уровне напряжения ниже 110 кВ, утвержденный распоряжением Правительства Российской Федерации от 9 августа 2016 г. N 1671-р, при отсутствии необходимости осуществления строительства и (или) реконструкции с увеличением трансформаторной мощности таких объектов, за исключением строительства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pPr>
        <w:pStyle w:val="0"/>
        <w:jc w:val="both"/>
      </w:pPr>
      <w:r>
        <w:rPr>
          <w:sz w:val="20"/>
        </w:rPr>
        <w:t xml:space="preserve">(абзац введен </w:t>
      </w:r>
      <w:hyperlink w:history="0" r:id="rId529" w:tooltip="Постановление Правительства РФ от 09.08.2016 N 759 &quot;Об уточнении порядка осуществления технологического присоединения к объектам электросетевого хозяйства, принадлежащим организации по управлению единой национальной (общероссийской) электрической сетью&quot; {КонсультантПлюс}">
        <w:r>
          <w:rPr>
            <w:sz w:val="20"/>
            <w:color w:val="0000ff"/>
          </w:rPr>
          <w:t xml:space="preserve">Постановлением</w:t>
        </w:r>
      </w:hyperlink>
      <w:r>
        <w:rPr>
          <w:sz w:val="20"/>
        </w:rPr>
        <w:t xml:space="preserve"> Правительства РФ от 09.08.2016 N 759)</w:t>
      </w:r>
    </w:p>
    <w:p>
      <w:pPr>
        <w:pStyle w:val="0"/>
        <w:spacing w:before="200" w:line-rule="auto"/>
        <w:ind w:firstLine="540"/>
        <w:jc w:val="both"/>
      </w:pPr>
      <w:r>
        <w:rPr>
          <w:sz w:val="20"/>
        </w:rPr>
        <w:t xml:space="preserve">Внесение изменений в </w:t>
      </w:r>
      <w:hyperlink w:history="0" r:id="rId530" w:tooltip="Распоряжение Правительства РФ от 09.08.2016 N 1671-р &lt;Об утверждении перечня объектов электросетевого хозяйства, принадлежащих организации по управлению единой национальной (общероссийской) электрической сетью, к которым допускается осуществление технологического присоединения вновь присоединяемых энергопринимающих устройств потребителей на уровне напряжения ниже 110 кВ&gt; {КонсультантПлюс}">
        <w:r>
          <w:rPr>
            <w:sz w:val="20"/>
            <w:color w:val="0000ff"/>
          </w:rPr>
          <w:t xml:space="preserve">перечень</w:t>
        </w:r>
      </w:hyperlink>
      <w:r>
        <w:rPr>
          <w:sz w:val="20"/>
        </w:rPr>
        <w:t xml:space="preserve">, указанный в </w:t>
      </w:r>
      <w:hyperlink w:history="0" w:anchor="P943" w:tooltip="На уровне напряжения ниже 110 кВ допускается технологическое присоединение вновь присоединяемых энергопринимающих устройств потребителей электрической энергии и территориальных сетевых организаций к объектам электросетевого хозяйства, принадлежащим организации по управлению единой национальной (общероссийской) электрической сетью, введенным в эксплуатацию до 1 января 2018 г. и включенным в перечень объектов электросетевого хозяйства, принадлежащих организации по управлению единой национальной (общероссий...">
        <w:r>
          <w:rPr>
            <w:sz w:val="20"/>
            <w:color w:val="0000ff"/>
          </w:rPr>
          <w:t xml:space="preserve">абзаце седьмом</w:t>
        </w:r>
      </w:hyperlink>
      <w:r>
        <w:rPr>
          <w:sz w:val="20"/>
        </w:rPr>
        <w:t xml:space="preserve"> настоящего пункта, осуществляется Правительством Российской Федерации на основании предложений Правительственной комиссии по вопросам развития электроэнергетики, сформированных с учетом соответствующих обоснований, представленных Министерством энергетики Российской Федерации и Министерством экономического развития Российской Федерации.</w:t>
      </w:r>
    </w:p>
    <w:p>
      <w:pPr>
        <w:pStyle w:val="0"/>
        <w:jc w:val="both"/>
      </w:pPr>
      <w:r>
        <w:rPr>
          <w:sz w:val="20"/>
        </w:rPr>
        <w:t xml:space="preserve">(абзац введен </w:t>
      </w:r>
      <w:hyperlink w:history="0" r:id="rId531" w:tooltip="Постановление Правительства РФ от 09.08.2016 N 759 &quot;Об уточнении порядка осуществления технологического присоединения к объектам электросетевого хозяйства, принадлежащим организации по управлению единой национальной (общероссийской) электрической сетью&quot; {КонсультантПлюс}">
        <w:r>
          <w:rPr>
            <w:sz w:val="20"/>
            <w:color w:val="0000ff"/>
          </w:rPr>
          <w:t xml:space="preserve">Постановлением</w:t>
        </w:r>
      </w:hyperlink>
      <w:r>
        <w:rPr>
          <w:sz w:val="20"/>
        </w:rPr>
        <w:t xml:space="preserve"> Правительства РФ от 09.08.2016 N 759)</w:t>
      </w:r>
    </w:p>
    <w:p>
      <w:pPr>
        <w:pStyle w:val="0"/>
        <w:jc w:val="both"/>
      </w:pPr>
      <w:r>
        <w:rPr>
          <w:sz w:val="20"/>
        </w:rPr>
        <w:t xml:space="preserve">(п. 8(2) в ред. </w:t>
      </w:r>
      <w:hyperlink w:history="0" r:id="rId532"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30.09.2015 N 1044)</w:t>
      </w:r>
    </w:p>
    <w:p>
      <w:pPr>
        <w:pStyle w:val="0"/>
        <w:spacing w:before="200" w:line-rule="auto"/>
        <w:ind w:firstLine="540"/>
        <w:jc w:val="both"/>
      </w:pPr>
      <w:r>
        <w:rPr>
          <w:sz w:val="20"/>
        </w:rPr>
        <w:t xml:space="preserve">8(3). Заявитель вправе направить запрос в орган местного самоуправления, на территории которого расположены соответствующие объекты электросетевого хозяйства, с указанием расположения объектов электросетевого хозяйства, принадлежность которых необходимо определить, а орган местного самоуправления обязан предоставить заявителю в течение 15 дней информацию о принадлежности указанных в запросе объектов электросетевого хозяйства.</w:t>
      </w:r>
    </w:p>
    <w:p>
      <w:pPr>
        <w:pStyle w:val="0"/>
        <w:spacing w:before="200" w:line-rule="auto"/>
        <w:ind w:firstLine="540"/>
        <w:jc w:val="both"/>
      </w:pPr>
      <w:r>
        <w:rPr>
          <w:sz w:val="20"/>
        </w:rPr>
        <w:t xml:space="preserve">Подача в отношении одних и тех же энергопринимающих устройств одновременно 2 и более заявок в разные сетевые организации не допускается, за исключением случаев технологического присоединения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В случае направления заявителем 2 и более заявок в разные сетевые организации для технологического присоединения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заявитель в течение 3 рабочих дней со дня направления второй и последующих заявок обязан уведомить об этом каждую сетевую организацию, в которую направлена заявка.</w:t>
      </w:r>
    </w:p>
    <w:p>
      <w:pPr>
        <w:pStyle w:val="0"/>
        <w:jc w:val="both"/>
      </w:pPr>
      <w:r>
        <w:rPr>
          <w:sz w:val="20"/>
        </w:rPr>
        <w:t xml:space="preserve">(в ред. </w:t>
      </w:r>
      <w:hyperlink w:history="0" r:id="rId533"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sz w:val="20"/>
            <w:color w:val="0000ff"/>
          </w:rPr>
          <w:t xml:space="preserve">Постановления</w:t>
        </w:r>
      </w:hyperlink>
      <w:r>
        <w:rPr>
          <w:sz w:val="20"/>
        </w:rPr>
        <w:t xml:space="preserve"> Правительства РФ от 20.02.2014 N 130)</w:t>
      </w:r>
    </w:p>
    <w:p>
      <w:pPr>
        <w:pStyle w:val="0"/>
        <w:spacing w:before="200" w:line-rule="auto"/>
        <w:ind w:firstLine="540"/>
        <w:jc w:val="both"/>
      </w:pPr>
      <w:r>
        <w:rPr>
          <w:sz w:val="20"/>
        </w:rPr>
        <w:t xml:space="preserve">Заявка направляется заявителем в сетевую организацию в 2 экземплярах письмом с описью вложения. Заявитель вправе представить заявку в сетевую организацию лично или через уполномоченного представителя, а сетевая организация обязана принять такую заявку.</w:t>
      </w:r>
    </w:p>
    <w:p>
      <w:pPr>
        <w:pStyle w:val="0"/>
        <w:spacing w:before="200" w:line-rule="auto"/>
        <w:ind w:firstLine="540"/>
        <w:jc w:val="both"/>
      </w:pPr>
      <w:r>
        <w:rPr>
          <w:sz w:val="20"/>
        </w:rPr>
        <w:t xml:space="preserve">Заявители вправе направлять заявку и прилагаемые документы посредством официального сайта сетевой организации (в том числе посредством переадресации на официальный сайт, обеспечивающий возможность направлять заявку и прилагаемые документы) или единого портала (в случае обеспечения сетевой организацией, в которую подается заявка, возможности реализации прав и обязанностей заявителей, возникающих в ходе осуществления процедуры технологического присоединения энергопринимающих устройств к электрическим сетям, с использованием единого портала).</w:t>
      </w:r>
    </w:p>
    <w:p>
      <w:pPr>
        <w:pStyle w:val="0"/>
        <w:jc w:val="both"/>
      </w:pPr>
      <w:r>
        <w:rPr>
          <w:sz w:val="20"/>
        </w:rPr>
        <w:t xml:space="preserve">(в ред. Постановлений Правительства РФ от 01.04.2020 </w:t>
      </w:r>
      <w:hyperlink w:history="0" r:id="rId534"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N 403</w:t>
        </w:r>
      </w:hyperlink>
      <w:r>
        <w:rPr>
          <w:sz w:val="20"/>
        </w:rPr>
        <w:t xml:space="preserve">, от 14.03.2022 </w:t>
      </w:r>
      <w:hyperlink w:history="0" r:id="rId535"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360</w:t>
        </w:r>
      </w:hyperlink>
      <w:r>
        <w:rPr>
          <w:sz w:val="20"/>
        </w:rPr>
        <w:t xml:space="preserve">)</w:t>
      </w:r>
    </w:p>
    <w:p>
      <w:pPr>
        <w:pStyle w:val="0"/>
        <w:spacing w:before="200" w:line-rule="auto"/>
        <w:ind w:firstLine="540"/>
        <w:jc w:val="both"/>
      </w:pPr>
      <w:r>
        <w:rPr>
          <w:sz w:val="20"/>
        </w:rPr>
        <w:t xml:space="preserve">Подача заявок и документов в электронной форме осуществляется заявителем с использованием идентификатора и пароля, выданных посредством сайта сетевой организации в порядке, установленном сетевой организацией. Информация о порядке выдачи и использования идентификатора и пароля размещается на сайте сетевой организации.</w:t>
      </w:r>
    </w:p>
    <w:p>
      <w:pPr>
        <w:pStyle w:val="0"/>
        <w:jc w:val="both"/>
      </w:pPr>
      <w:r>
        <w:rPr>
          <w:sz w:val="20"/>
        </w:rPr>
        <w:t xml:space="preserve">(абзац введен </w:t>
      </w:r>
      <w:hyperlink w:history="0" r:id="rId536" w:tooltip="Постановление Правительства РФ от 09.12.2013 N 1131 (ред. от 10.03.2020) &quot;О внесении изменений в некоторые акты Правительства Российской Федерации по вопросам введения процедуры приема заявок на технологическое присоединение к электрической сети классом напряжения до 10 кВ включительно от лиц, мощность энергопринимающих устройств которых составляет до 150 кВт, через информационно-телекоммуникационную сеть &quot;Интернет&quot; с возможностью отслеживания исполнения заявки в режиме реального времени&quot; {КонсультантПлюс}">
        <w:r>
          <w:rPr>
            <w:sz w:val="20"/>
            <w:color w:val="0000ff"/>
          </w:rPr>
          <w:t xml:space="preserve">Постановлением</w:t>
        </w:r>
      </w:hyperlink>
      <w:r>
        <w:rPr>
          <w:sz w:val="20"/>
        </w:rPr>
        <w:t xml:space="preserve"> Правительства РФ от 09.12.2013 N 1131)</w:t>
      </w:r>
    </w:p>
    <w:p>
      <w:pPr>
        <w:pStyle w:val="0"/>
        <w:spacing w:before="200" w:line-rule="auto"/>
        <w:ind w:firstLine="540"/>
        <w:jc w:val="both"/>
      </w:pPr>
      <w:r>
        <w:rPr>
          <w:sz w:val="20"/>
        </w:rPr>
        <w:t xml:space="preserve">Для получения идентификатора и пароля заявитель проходит процедуру регистрации на указанном сайте с использованием страхового номера индивидуального лицевого счета заявителя - для физических лиц, основного государственного регистрационного номера индивидуального предпринимателя и идентификационного номера налогоплательщика - для индивидуальных предпринимателей, основного государственного регистрационного номера и идентификационного номера налогоплательщика - для юридических лиц.</w:t>
      </w:r>
    </w:p>
    <w:p>
      <w:pPr>
        <w:pStyle w:val="0"/>
        <w:jc w:val="both"/>
      </w:pPr>
      <w:r>
        <w:rPr>
          <w:sz w:val="20"/>
        </w:rPr>
        <w:t xml:space="preserve">(абзац введен </w:t>
      </w:r>
      <w:hyperlink w:history="0" r:id="rId537" w:tooltip="Постановление Правительства РФ от 09.12.2013 N 1131 (ред. от 10.03.2020) &quot;О внесении изменений в некоторые акты Правительства Российской Федерации по вопросам введения процедуры приема заявок на технологическое присоединение к электрической сети классом напряжения до 10 кВ включительно от лиц, мощность энергопринимающих устройств которых составляет до 150 кВт, через информационно-телекоммуникационную сеть &quot;Интернет&quot; с возможностью отслеживания исполнения заявки в режиме реального времени&quot; {КонсультантПлюс}">
        <w:r>
          <w:rPr>
            <w:sz w:val="20"/>
            <w:color w:val="0000ff"/>
          </w:rPr>
          <w:t xml:space="preserve">Постановлением</w:t>
        </w:r>
      </w:hyperlink>
      <w:r>
        <w:rPr>
          <w:sz w:val="20"/>
        </w:rPr>
        <w:t xml:space="preserve"> Правительства РФ от 09.12.2013 N 1131)</w:t>
      </w:r>
    </w:p>
    <w:p>
      <w:pPr>
        <w:pStyle w:val="0"/>
        <w:spacing w:before="200" w:line-rule="auto"/>
        <w:ind w:firstLine="540"/>
        <w:jc w:val="both"/>
      </w:pPr>
      <w:r>
        <w:rPr>
          <w:sz w:val="20"/>
        </w:rPr>
        <w:t xml:space="preserve">Заявитель несет ответственность за достоверность и полноту прилагаемых в электронном виде к заявке документов в соответствии с законодательством Российской Федерации.</w:t>
      </w:r>
    </w:p>
    <w:p>
      <w:pPr>
        <w:pStyle w:val="0"/>
        <w:jc w:val="both"/>
      </w:pPr>
      <w:r>
        <w:rPr>
          <w:sz w:val="20"/>
        </w:rPr>
        <w:t xml:space="preserve">(абзац введен </w:t>
      </w:r>
      <w:hyperlink w:history="0" r:id="rId538" w:tooltip="Постановление Правительства РФ от 09.12.2013 N 1131 (ред. от 10.03.2020) &quot;О внесении изменений в некоторые акты Правительства Российской Федерации по вопросам введения процедуры приема заявок на технологическое присоединение к электрической сети классом напряжения до 10 кВ включительно от лиц, мощность энергопринимающих устройств которых составляет до 150 кВт, через информационно-телекоммуникационную сеть &quot;Интернет&quot; с возможностью отслеживания исполнения заявки в режиме реального времени&quot; {КонсультантПлюс}">
        <w:r>
          <w:rPr>
            <w:sz w:val="20"/>
            <w:color w:val="0000ff"/>
          </w:rPr>
          <w:t xml:space="preserve">Постановлением</w:t>
        </w:r>
      </w:hyperlink>
      <w:r>
        <w:rPr>
          <w:sz w:val="20"/>
        </w:rPr>
        <w:t xml:space="preserve"> Правительства РФ от 09.12.2013 N 1131)</w:t>
      </w:r>
    </w:p>
    <w:p>
      <w:pPr>
        <w:pStyle w:val="0"/>
        <w:spacing w:before="200" w:line-rule="auto"/>
        <w:ind w:firstLine="540"/>
        <w:jc w:val="both"/>
      </w:pPr>
      <w:r>
        <w:rPr>
          <w:sz w:val="20"/>
        </w:rPr>
        <w:t xml:space="preserve">Сетевая организация обязана обеспечить принятие в электронном виде заявок и прилагаемых документов от заявителей (в том числе возможность бесплатного получения заявителями идентификатора и пароля) и возможность получения заявителем сведений об основных этапах обработки заявок юридических и физических лиц и индивидуальных предпринимателей на технологическое присоединение к электрическим сетям, включая информацию о дате поступления заявки и ее регистрационном номере, направлении в адрес заявителей подписанного со стороны сетевой организации договора об осуществлении технологического присоединения к электрическим сетям и технических условий, о дате заключения договора, о ходе выполнения сетевой организацией технических условий, о фактическом присоединении и фактическом приеме (подаче) напряжения и мощности на объекты заявителя, а также о составлении и подписании документов о технологическом присоединении, на своем официальном сайте (в том числе посредством переадресации на официальный сайт, обеспечивающий возможность направлять заявку и прилагаемые документы) или на едином портале (в случае обеспечения сетевой организацией, в которую подается заявка, возможности реализации прав и обязанностей заявителей, возникающих в ходе осуществления процедуры технологического присоединения энергопринимающих устройств к электрическим сетям, с использованием единого портала) в режиме реального времени без использования программного обеспечения, установка которого на технические средства потребителя требует заключения лицензионного или иного соглашения с правообладателем программного обеспечения, предусматривающего взимание с потребителя платы, и без использования специальных аппаратных средств.</w:t>
      </w:r>
    </w:p>
    <w:p>
      <w:pPr>
        <w:pStyle w:val="0"/>
        <w:jc w:val="both"/>
      </w:pPr>
      <w:r>
        <w:rPr>
          <w:sz w:val="20"/>
        </w:rPr>
        <w:t xml:space="preserve">(абзац введен </w:t>
      </w:r>
      <w:hyperlink w:history="0" r:id="rId539" w:tooltip="Постановление Правительства РФ от 09.12.2013 N 1131 (ред. от 10.03.2020) &quot;О внесении изменений в некоторые акты Правительства Российской Федерации по вопросам введения процедуры приема заявок на технологическое присоединение к электрической сети классом напряжения до 10 кВ включительно от лиц, мощность энергопринимающих устройств которых составляет до 150 кВт, через информационно-телекоммуникационную сеть &quot;Интернет&quot; с возможностью отслеживания исполнения заявки в режиме реального времени&quot; {КонсультантПлюс}">
        <w:r>
          <w:rPr>
            <w:sz w:val="20"/>
            <w:color w:val="0000ff"/>
          </w:rPr>
          <w:t xml:space="preserve">Постановлением</w:t>
        </w:r>
      </w:hyperlink>
      <w:r>
        <w:rPr>
          <w:sz w:val="20"/>
        </w:rPr>
        <w:t xml:space="preserve"> Правительства РФ от 09.12.2013 N 1131; в ред. Постановлений Правительства РФ от 01.04.2020 </w:t>
      </w:r>
      <w:hyperlink w:history="0" r:id="rId540"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N 403</w:t>
        </w:r>
      </w:hyperlink>
      <w:r>
        <w:rPr>
          <w:sz w:val="20"/>
        </w:rPr>
        <w:t xml:space="preserve">, от 14.03.2022 </w:t>
      </w:r>
      <w:hyperlink w:history="0" r:id="rId541"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360</w:t>
        </w:r>
      </w:hyperlink>
      <w:r>
        <w:rPr>
          <w:sz w:val="20"/>
        </w:rPr>
        <w:t xml:space="preserve">)</w:t>
      </w:r>
    </w:p>
    <w:p>
      <w:pPr>
        <w:pStyle w:val="0"/>
        <w:spacing w:before="200" w:line-rule="auto"/>
        <w:ind w:firstLine="540"/>
        <w:jc w:val="both"/>
      </w:pPr>
      <w:r>
        <w:rPr>
          <w:sz w:val="20"/>
        </w:rPr>
        <w:t xml:space="preserve">Абзац утратил силу с 25 марта 2014 года. - </w:t>
      </w:r>
      <w:hyperlink w:history="0" r:id="rId542"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sz w:val="20"/>
            <w:color w:val="0000ff"/>
          </w:rPr>
          <w:t xml:space="preserve">Постановление</w:t>
        </w:r>
      </w:hyperlink>
      <w:r>
        <w:rPr>
          <w:sz w:val="20"/>
        </w:rPr>
        <w:t xml:space="preserve"> Правительства РФ от 20.02.2014 N 130.</w:t>
      </w:r>
    </w:p>
    <w:bookmarkStart w:id="963" w:name="P963"/>
    <w:bookmarkEnd w:id="963"/>
    <w:p>
      <w:pPr>
        <w:pStyle w:val="0"/>
        <w:spacing w:before="200" w:line-rule="auto"/>
        <w:ind w:firstLine="540"/>
        <w:jc w:val="both"/>
      </w:pPr>
      <w:r>
        <w:rPr>
          <w:sz w:val="20"/>
        </w:rPr>
        <w:t xml:space="preserve">На едином портале обеспечивается возможность подачи заявок, получения заявителем сведений об основных этапах обработки заявок юридических и физических лиц и индивидуальных предпринимателей на технологическое присоединение к электрическим сетям, получения и в предусмотренных настоящими Правилами случаях подписания документов, предусмотренных </w:t>
      </w:r>
      <w:hyperlink w:history="0" w:anchor="P2114" w:tooltip="105. В отношении заявителя, указанного в пунктах 12(1), 13(2) - 13(5) и 14 настоящих Правил, сетевая организация в течение 10 рабочих дней со дня поступления заявки размещает в личном кабинете заявителя:">
        <w:r>
          <w:rPr>
            <w:sz w:val="20"/>
            <w:color w:val="0000ff"/>
          </w:rPr>
          <w:t xml:space="preserve">пунктом 105</w:t>
        </w:r>
      </w:hyperlink>
      <w:r>
        <w:rPr>
          <w:sz w:val="20"/>
        </w:rPr>
        <w:t xml:space="preserve"> настоящих Правил, проектов договоров, актов допуска в эксплуатацию приборов учета электрической энергии, актов о выполнении технических условий, актов об осуществлении технологического присоединения, направления уведомлений о выполнении технических условий, а также возможность обмена иными документами в процессе заключения и исполнения договора.</w:t>
      </w:r>
    </w:p>
    <w:p>
      <w:pPr>
        <w:pStyle w:val="0"/>
        <w:jc w:val="both"/>
      </w:pPr>
      <w:r>
        <w:rPr>
          <w:sz w:val="20"/>
        </w:rPr>
        <w:t xml:space="preserve">(абзац введен </w:t>
      </w:r>
      <w:hyperlink w:history="0" r:id="rId543"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14.03.2022 N 360)</w:t>
      </w:r>
    </w:p>
    <w:p>
      <w:pPr>
        <w:pStyle w:val="0"/>
        <w:spacing w:before="200" w:line-rule="auto"/>
        <w:ind w:firstLine="540"/>
        <w:jc w:val="both"/>
      </w:pPr>
      <w:r>
        <w:rPr>
          <w:sz w:val="20"/>
        </w:rPr>
        <w:t xml:space="preserve">На едином портале на безвозмездной основе обеспечивается взаимодействие между заявителями и сетевыми организациями с учетом следующих особенностей.</w:t>
      </w:r>
    </w:p>
    <w:p>
      <w:pPr>
        <w:pStyle w:val="0"/>
        <w:jc w:val="both"/>
      </w:pPr>
      <w:r>
        <w:rPr>
          <w:sz w:val="20"/>
        </w:rPr>
        <w:t xml:space="preserve">(абзац введен </w:t>
      </w:r>
      <w:hyperlink w:history="0" r:id="rId544"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14.03.2022 N 360)</w:t>
      </w:r>
    </w:p>
    <w:p>
      <w:pPr>
        <w:pStyle w:val="0"/>
        <w:spacing w:before="200" w:line-rule="auto"/>
        <w:ind w:firstLine="540"/>
        <w:jc w:val="both"/>
      </w:pPr>
      <w:r>
        <w:rPr>
          <w:sz w:val="20"/>
        </w:rPr>
        <w:t xml:space="preserve">Сетевая организация, у которой необходимая валовая выручка без учета потерь, учтенная органами исполнительной власти субъектов Российской Федерации в области государственного регулирования тарифов при утверждении (расчете) единых (котловых) тарифов на услуги по передаче электрической энергии на очередной календарный год, является наибольшей в соответствующем субъекте Российской Федерации (далее - сетевая организация, соответствующая критерию по объему выручки) (иные лица, привлекаемые сетевой организацией, соответствующей критерию по объему выручки, владеющие информационной системой, обеспечивающей возможность направлять заявку и прилагаемые документы), может осуществлять исполнение обязанностей, предусмотренных </w:t>
      </w:r>
      <w:hyperlink w:history="0" w:anchor="P963" w:tooltip="На едином портале обеспечивается возможность подачи заявок, получения заявителем сведений об основных этапах обработки заявок юридических и физических лиц и индивидуальных предпринимателей на технологическое присоединение к электрическим сетям, получения и в предусмотренных настоящими Правилами случаях подписания документов, предусмотренных пунктом 105 настоящих Правил, проектов договоров, актов допуска в эксплуатацию приборов учета электрической энергии, актов о выполнении технических условий, актов об ...">
        <w:r>
          <w:rPr>
            <w:sz w:val="20"/>
            <w:color w:val="0000ff"/>
          </w:rPr>
          <w:t xml:space="preserve">абзацем десятым</w:t>
        </w:r>
      </w:hyperlink>
      <w:r>
        <w:rPr>
          <w:sz w:val="20"/>
        </w:rPr>
        <w:t xml:space="preserve"> настоящего пункта, при присоединении информационной системы сетевой организации, соответствующей критерию по объему выручки (информационной системы лиц, привлекаемых сетевой организацией, соответствующей критерию по объему выручки, владеющих информационной системой, обеспечивающей возможность направлять заявку и прилагаемые документы),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а также предоставления документов, подтверждающих выполнение критерия, предусмотренного настоящим абзацем.</w:t>
      </w:r>
    </w:p>
    <w:p>
      <w:pPr>
        <w:pStyle w:val="0"/>
        <w:jc w:val="both"/>
      </w:pPr>
      <w:r>
        <w:rPr>
          <w:sz w:val="20"/>
        </w:rPr>
        <w:t xml:space="preserve">(абзац введен </w:t>
      </w:r>
      <w:hyperlink w:history="0" r:id="rId545"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14.03.2022 N 360)</w:t>
      </w:r>
    </w:p>
    <w:p>
      <w:pPr>
        <w:pStyle w:val="0"/>
        <w:spacing w:before="200" w:line-rule="auto"/>
        <w:ind w:firstLine="540"/>
        <w:jc w:val="both"/>
      </w:pPr>
      <w:r>
        <w:rPr>
          <w:sz w:val="20"/>
        </w:rPr>
        <w:t xml:space="preserve">Если сетевой организацией, соответствующей критерию по объему выручки, обеспечена возможность заявителей осуществлять взаимодействие в рамках процедуры технологического присоединения энергопринимающих устройств к электрическим сетям с использованием единого портала, то любая сетевая организация, осуществляющая деятельность в соответствующем субъекте Российской Федерации, в целях обеспечения возможности заявителей осуществлять взаимодействие в рамках процедуры технологического присоединения энергопринимающих устройств к электрическим сетям с использованием единого портала вправе обратиться к сетевой организации, соответствующей критерию по объему выручки (иному лицу, привлеченному сетевой организацией в соответствии с настоящими Правилами, владеющему информационной системой, обеспечивающей возможность направлять заявку и прилагаемые документы), а сетевая организация, соответствующая критерию по объему выручки (иное лицо, привлеченное сетевой организацией, соответствующей критерию по объему выручки, владеющее информационной системой, обеспечивающей возможность направлять заявку и прилагаемые документы), обязана не позднее 30 дней со дня обращения направить в адрес обратившейся сетевой организации соглашение о порядке интеграции информационной системы такой сетевой организации с информационной системой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в целях обеспечения возможности заявителей осуществлять взаимодействие в рамках процедуры технологического присоединения энергопринимающих устройств к электрическим сетям с использованием единого портала. Условиями такого соглашения должна предусматриваться в том числе обязанность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не позднее 3 месяцев со дня выполнения сетевой организацией, имеющей намерение осуществить интеграцию информационных систем в целях обеспечения возможности заявителей осуществлять взаимодействие с использованием единого портала, мероприятий, необходимых для присоединения к информационной системе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реализовать мероприятия, необходимые для обеспечения такой возможности на безвозмездной основе, а также обеспечить обмен информацией между сетевой организацией, соответствующей критерию по объему выручки (иным лицом, привлеченным сетевой организацией, соответствующей критерию по объему выручки, владеющим информационной системой, обеспечивающей возможность направлять заявку и прилагаемые документы), и сетевой организацией, обратившейся в целях интеграции информационных систем, способом, обеспечивающим недопущение доступа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к информации, указываемой заявителями в заявках, и документам, прилагаемым к заявкам, за исключением информации о наименовании сетевой организации, выбранной заявителем в целях осуществления технологического присоединения энергопринимающих устройств к электрическим сетям. В целях обеспечения информирования заявителей о ходе заключения и исполнения договора сетевые организации в рамках условий указанного в настоящем абзаце соглашения вправе согласовать иной порядок доступа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к информации о статусе заключения и исполнения договора между заявителем и сетевой организацией, осуществившей интеграцию информационной системы с информационной системой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в целях обеспечения возможности заявителей осуществлять взаимодействие в рамках осуществления процедуры технологического присоединения с использованием единого портала.</w:t>
      </w:r>
    </w:p>
    <w:p>
      <w:pPr>
        <w:pStyle w:val="0"/>
        <w:jc w:val="both"/>
      </w:pPr>
      <w:r>
        <w:rPr>
          <w:sz w:val="20"/>
        </w:rPr>
        <w:t xml:space="preserve">(абзац введен </w:t>
      </w:r>
      <w:hyperlink w:history="0" r:id="rId546"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14.03.2022 N 360)</w:t>
      </w:r>
    </w:p>
    <w:p>
      <w:pPr>
        <w:pStyle w:val="0"/>
        <w:spacing w:before="200" w:line-rule="auto"/>
        <w:ind w:firstLine="540"/>
        <w:jc w:val="both"/>
      </w:pPr>
      <w:r>
        <w:rPr>
          <w:sz w:val="20"/>
        </w:rPr>
        <w:t xml:space="preserve">В случае если сетевая организация обеспечила исполнение обязанностей, предусмотренных </w:t>
      </w:r>
      <w:hyperlink w:history="0" w:anchor="P963" w:tooltip="На едином портале обеспечивается возможность подачи заявок, получения заявителем сведений об основных этапах обработки заявок юридических и физических лиц и индивидуальных предпринимателей на технологическое присоединение к электрическим сетям, получения и в предусмотренных настоящими Правилами случаях подписания документов, предусмотренных пунктом 105 настоящих Правил, проектов договоров, актов допуска в эксплуатацию приборов учета электрической энергии, актов о выполнении технических условий, актов об ...">
        <w:r>
          <w:rPr>
            <w:sz w:val="20"/>
            <w:color w:val="0000ff"/>
          </w:rPr>
          <w:t xml:space="preserve">абзацем десятым</w:t>
        </w:r>
      </w:hyperlink>
      <w:r>
        <w:rPr>
          <w:sz w:val="20"/>
        </w:rPr>
        <w:t xml:space="preserve"> настоящего пункта, на едином портале, исполнение указанных обязанностей на официальном сайте сетевой организации не требуется.</w:t>
      </w:r>
    </w:p>
    <w:p>
      <w:pPr>
        <w:pStyle w:val="0"/>
        <w:jc w:val="both"/>
      </w:pPr>
      <w:r>
        <w:rPr>
          <w:sz w:val="20"/>
        </w:rPr>
        <w:t xml:space="preserve">(абзац введен </w:t>
      </w:r>
      <w:hyperlink w:history="0" r:id="rId547"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14.03.2022 N 360)</w:t>
      </w:r>
    </w:p>
    <w:p>
      <w:pPr>
        <w:pStyle w:val="0"/>
        <w:spacing w:before="200" w:line-rule="auto"/>
        <w:ind w:firstLine="540"/>
        <w:jc w:val="both"/>
      </w:pPr>
      <w:r>
        <w:rPr>
          <w:sz w:val="20"/>
        </w:rPr>
        <w:t xml:space="preserve">Документы, подлежащие составлению в соответствии с настоящими Правилами в ходе осуществления процедуры технологического присоединения энергопринимающих устройств заявителей к электрическим сетям, подлежат направлению в формате Portable Document Format (PDF) в личный кабинет заявителя на едином портале в случае, если заявка была направлена заявителем посредством единого портала.</w:t>
      </w:r>
    </w:p>
    <w:p>
      <w:pPr>
        <w:pStyle w:val="0"/>
        <w:jc w:val="both"/>
      </w:pPr>
      <w:r>
        <w:rPr>
          <w:sz w:val="20"/>
        </w:rPr>
        <w:t xml:space="preserve">(абзац введен </w:t>
      </w:r>
      <w:hyperlink w:history="0" r:id="rId548"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14.03.2022 N 360)</w:t>
      </w:r>
    </w:p>
    <w:p>
      <w:pPr>
        <w:pStyle w:val="0"/>
        <w:spacing w:before="200" w:line-rule="auto"/>
        <w:ind w:firstLine="540"/>
        <w:jc w:val="both"/>
      </w:pPr>
      <w:r>
        <w:rPr>
          <w:sz w:val="20"/>
        </w:rPr>
        <w:t xml:space="preserve">В случае осуществления взаимодействия между заявителем и сетевой организацией, соответствующей критерию по объему выручки, с использованием единого портала документы, требующие в соответствии с настоящими Правилами подписания со стороны заявителя, подписываются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pPr>
        <w:pStyle w:val="0"/>
        <w:jc w:val="both"/>
      </w:pPr>
      <w:r>
        <w:rPr>
          <w:sz w:val="20"/>
        </w:rPr>
        <w:t xml:space="preserve">(абзац введен </w:t>
      </w:r>
      <w:hyperlink w:history="0" r:id="rId549"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14.03.2022 N 360)</w:t>
      </w:r>
    </w:p>
    <w:p>
      <w:pPr>
        <w:pStyle w:val="0"/>
        <w:jc w:val="both"/>
      </w:pPr>
      <w:r>
        <w:rPr>
          <w:sz w:val="20"/>
        </w:rPr>
        <w:t xml:space="preserve">(п. 8(3) введен </w:t>
      </w:r>
      <w:hyperlink w:history="0" r:id="rId550" w:tooltip="Постановление Правительства РФ от 12.08.2013 N 691 (ред. от 10.03.2020) &quot;О внесении изменений в некоторые акты Правительства Российской Федерации по вопросам технологического присоединения к электрическим сетям&quot; {КонсультантПлюс}">
        <w:r>
          <w:rPr>
            <w:sz w:val="20"/>
            <w:color w:val="0000ff"/>
          </w:rPr>
          <w:t xml:space="preserve">Постановлением</w:t>
        </w:r>
      </w:hyperlink>
      <w:r>
        <w:rPr>
          <w:sz w:val="20"/>
        </w:rPr>
        <w:t xml:space="preserve"> Правительства РФ от 12.08.2013 N 691)</w:t>
      </w:r>
    </w:p>
    <w:bookmarkStart w:id="978" w:name="P978"/>
    <w:bookmarkEnd w:id="978"/>
    <w:p>
      <w:pPr>
        <w:pStyle w:val="0"/>
        <w:spacing w:before="200" w:line-rule="auto"/>
        <w:ind w:firstLine="540"/>
        <w:jc w:val="both"/>
      </w:pPr>
      <w:r>
        <w:rPr>
          <w:sz w:val="20"/>
        </w:rPr>
        <w:t xml:space="preserve">8(4). В случае технологического присоединения энергопринимающих устройств, находящихся в нежилых помещениях, расположенных в многоквартирных домах и иных объектах капитального строительства, заявка на технологическое присоединение энергопринимающих устройств подается в сетевую организацию, к объектам электросетевого хозяйства которой присоединен соответствующий многоквартирный дом или иной объект капитального строительства, собственником такого нежилого помещения или лицом, обладающим иным законным правом на нежилое помещение и имеющим право распоряжения нежилым помещением.</w:t>
      </w:r>
    </w:p>
    <w:p>
      <w:pPr>
        <w:pStyle w:val="0"/>
        <w:spacing w:before="200" w:line-rule="auto"/>
        <w:ind w:firstLine="540"/>
        <w:jc w:val="both"/>
      </w:pPr>
      <w:r>
        <w:rPr>
          <w:sz w:val="20"/>
        </w:rPr>
        <w:t xml:space="preserve">В случае технологического присоединения энергопринимающих устройств, находящихся в жилых помещениях, в том числе расположенных в многоквартирных домах, заявка на технологическое присоединение энергопринимающих устройств подается в сетевую организацию, к объектам электросетевого хозяйства которой присоединены соответствующие жилые помещения, в том числе многоквартирный дом, управляющей организацией (товариществом собственников жилья либо жилищным кооперативом или иным специализированным потребительским кооперативом) по решению общего собрания собственников помещений, в том числе в многоквартирном доме, а при непосредственном управлении многоквартирным домом - одним из собственников помещений в таком доме или иным лицом, имеющим соответствующие полномочия, удостоверенные доверенностью, выданной в письменной форме ему всеми или большинством собственников помещений в таком доме, в соответствии с границей балансовой принадлежности, указанной в </w:t>
      </w:r>
      <w:hyperlink w:history="0" w:anchor="P1293" w:tooltip="16(1). Заявители несут балансовую и эксплуатационную ответственность в границах своего участка, до границ участка заявителя балансовую и эксплуатационную ответственность несет сетевая организация, если иное не установлено соглашением между сетевой организацией и заявителем, заключенным на основании его обращения в сетевую организацию, а также абзацем пятым настоящего пункта, или пунктом 16(7) настоящих Правил.">
        <w:r>
          <w:rPr>
            <w:sz w:val="20"/>
            <w:color w:val="0000ff"/>
          </w:rPr>
          <w:t xml:space="preserve">пункте 16(1)</w:t>
        </w:r>
      </w:hyperlink>
      <w:r>
        <w:rPr>
          <w:sz w:val="20"/>
        </w:rPr>
        <w:t xml:space="preserve"> настоящих Правил.</w:t>
      </w:r>
    </w:p>
    <w:p>
      <w:pPr>
        <w:pStyle w:val="0"/>
        <w:jc w:val="both"/>
      </w:pPr>
      <w:r>
        <w:rPr>
          <w:sz w:val="20"/>
        </w:rPr>
        <w:t xml:space="preserve">(в ред. </w:t>
      </w:r>
      <w:hyperlink w:history="0" r:id="rId551"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29.12.2021 N 2566)</w:t>
      </w:r>
    </w:p>
    <w:p>
      <w:pPr>
        <w:pStyle w:val="0"/>
        <w:jc w:val="both"/>
      </w:pPr>
      <w:r>
        <w:rPr>
          <w:sz w:val="20"/>
        </w:rPr>
        <w:t xml:space="preserve">(п. 8(4) введен </w:t>
      </w:r>
      <w:hyperlink w:history="0" r:id="rId552" w:tooltip="Постановление Правительства РФ от 12.10.2013 N 915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12.10.2013 N 915)</w:t>
      </w:r>
    </w:p>
    <w:bookmarkStart w:id="982" w:name="P982"/>
    <w:bookmarkEnd w:id="982"/>
    <w:p>
      <w:pPr>
        <w:pStyle w:val="0"/>
        <w:spacing w:before="200" w:line-rule="auto"/>
        <w:ind w:firstLine="540"/>
        <w:jc w:val="both"/>
      </w:pPr>
      <w:r>
        <w:rPr>
          <w:sz w:val="20"/>
        </w:rPr>
        <w:t xml:space="preserve">8(5). В случае технологического присоединения энергопринимающих устройств, относящихся к имуществу общего пользования, расположенному в границах территории садоводства или огородничества, заявка на технологическое присоединение этих энергопринимающих устройств подается в сетевую организацию садоводческим или огородническим некоммерческим товариществом. В случае технологического присоединения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заявка на технологическое присоединение подается в сетевую организацию в соответствии с предусмотренным настоящими Правилами общим порядком технологического присоединения с учетом особенностей, установленных в зависимости от мощности присоединяемых устройств.</w:t>
      </w:r>
    </w:p>
    <w:p>
      <w:pPr>
        <w:pStyle w:val="0"/>
        <w:spacing w:before="200" w:line-rule="auto"/>
        <w:ind w:firstLine="540"/>
        <w:jc w:val="both"/>
      </w:pPr>
      <w:r>
        <w:rPr>
          <w:sz w:val="20"/>
        </w:rPr>
        <w:t xml:space="preserve">В случае осуществления технологического присоединения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садоводческое или огородническое некоммерческое товарищество не вправе препятствовать сетевой организации в осуществлении технологического присоединения таких энергопринимающих устройств и требовать за это плату.</w:t>
      </w:r>
    </w:p>
    <w:p>
      <w:pPr>
        <w:pStyle w:val="0"/>
        <w:jc w:val="both"/>
      </w:pPr>
      <w:r>
        <w:rPr>
          <w:sz w:val="20"/>
        </w:rPr>
        <w:t xml:space="preserve">(п. 8(5) в ред. </w:t>
      </w:r>
      <w:hyperlink w:history="0" r:id="rId553" w:tooltip="Постановление Правительства РФ от 09.10.2021 N 1711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09.10.2021 N 1711)</w:t>
      </w:r>
    </w:p>
    <w:p>
      <w:pPr>
        <w:pStyle w:val="0"/>
        <w:spacing w:before="200" w:line-rule="auto"/>
        <w:ind w:firstLine="540"/>
        <w:jc w:val="both"/>
      </w:pPr>
      <w:r>
        <w:rPr>
          <w:sz w:val="20"/>
        </w:rPr>
        <w:t xml:space="preserve">8(6). В случае технологического присоединения объектов микрогенерации заявка на технологическое присоединение подается в сетевую организацию, к объектам электросетевого хозяйства которой технологически присоединены принадлежащие заявителю энергопринимающие устройства потребителя электрической энергии. В случае одновременного технологического присоединения объектов микрогенерации и энергопринимающих устройств потребителя электрической энергии, которому принадлежат на праве собственности или на ином законном основании такие объекты микрогенерации, заявка на технологическое присоединение подается в сетевую организацию, определенную в соответствии с </w:t>
      </w:r>
      <w:hyperlink w:history="0" w:anchor="P921" w:tooltip="8. Для заключения договора заявитель направляет заявку в сетевую организацию, объекты электросетевого хозяйства которой расположены на наименьшем расстоянии от границ участка заявителя, с учетом условий, установленных пунктом 8(1) настоящих Правил. Заявка направляется по формам согласно приложениям N 4 - 7 любым способом ее подачи (очно, почтой, с использованием официального сайта сетевой организации или в случае обеспечения сетевой организацией, в которую подается заявка, возможности реализации прав и о...">
        <w:r>
          <w:rPr>
            <w:sz w:val="20"/>
            <w:color w:val="0000ff"/>
          </w:rPr>
          <w:t xml:space="preserve">пунктом 8</w:t>
        </w:r>
      </w:hyperlink>
      <w:r>
        <w:rPr>
          <w:sz w:val="20"/>
        </w:rPr>
        <w:t xml:space="preserve"> настоящих Правил, с учетом особенностей, установленных </w:t>
      </w:r>
      <w:hyperlink w:history="0" w:anchor="P982" w:tooltip="8(5). В случае технологического присоединения энергопринимающих устройств, относящихся к имуществу общего пользования, расположенному в границах территории садоводства или огородничества, заявка на технологическое присоединение этих энергопринимающих устройств подается в сетевую организацию садоводческим или огородническим некоммерческим товариществом. В случае технологического присоединения энергопринимающих устройств, принадлежащих гражданам, осуществляющим ведение садоводства или огородничества на зем...">
        <w:r>
          <w:rPr>
            <w:sz w:val="20"/>
            <w:color w:val="0000ff"/>
          </w:rPr>
          <w:t xml:space="preserve">пунктом 8(5)</w:t>
        </w:r>
      </w:hyperlink>
      <w:r>
        <w:rPr>
          <w:sz w:val="20"/>
        </w:rPr>
        <w:t xml:space="preserve"> настоящих Правил.</w:t>
      </w:r>
    </w:p>
    <w:p>
      <w:pPr>
        <w:pStyle w:val="0"/>
        <w:jc w:val="both"/>
      </w:pPr>
      <w:r>
        <w:rPr>
          <w:sz w:val="20"/>
        </w:rPr>
        <w:t xml:space="preserve">(п. 8(6) введен </w:t>
      </w:r>
      <w:hyperlink w:history="0" r:id="rId554"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Постановлением</w:t>
        </w:r>
      </w:hyperlink>
      <w:r>
        <w:rPr>
          <w:sz w:val="20"/>
        </w:rPr>
        <w:t xml:space="preserve"> Правительства РФ от 02.03.2021 N 299)</w:t>
      </w:r>
    </w:p>
    <w:bookmarkStart w:id="987" w:name="P987"/>
    <w:bookmarkEnd w:id="987"/>
    <w:p>
      <w:pPr>
        <w:pStyle w:val="0"/>
        <w:spacing w:before="200" w:line-rule="auto"/>
        <w:ind w:firstLine="540"/>
        <w:jc w:val="both"/>
      </w:pPr>
      <w:r>
        <w:rPr>
          <w:sz w:val="20"/>
        </w:rPr>
        <w:t xml:space="preserve">8(7). В целях технологического присоединения энергопринимающих устройств, которые находятся или будут находиться в объектах капитального строительства, подлежащих строительству или реконструкции при комплексном развитии территории, лицом, с которым в соответствии с Градостроительным </w:t>
      </w:r>
      <w:hyperlink w:history="0" r:id="rId555" w:tooltip="&quot;Градостроительный кодекс Российской Федерации&quot; от 29.12.2004 N 190-ФЗ (ред. от 01.05.2022) {КонсультантПлюс}">
        <w:r>
          <w:rPr>
            <w:sz w:val="20"/>
            <w:color w:val="0000ff"/>
          </w:rPr>
          <w:t xml:space="preserve">кодексом</w:t>
        </w:r>
      </w:hyperlink>
      <w:r>
        <w:rPr>
          <w:sz w:val="20"/>
        </w:rPr>
        <w:t xml:space="preserve"> Российской Федерации заключен договор о комплексном развитии соответствующей территории, подается единая заявка на технологическое присоединение (в отношении всех указанных энергопринимающих устройств) в соответствии с комплексной схемой инженерного обеспечения территории комплексного развития (при этом информация, предусмотренная </w:t>
      </w:r>
      <w:hyperlink w:history="0" w:anchor="P1005" w:tooltip="б) наименование и место нахождения энергопринимающих устройств, которые необходимо присоединить к электрическим сетям сетевой организации;">
        <w:r>
          <w:rPr>
            <w:sz w:val="20"/>
            <w:color w:val="0000ff"/>
          </w:rPr>
          <w:t xml:space="preserve">подпунктами "б"</w:t>
        </w:r>
      </w:hyperlink>
      <w:r>
        <w:rPr>
          <w:sz w:val="20"/>
        </w:rPr>
        <w:t xml:space="preserve">, </w:t>
      </w:r>
      <w:hyperlink w:history="0" w:anchor="P1008" w:tooltip="г) запрашиваемая максимальная мощность энергопринимающих устройств и их технические характеристики, количество, мощность генераторов и присоединяемых к сети трансформаторов;">
        <w:r>
          <w:rPr>
            <w:sz w:val="20"/>
            <w:color w:val="0000ff"/>
          </w:rPr>
          <w:t xml:space="preserve">"г"</w:t>
        </w:r>
      </w:hyperlink>
      <w:r>
        <w:rPr>
          <w:sz w:val="20"/>
        </w:rPr>
        <w:t xml:space="preserve">, </w:t>
      </w:r>
      <w:hyperlink w:history="0" w:anchor="P1011" w:tooltip="е) заявляемая категория надежности энергопринимающих устройств;">
        <w:r>
          <w:rPr>
            <w:sz w:val="20"/>
            <w:color w:val="0000ff"/>
          </w:rPr>
          <w:t xml:space="preserve">"е"</w:t>
        </w:r>
      </w:hyperlink>
      <w:r>
        <w:rPr>
          <w:sz w:val="20"/>
        </w:rPr>
        <w:t xml:space="preserve"> - </w:t>
      </w:r>
      <w:hyperlink w:history="0" w:anchor="P1014" w:tooltip="з) величина и обоснование величины технологического минимума (для генераторов), технологической и аварийной брони (для потребителей электрической энергии);">
        <w:r>
          <w:rPr>
            <w:sz w:val="20"/>
            <w:color w:val="0000ff"/>
          </w:rPr>
          <w:t xml:space="preserve">"з"</w:t>
        </w:r>
      </w:hyperlink>
      <w:r>
        <w:rPr>
          <w:sz w:val="20"/>
        </w:rPr>
        <w:t xml:space="preserve">, </w:t>
      </w:r>
      <w:hyperlink w:history="0" w:anchor="P1017" w:tooltip="и) сроки проектирования и поэтапного введения в эксплуатацию энергопринимающих устройств (в том числе по этапам и очередям);">
        <w:r>
          <w:rPr>
            <w:sz w:val="20"/>
            <w:color w:val="0000ff"/>
          </w:rPr>
          <w:t xml:space="preserve">"и"</w:t>
        </w:r>
      </w:hyperlink>
      <w:r>
        <w:rPr>
          <w:sz w:val="20"/>
        </w:rPr>
        <w:t xml:space="preserve"> - </w:t>
      </w:r>
      <w:hyperlink w:history="0" w:anchor="P1020" w:tooltip="и(2)) этапы строительства, реконструкции объектов капитального строительства (в которых расположены или будут располагаться присоединяемые энергопринимающие устройства), предусмотренных проектной документацией, проектом планировки территории, разрешением на строительство (указываются при наличии таких документации, проекта или разрешения, которые утверждены, получены в установленном порядке);">
        <w:r>
          <w:rPr>
            <w:sz w:val="20"/>
            <w:color w:val="0000ff"/>
          </w:rPr>
          <w:t xml:space="preserve">"и(2)"</w:t>
        </w:r>
      </w:hyperlink>
      <w:r>
        <w:rPr>
          <w:sz w:val="20"/>
        </w:rPr>
        <w:t xml:space="preserve">, </w:t>
      </w:r>
      <w:hyperlink w:history="0" w:anchor="P1022" w:tooltip="к) планируемое распределение максимальной мощности, сроков ввода, набора нагрузки и сведения о категории надежности электроснабжения при вводе энергопринимающих устройств по этапам и очередям;">
        <w:r>
          <w:rPr>
            <w:sz w:val="20"/>
            <w:color w:val="0000ff"/>
          </w:rPr>
          <w:t xml:space="preserve">"к" пункта 9</w:t>
        </w:r>
      </w:hyperlink>
      <w:r>
        <w:rPr>
          <w:sz w:val="20"/>
        </w:rPr>
        <w:t xml:space="preserve"> настоящих Правил, указывается в заявке в отношении каждого из планируемых к присоединению энергопринимающих устройств).</w:t>
      </w:r>
    </w:p>
    <w:p>
      <w:pPr>
        <w:pStyle w:val="0"/>
        <w:spacing w:before="200" w:line-rule="auto"/>
        <w:ind w:firstLine="540"/>
        <w:jc w:val="both"/>
      </w:pPr>
      <w:r>
        <w:rPr>
          <w:sz w:val="20"/>
        </w:rPr>
        <w:t xml:space="preserve">Технологическое присоединение в случаях, предусмотренных </w:t>
      </w:r>
      <w:hyperlink w:history="0" w:anchor="P987" w:tooltip="8(7). В целях технологического присоединения энергопринимающих устройств, которые находятся или будут находиться в объектах капитального строительства, подлежащих строительству или реконструкции при комплексном развитии территории, лицом, с которым в соответствии с Градостроительным кодексом Российской Федерации заключен договор о комплексном развитии соответствующей территории, подается единая заявка на технологическое присоединение (в отношении всех указанных энергопринимающих устройств) в соответствии...">
        <w:r>
          <w:rPr>
            <w:sz w:val="20"/>
            <w:color w:val="0000ff"/>
          </w:rPr>
          <w:t xml:space="preserve">абзацем первым</w:t>
        </w:r>
      </w:hyperlink>
      <w:r>
        <w:rPr>
          <w:sz w:val="20"/>
        </w:rPr>
        <w:t xml:space="preserve"> настоящего пункта, может осуществляться только к объектам электросетевого хозяйства, которые принадлежат территориальным сетевым организациям на праве собственности или на ином законном основании.</w:t>
      </w:r>
    </w:p>
    <w:p>
      <w:pPr>
        <w:pStyle w:val="0"/>
        <w:spacing w:before="200" w:line-rule="auto"/>
        <w:ind w:firstLine="540"/>
        <w:jc w:val="both"/>
      </w:pPr>
      <w:r>
        <w:rPr>
          <w:sz w:val="20"/>
        </w:rPr>
        <w:t xml:space="preserve">Для энергоснабжения энергопринимающих устройств в целях обеспечения работ по строительству, реконструкции или капитальному ремонту указанных в </w:t>
      </w:r>
      <w:hyperlink w:history="0" w:anchor="P987" w:tooltip="8(7). В целях технологического присоединения энергопринимающих устройств, которые находятся или будут находиться в объектах капитального строительства, подлежащих строительству или реконструкции при комплексном развитии территории, лицом, с которым в соответствии с Градостроительным кодексом Российской Федерации заключен договор о комплексном развитии соответствующей территории, подается единая заявка на технологическое присоединение (в отношении всех указанных энергопринимающих устройств) в соответствии...">
        <w:r>
          <w:rPr>
            <w:sz w:val="20"/>
            <w:color w:val="0000ff"/>
          </w:rPr>
          <w:t xml:space="preserve">абзаце первом</w:t>
        </w:r>
      </w:hyperlink>
      <w:r>
        <w:rPr>
          <w:sz w:val="20"/>
        </w:rPr>
        <w:t xml:space="preserve"> настоящего пункта объектов капитального строительства лицо, с которым в соответствии с Градостроительным кодексом Российской Федерации заключен договор о комплексном развитии соответствующей территории, может обратиться за временным технологическим присоединением в соответствии с требованиями </w:t>
      </w:r>
      <w:hyperlink w:history="0" w:anchor="P1869" w:tooltip="VII. Особенности временного технологического присоединения">
        <w:r>
          <w:rPr>
            <w:sz w:val="20"/>
            <w:color w:val="0000ff"/>
          </w:rPr>
          <w:t xml:space="preserve">раздела VII</w:t>
        </w:r>
      </w:hyperlink>
      <w:r>
        <w:rPr>
          <w:sz w:val="20"/>
        </w:rPr>
        <w:t xml:space="preserve"> настоящих Правил.</w:t>
      </w:r>
    </w:p>
    <w:p>
      <w:pPr>
        <w:pStyle w:val="0"/>
        <w:jc w:val="both"/>
      </w:pPr>
      <w:r>
        <w:rPr>
          <w:sz w:val="20"/>
        </w:rPr>
        <w:t xml:space="preserve">(п. 8(7) введен </w:t>
      </w:r>
      <w:hyperlink w:history="0" r:id="rId556"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29.12.2021 N 2566)</w:t>
      </w:r>
    </w:p>
    <w:bookmarkStart w:id="991" w:name="P991"/>
    <w:bookmarkEnd w:id="991"/>
    <w:p>
      <w:pPr>
        <w:pStyle w:val="0"/>
        <w:spacing w:before="200" w:line-rule="auto"/>
        <w:ind w:firstLine="540"/>
        <w:jc w:val="both"/>
      </w:pPr>
      <w:r>
        <w:rPr>
          <w:sz w:val="20"/>
        </w:rPr>
        <w:t xml:space="preserve">8(8). В целях технологического присоединения энергопринимающих устройств при строительстве объектов федерального значения, объектов регионального значения, объектов местного значения в случаях, предусмотренных </w:t>
      </w:r>
      <w:hyperlink w:history="0" r:id="rId557" w:tooltip="&quot;Градостроительный кодекс Российской Федерации&quot; от 29.12.2004 N 190-ФЗ (ред. от 01.05.2022) {КонсультантПлюс}">
        <w:r>
          <w:rPr>
            <w:sz w:val="20"/>
            <w:color w:val="0000ff"/>
          </w:rPr>
          <w:t xml:space="preserve">частями 1.1</w:t>
        </w:r>
      </w:hyperlink>
      <w:r>
        <w:rPr>
          <w:sz w:val="20"/>
        </w:rPr>
        <w:t xml:space="preserve"> и </w:t>
      </w:r>
      <w:hyperlink w:history="0" r:id="rId558" w:tooltip="&quot;Градостроительный кодекс Российской Федерации&quot; от 29.12.2004 N 190-ФЗ (ред. от 01.05.2022) {КонсультантПлюс}">
        <w:r>
          <w:rPr>
            <w:sz w:val="20"/>
            <w:color w:val="0000ff"/>
          </w:rPr>
          <w:t xml:space="preserve">1.2 статьи 48</w:t>
        </w:r>
      </w:hyperlink>
      <w:r>
        <w:rPr>
          <w:sz w:val="20"/>
        </w:rPr>
        <w:t xml:space="preserve">, </w:t>
      </w:r>
      <w:hyperlink w:history="0" r:id="rId559" w:tooltip="&quot;Градостроительный кодекс Российской Федерации&quot; от 29.12.2004 N 190-ФЗ (ред. от 01.05.2022) {КонсультантПлюс}">
        <w:r>
          <w:rPr>
            <w:sz w:val="20"/>
            <w:color w:val="0000ff"/>
          </w:rPr>
          <w:t xml:space="preserve">частью 7.3 статьи 51</w:t>
        </w:r>
      </w:hyperlink>
      <w:r>
        <w:rPr>
          <w:sz w:val="20"/>
        </w:rPr>
        <w:t xml:space="preserve"> Градостроительного кодекса Российской Федерации, при отсутствии правоустанавливающих документов на земельный участок заявка может быть подана федеральным органом исполнительной власти, органом исполнительной власти субъекта Российской Федерации, органом местного самоуправления.</w:t>
      </w:r>
    </w:p>
    <w:p>
      <w:pPr>
        <w:pStyle w:val="0"/>
        <w:spacing w:before="200" w:line-rule="auto"/>
        <w:ind w:firstLine="540"/>
        <w:jc w:val="both"/>
      </w:pPr>
      <w:r>
        <w:rPr>
          <w:sz w:val="20"/>
        </w:rPr>
        <w:t xml:space="preserve">В соответствии с положениями </w:t>
      </w:r>
      <w:hyperlink w:history="0" w:anchor="P991" w:tooltip="8(8). В целях технологического присоединения энергопринимающих устройств при строительстве объектов федерального значения, объектов регионального значения, объектов местного значения в случаях, предусмотренных частями 1.1 и 1.2 статьи 48, частью 7.3 статьи 51 Градостроительного кодекса Российской Федерации, при отсутствии правоустанавливающих документов на земельный участок заявка может быть подана федеральным органом исполнительной власти, органом исполнительной власти субъекта Российской Федерации, орг...">
        <w:r>
          <w:rPr>
            <w:sz w:val="20"/>
            <w:color w:val="0000ff"/>
          </w:rPr>
          <w:t xml:space="preserve">абзаца первого</w:t>
        </w:r>
      </w:hyperlink>
      <w:r>
        <w:rPr>
          <w:sz w:val="20"/>
        </w:rPr>
        <w:t xml:space="preserve"> настоящего пункта в отношении объектов федерального значения, объектов регионального значения, объектов местного значения заявка также может быть подана юридическим лицом, созданным Российской Федерацией, субъектом Российской Федерации или муниципальным образованием, иным юридическим лицом в следующих случаях:</w:t>
      </w:r>
    </w:p>
    <w:bookmarkStart w:id="993" w:name="P993"/>
    <w:bookmarkEnd w:id="993"/>
    <w:p>
      <w:pPr>
        <w:pStyle w:val="0"/>
        <w:spacing w:before="200" w:line-rule="auto"/>
        <w:ind w:firstLine="540"/>
        <w:jc w:val="both"/>
      </w:pPr>
      <w:r>
        <w:rPr>
          <w:sz w:val="20"/>
        </w:rPr>
        <w:t xml:space="preserve">строительство, реконструкция объектов капитального строительства в рамках национального (федерального) проекта, государственной программы Российской Федерации, государственной программы субъекта Российской Федерации, муниципальной программы;</w:t>
      </w:r>
    </w:p>
    <w:bookmarkStart w:id="994" w:name="P994"/>
    <w:bookmarkEnd w:id="994"/>
    <w:p>
      <w:pPr>
        <w:pStyle w:val="0"/>
        <w:spacing w:before="200" w:line-rule="auto"/>
        <w:ind w:firstLine="540"/>
        <w:jc w:val="both"/>
      </w:pPr>
      <w:r>
        <w:rPr>
          <w:sz w:val="20"/>
        </w:rPr>
        <w:t xml:space="preserve">строительство, реконструкция объектов капитального строительства, финансируемое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капиталах которых Российской Федерации, субъектов Российской Федерации, муниципальных образований составляет более 50 процентов.</w:t>
      </w:r>
    </w:p>
    <w:p>
      <w:pPr>
        <w:pStyle w:val="0"/>
        <w:jc w:val="both"/>
      </w:pPr>
      <w:r>
        <w:rPr>
          <w:sz w:val="20"/>
        </w:rPr>
        <w:t xml:space="preserve">(п. 8(8) введен </w:t>
      </w:r>
      <w:hyperlink w:history="0" r:id="rId560"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29.12.2021 N 2566)</w:t>
      </w:r>
    </w:p>
    <w:bookmarkStart w:id="996" w:name="P996"/>
    <w:bookmarkEnd w:id="996"/>
    <w:p>
      <w:pPr>
        <w:pStyle w:val="0"/>
        <w:spacing w:before="200" w:line-rule="auto"/>
        <w:ind w:firstLine="540"/>
        <w:jc w:val="both"/>
      </w:pPr>
      <w:r>
        <w:rPr>
          <w:sz w:val="20"/>
        </w:rPr>
        <w:t xml:space="preserve">8(9). Сетевая организация, осуществляющая технологическое присоединение энергопринимающих устройств и (или) объектов микрогенерации заявителя, субъект розничного рынка, указанный в заявке в соответствии с подпунктом "л" пункта 9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гарантирующий поставщик,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 в целях реализации предусмотренного настоящими Правилами порядка заключения заявителем указанных договоров до завершения мероприятий по технологическому присоединению энергопринимающих устройств и (или) объектов микрогенерации заявителя вправе заключить соглашение о порядке обмена информацией и документами, необходимыми для заключения заявителем договора, обеспечивающего продажу электрической энергии (мощности) на розничном рынке, договора об оказании услуг по передаче электрической энергии или договора купли-продажи электрической энергии, произведенной на объектах микрогенерации (далее - соглашение об информационном взаимодействии).</w:t>
      </w:r>
    </w:p>
    <w:p>
      <w:pPr>
        <w:pStyle w:val="0"/>
        <w:spacing w:before="200" w:line-rule="auto"/>
        <w:ind w:firstLine="540"/>
        <w:jc w:val="both"/>
      </w:pPr>
      <w:r>
        <w:rPr>
          <w:sz w:val="20"/>
        </w:rPr>
        <w:t xml:space="preserve">В рамках соглашения об информационном взаимодействии сетевая организация, осуществляющая технологическое присоединение энергопринимающих устройств и (или) объектов микрогенерации заявителя, предоставляет субъекту розничного рынка, указанному в заявке заявителя в соответствии с подпунктом "л" пункта 9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гарантирующему поставщику,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 документы и информацию, предусмотренную настоящими Правилами, в том числе копию заявки и прилагаемых к ней документов заявителя, информацию о дате заключения заявителем договора, о расторжении договора, акт допуска прибора учета в эксплуатацию, акт об осуществлении технологического присоединения (уведомление об обеспечении сетевой организацией возможности присоединения к электрическим сетям).</w:t>
      </w:r>
    </w:p>
    <w:p>
      <w:pPr>
        <w:pStyle w:val="0"/>
        <w:spacing w:before="200" w:line-rule="auto"/>
        <w:ind w:firstLine="540"/>
        <w:jc w:val="both"/>
      </w:pPr>
      <w:r>
        <w:rPr>
          <w:sz w:val="20"/>
        </w:rPr>
        <w:t xml:space="preserve">Субъект розничного рынка, указанный в заявке в соответствии с подпунктом "л" пункта 9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гарантирующий поставщик, в зоне деятельности которого находятся объекты микрогенерации заявителя и с которым будет заключен договор купли-продажи электрической энергии, произведенной на объектах микрогенерации заявителя, представляют сетевой организации, осуществляющей технологическое присоединение энергопринимающих устройств и (или) объектов микрогенерации заявителя, подписанный со своей стороны договор, обеспечивающий продажу электрической энергии (мощности), договор купли-продажи электрической энергии, произведенной на объектах микрогенерации, на бумажном носителе или в форме электронного документа.</w:t>
      </w:r>
    </w:p>
    <w:p>
      <w:pPr>
        <w:pStyle w:val="0"/>
        <w:spacing w:before="200" w:line-rule="auto"/>
        <w:ind w:firstLine="540"/>
        <w:jc w:val="both"/>
      </w:pPr>
      <w:r>
        <w:rPr>
          <w:sz w:val="20"/>
        </w:rPr>
        <w:t xml:space="preserve">Порядок, сроки и формат представления указанных документов и информации устанавливаются соглашением об информационном взаимодействии исходя из необходимости обеспечения заявителю возможности заключить договор, обеспечивающий продажу электрической энергии (мощности) на розничном рынке, договор об оказании услуг по передаче электрической энергии и (или) договор купли-продажи электрической энергии, произведенной на объектах микрогенерации, в срок, установленный настоящими Правилами и </w:t>
      </w:r>
      <w:hyperlink w:history="0" r:id="rId561"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Основными положениями</w:t>
        </w:r>
      </w:hyperlink>
      <w:r>
        <w:rPr>
          <w:sz w:val="20"/>
        </w:rP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 электрической энергии).</w:t>
      </w:r>
    </w:p>
    <w:p>
      <w:pPr>
        <w:pStyle w:val="0"/>
        <w:jc w:val="both"/>
      </w:pPr>
      <w:r>
        <w:rPr>
          <w:sz w:val="20"/>
        </w:rPr>
        <w:t xml:space="preserve">(п. 8(9) введен </w:t>
      </w:r>
      <w:hyperlink w:history="0" r:id="rId562"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30.06.2022 N 1178)</w:t>
      </w:r>
    </w:p>
    <w:bookmarkStart w:id="1001" w:name="P1001"/>
    <w:bookmarkEnd w:id="1001"/>
    <w:p>
      <w:pPr>
        <w:pStyle w:val="0"/>
        <w:spacing w:before="200" w:line-rule="auto"/>
        <w:ind w:firstLine="540"/>
        <w:jc w:val="both"/>
      </w:pPr>
      <w:r>
        <w:rPr>
          <w:sz w:val="20"/>
        </w:rPr>
        <w:t xml:space="preserve">9. В заявке, направляемой заявителем (за исключением лиц, указанных в </w:t>
      </w:r>
      <w:hyperlink w:history="0" w:anchor="P1081" w:tooltip="12. В заявке, направляемой заявителем - юридическим лицом или индивидуальным предпринимателем, максимальная мощность энергопринимающих устройств которых составляет свыше 150 кВт и менее 670 кВт, должны быть указаны:">
        <w:r>
          <w:rPr>
            <w:sz w:val="20"/>
            <w:color w:val="0000ff"/>
          </w:rPr>
          <w:t xml:space="preserve">пунктах 12</w:t>
        </w:r>
      </w:hyperlink>
      <w:r>
        <w:rPr>
          <w:sz w:val="20"/>
        </w:rPr>
        <w:t xml:space="preserve"> -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должны быть в зависимости от конкретных условий указаны следующие сведения:</w:t>
      </w:r>
    </w:p>
    <w:p>
      <w:pPr>
        <w:pStyle w:val="0"/>
        <w:jc w:val="both"/>
      </w:pPr>
      <w:r>
        <w:rPr>
          <w:sz w:val="20"/>
        </w:rPr>
        <w:t xml:space="preserve">(в ред. </w:t>
      </w:r>
      <w:hyperlink w:history="0" r:id="rId563"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антПлюс}">
        <w:r>
          <w:rPr>
            <w:sz w:val="20"/>
            <w:color w:val="0000ff"/>
          </w:rPr>
          <w:t xml:space="preserve">Постановления</w:t>
        </w:r>
      </w:hyperlink>
      <w:r>
        <w:rPr>
          <w:sz w:val="20"/>
        </w:rPr>
        <w:t xml:space="preserve"> Правительства РФ от 21.04.2009 N 334)</w:t>
      </w:r>
    </w:p>
    <w:bookmarkStart w:id="1003" w:name="P1003"/>
    <w:bookmarkEnd w:id="1003"/>
    <w:p>
      <w:pPr>
        <w:pStyle w:val="0"/>
        <w:spacing w:before="200" w:line-rule="auto"/>
        <w:ind w:firstLine="540"/>
        <w:jc w:val="both"/>
      </w:pPr>
      <w:r>
        <w:rPr>
          <w:sz w:val="20"/>
        </w:rPr>
        <w:t xml:space="preserve">а)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для индивидуальных предпринимателей - фамилия, имя, отчество физического лица, основной государственный регистрационный номер индивидуального предпринимателя и идентификационный номер налогоплательщика, для физических лиц -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страховой номер индивидуального лицевого счета в системе индивидуального (персонифицированного) учета), а также выделенный оператором подвижной радиотелефонной связи абонентский номер (далее - номер мобильного телефона) и адрес электронной почты заявителя;</w:t>
      </w:r>
    </w:p>
    <w:p>
      <w:pPr>
        <w:pStyle w:val="0"/>
        <w:jc w:val="both"/>
      </w:pPr>
      <w:r>
        <w:rPr>
          <w:sz w:val="20"/>
        </w:rPr>
        <w:t xml:space="preserve">(пп. "а" в ред. </w:t>
      </w:r>
      <w:hyperlink w:history="0" r:id="rId564"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bookmarkStart w:id="1005" w:name="P1005"/>
    <w:bookmarkEnd w:id="1005"/>
    <w:p>
      <w:pPr>
        <w:pStyle w:val="0"/>
        <w:spacing w:before="200" w:line-rule="auto"/>
        <w:ind w:firstLine="540"/>
        <w:jc w:val="both"/>
      </w:pPr>
      <w:r>
        <w:rPr>
          <w:sz w:val="20"/>
        </w:rPr>
        <w:t xml:space="preserve">б) наименование и место нахождения энергопринимающих устройств, которые необходимо присоединить к электрическим сетям сетевой организации;</w:t>
      </w:r>
    </w:p>
    <w:bookmarkStart w:id="1006" w:name="P1006"/>
    <w:bookmarkEnd w:id="1006"/>
    <w:p>
      <w:pPr>
        <w:pStyle w:val="0"/>
        <w:spacing w:before="200" w:line-rule="auto"/>
        <w:ind w:firstLine="540"/>
        <w:jc w:val="both"/>
      </w:pPr>
      <w:r>
        <w:rPr>
          <w:sz w:val="20"/>
        </w:rPr>
        <w:t xml:space="preserve">в) место нахождения (место жительства) заявителя</w:t>
      </w:r>
    </w:p>
    <w:p>
      <w:pPr>
        <w:pStyle w:val="0"/>
        <w:jc w:val="both"/>
      </w:pPr>
      <w:r>
        <w:rPr>
          <w:sz w:val="20"/>
        </w:rPr>
        <w:t xml:space="preserve">(пп. "в" в ред. </w:t>
      </w:r>
      <w:hyperlink w:history="0" r:id="rId565"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bookmarkStart w:id="1008" w:name="P1008"/>
    <w:bookmarkEnd w:id="1008"/>
    <w:p>
      <w:pPr>
        <w:pStyle w:val="0"/>
        <w:spacing w:before="200" w:line-rule="auto"/>
        <w:ind w:firstLine="540"/>
        <w:jc w:val="both"/>
      </w:pPr>
      <w:r>
        <w:rPr>
          <w:sz w:val="20"/>
        </w:rPr>
        <w:t xml:space="preserve">г) запрашиваемая максимальная мощность энергопринимающих устройств и их технические характеристики, количество, мощность генераторов и присоединяемых к сети трансформаторов;</w:t>
      </w:r>
    </w:p>
    <w:p>
      <w:pPr>
        <w:pStyle w:val="0"/>
        <w:jc w:val="both"/>
      </w:pPr>
      <w:r>
        <w:rPr>
          <w:sz w:val="20"/>
        </w:rPr>
        <w:t xml:space="preserve">(в ред. </w:t>
      </w:r>
      <w:hyperlink w:history="0" r:id="rId566"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bookmarkStart w:id="1010" w:name="P1010"/>
    <w:bookmarkEnd w:id="1010"/>
    <w:p>
      <w:pPr>
        <w:pStyle w:val="0"/>
        <w:spacing w:before="200" w:line-rule="auto"/>
        <w:ind w:firstLine="540"/>
        <w:jc w:val="both"/>
      </w:pPr>
      <w:r>
        <w:rPr>
          <w:sz w:val="20"/>
        </w:rPr>
        <w:t xml:space="preserve">д) количество точек присоединения с указанием технических параметров элементов энергопринимающих устройств;</w:t>
      </w:r>
    </w:p>
    <w:bookmarkStart w:id="1011" w:name="P1011"/>
    <w:bookmarkEnd w:id="1011"/>
    <w:p>
      <w:pPr>
        <w:pStyle w:val="0"/>
        <w:spacing w:before="200" w:line-rule="auto"/>
        <w:ind w:firstLine="540"/>
        <w:jc w:val="both"/>
      </w:pPr>
      <w:r>
        <w:rPr>
          <w:sz w:val="20"/>
        </w:rPr>
        <w:t xml:space="preserve">е) заявляемая категория надежности энергопринимающих устройств;</w:t>
      </w:r>
    </w:p>
    <w:p>
      <w:pPr>
        <w:pStyle w:val="0"/>
        <w:jc w:val="both"/>
      </w:pPr>
      <w:r>
        <w:rPr>
          <w:sz w:val="20"/>
        </w:rPr>
        <w:t xml:space="preserve">(пп. "е" в ред. </w:t>
      </w:r>
      <w:hyperlink w:history="0" r:id="rId567" w:tooltip="Постановление Правительства РФ от 11.06.2015 N 588 (ред. от 10.03.2020, с изм. от 30.06.2022) &quot;О внесении изменений в постановление Правительства Российской Федерации от 27 декабря 2004 г. N 861&quot; {КонсультантПлюс}">
        <w:r>
          <w:rPr>
            <w:sz w:val="20"/>
            <w:color w:val="0000ff"/>
          </w:rPr>
          <w:t xml:space="preserve">Постановления</w:t>
        </w:r>
      </w:hyperlink>
      <w:r>
        <w:rPr>
          <w:sz w:val="20"/>
        </w:rPr>
        <w:t xml:space="preserve"> Правительства РФ от 11.06.2015 N 588)</w:t>
      </w:r>
    </w:p>
    <w:p>
      <w:pPr>
        <w:pStyle w:val="0"/>
        <w:spacing w:before="200" w:line-rule="auto"/>
        <w:ind w:firstLine="540"/>
        <w:jc w:val="both"/>
      </w:pPr>
      <w:r>
        <w:rPr>
          <w:sz w:val="20"/>
        </w:rPr>
        <w:t xml:space="preserve">ж) заявляемый характер нагрузки (для генераторов - возможная скорость набора или снижения нагрузки) и наличие нагрузок, искажающих форму кривой электрического тока и вызывающих несимметрию напряжения в точках присоединения;</w:t>
      </w:r>
    </w:p>
    <w:bookmarkStart w:id="1014" w:name="P1014"/>
    <w:bookmarkEnd w:id="1014"/>
    <w:p>
      <w:pPr>
        <w:pStyle w:val="0"/>
        <w:spacing w:before="200" w:line-rule="auto"/>
        <w:ind w:firstLine="540"/>
        <w:jc w:val="both"/>
      </w:pPr>
      <w:r>
        <w:rPr>
          <w:sz w:val="20"/>
        </w:rPr>
        <w:t xml:space="preserve">з) величина и обоснование величины технологического минимума (для генераторов), технологической и аварийной брони (для потребителей электрической энергии);</w:t>
      </w:r>
    </w:p>
    <w:p>
      <w:pPr>
        <w:pStyle w:val="0"/>
        <w:spacing w:before="200" w:line-rule="auto"/>
        <w:ind w:firstLine="540"/>
        <w:jc w:val="both"/>
      </w:pPr>
      <w:r>
        <w:rPr>
          <w:sz w:val="20"/>
        </w:rPr>
        <w:t xml:space="preserve">з(1)) необходимость наличия технологической и (или) аварийной брони, определяемой в соответствии с требованиями </w:t>
      </w:r>
      <w:hyperlink w:history="0" w:anchor="P1186" w:tooltip="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ым последствиям, относящихся к категориям, определенным в приложении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quot;О...">
        <w:r>
          <w:rPr>
            <w:sz w:val="20"/>
            <w:color w:val="0000ff"/>
          </w:rPr>
          <w:t xml:space="preserve">пункта 14(2)</w:t>
        </w:r>
      </w:hyperlink>
      <w:r>
        <w:rPr>
          <w:sz w:val="20"/>
        </w:rPr>
        <w:t xml:space="preserve"> настоящих Правил;</w:t>
      </w:r>
    </w:p>
    <w:p>
      <w:pPr>
        <w:pStyle w:val="0"/>
        <w:jc w:val="both"/>
      </w:pPr>
      <w:r>
        <w:rPr>
          <w:sz w:val="20"/>
        </w:rPr>
        <w:t xml:space="preserve">(пп. "з(1)" введен </w:t>
      </w:r>
      <w:hyperlink w:history="0" r:id="rId568"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Постановлением</w:t>
        </w:r>
      </w:hyperlink>
      <w:r>
        <w:rPr>
          <w:sz w:val="20"/>
        </w:rPr>
        <w:t xml:space="preserve"> Правительства РФ от 04.05.2012 N 442)</w:t>
      </w:r>
    </w:p>
    <w:bookmarkStart w:id="1017" w:name="P1017"/>
    <w:bookmarkEnd w:id="1017"/>
    <w:p>
      <w:pPr>
        <w:pStyle w:val="0"/>
        <w:spacing w:before="200" w:line-rule="auto"/>
        <w:ind w:firstLine="540"/>
        <w:jc w:val="both"/>
      </w:pPr>
      <w:r>
        <w:rPr>
          <w:sz w:val="20"/>
        </w:rPr>
        <w:t xml:space="preserve">и) сроки проектирования и поэтапного введения в эксплуатацию энергопринимающих устройств (в том числе по этапам и очередям);</w:t>
      </w:r>
    </w:p>
    <w:bookmarkStart w:id="1018" w:name="P1018"/>
    <w:bookmarkEnd w:id="1018"/>
    <w:p>
      <w:pPr>
        <w:pStyle w:val="0"/>
        <w:spacing w:before="200" w:line-rule="auto"/>
        <w:ind w:firstLine="540"/>
        <w:jc w:val="both"/>
      </w:pPr>
      <w:r>
        <w:rPr>
          <w:sz w:val="20"/>
        </w:rPr>
        <w:t xml:space="preserve">и(1)) этапы введения в эксплуатацию энергопринимающих устройств в случаях, если их технологическое присоединение осуществляется при строительстве, реконструкции объектов капитального строительства жилого, общественно-делового назначения и необходимых для их функционирования объектов коммунальной, транспортной, социальной инфраструктур в соответствии с утвержденным проектом планировки территории (указываются при наличии такого проекта);</w:t>
      </w:r>
    </w:p>
    <w:p>
      <w:pPr>
        <w:pStyle w:val="0"/>
        <w:jc w:val="both"/>
      </w:pPr>
      <w:r>
        <w:rPr>
          <w:sz w:val="20"/>
        </w:rPr>
        <w:t xml:space="preserve">(пп. "и(1)" введен </w:t>
      </w:r>
      <w:hyperlink w:history="0" r:id="rId569"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29.12.2021 N 2566)</w:t>
      </w:r>
    </w:p>
    <w:bookmarkStart w:id="1020" w:name="P1020"/>
    <w:bookmarkEnd w:id="1020"/>
    <w:p>
      <w:pPr>
        <w:pStyle w:val="0"/>
        <w:spacing w:before="200" w:line-rule="auto"/>
        <w:ind w:firstLine="540"/>
        <w:jc w:val="both"/>
      </w:pPr>
      <w:r>
        <w:rPr>
          <w:sz w:val="20"/>
        </w:rPr>
        <w:t xml:space="preserve">и(2)) этапы строительства, реконструкции объектов капитального строительства (в которых расположены или будут располагаться присоединяемые энергопринимающие устройства), предусмотренных проектной документацией, проектом планировки территории, разрешением на строительство (указываются при наличии таких документации, проекта или разрешения, которые утверждены, получены в установленном порядке);</w:t>
      </w:r>
    </w:p>
    <w:p>
      <w:pPr>
        <w:pStyle w:val="0"/>
        <w:jc w:val="both"/>
      </w:pPr>
      <w:r>
        <w:rPr>
          <w:sz w:val="20"/>
        </w:rPr>
        <w:t xml:space="preserve">(пп. "и(2)" введен </w:t>
      </w:r>
      <w:hyperlink w:history="0" r:id="rId570"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29.12.2021 N 2566)</w:t>
      </w:r>
    </w:p>
    <w:bookmarkStart w:id="1022" w:name="P1022"/>
    <w:bookmarkEnd w:id="1022"/>
    <w:p>
      <w:pPr>
        <w:pStyle w:val="0"/>
        <w:spacing w:before="200" w:line-rule="auto"/>
        <w:ind w:firstLine="540"/>
        <w:jc w:val="both"/>
      </w:pPr>
      <w:r>
        <w:rPr>
          <w:sz w:val="20"/>
        </w:rPr>
        <w:t xml:space="preserve">к) планируемое распределение максимальной мощности, сроков ввода, набора нагрузки и сведения о категории надежности электроснабжения при вводе энергопринимающих устройств по этапам и очередям;</w:t>
      </w:r>
    </w:p>
    <w:p>
      <w:pPr>
        <w:pStyle w:val="0"/>
        <w:jc w:val="both"/>
      </w:pPr>
      <w:r>
        <w:rPr>
          <w:sz w:val="20"/>
        </w:rPr>
        <w:t xml:space="preserve">(в ред. Постановлений Правительства РФ от 04.05.2012 </w:t>
      </w:r>
      <w:hyperlink w:history="0" r:id="rId571"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N 442</w:t>
        </w:r>
      </w:hyperlink>
      <w:r>
        <w:rPr>
          <w:sz w:val="20"/>
        </w:rPr>
        <w:t xml:space="preserve">, от 20.02.2014 </w:t>
      </w:r>
      <w:hyperlink w:history="0" r:id="rId572"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sz w:val="20"/>
            <w:color w:val="0000ff"/>
          </w:rPr>
          <w:t xml:space="preserve">N 130</w:t>
        </w:r>
      </w:hyperlink>
      <w:r>
        <w:rPr>
          <w:sz w:val="20"/>
        </w:rPr>
        <w:t xml:space="preserve">)</w:t>
      </w:r>
    </w:p>
    <w:bookmarkStart w:id="1024" w:name="P1024"/>
    <w:bookmarkEnd w:id="1024"/>
    <w:p>
      <w:pPr>
        <w:pStyle w:val="0"/>
        <w:spacing w:before="200" w:line-rule="auto"/>
        <w:ind w:firstLine="540"/>
        <w:jc w:val="both"/>
      </w:pPr>
      <w:r>
        <w:rPr>
          <w:sz w:val="20"/>
        </w:rPr>
        <w:t xml:space="preserve">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w:t>
      </w:r>
    </w:p>
    <w:p>
      <w:pPr>
        <w:pStyle w:val="0"/>
        <w:jc w:val="both"/>
      </w:pPr>
      <w:r>
        <w:rPr>
          <w:sz w:val="20"/>
        </w:rPr>
        <w:t xml:space="preserve">(пп. "л" в ред. </w:t>
      </w:r>
      <w:hyperlink w:history="0" r:id="rId573" w:tooltip="Постановление Правительства РФ от 22.02.2016 N 128 &quot;О внесении изменений в некоторые акты Правительства Российской Федерации по вопросам взаимодействия субъектов розничных рынков электрической энергии при заключении договоров энергоснабжения (купли-продажи (поставки) электрической энергии (мощности) с потребителям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Постановления</w:t>
        </w:r>
      </w:hyperlink>
      <w:r>
        <w:rPr>
          <w:sz w:val="20"/>
        </w:rPr>
        <w:t xml:space="preserve"> Правительства РФ от 22.02.2016 N 128)</w:t>
      </w:r>
    </w:p>
    <w:p>
      <w:pPr>
        <w:pStyle w:val="0"/>
        <w:spacing w:before="200" w:line-rule="auto"/>
        <w:ind w:firstLine="540"/>
        <w:jc w:val="both"/>
      </w:pPr>
      <w:r>
        <w:rPr>
          <w:sz w:val="20"/>
        </w:rPr>
        <w:t xml:space="preserve">В случае наличия у заявителя договора, обеспечивающего продажу электрической энергии (мощности) на розничном рынке, в рамках которого заявителем предполагается осуществление энергоснабжения энергопринимающих устройств, в отношении которых подается заявка, в заявке указываются наименование субъекта розничного рынка, номер и дата указанного договора.</w:t>
      </w:r>
    </w:p>
    <w:p>
      <w:pPr>
        <w:pStyle w:val="0"/>
        <w:jc w:val="both"/>
      </w:pPr>
      <w:r>
        <w:rPr>
          <w:sz w:val="20"/>
        </w:rPr>
        <w:t xml:space="preserve">(в ред. </w:t>
      </w:r>
      <w:hyperlink w:history="0" r:id="rId574"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Постановления</w:t>
        </w:r>
      </w:hyperlink>
      <w:r>
        <w:rPr>
          <w:sz w:val="20"/>
        </w:rPr>
        <w:t xml:space="preserve"> Правительства РФ от 11.05.2017 N 557)</w:t>
      </w:r>
    </w:p>
    <w:p>
      <w:pPr>
        <w:pStyle w:val="0"/>
        <w:spacing w:before="200" w:line-rule="auto"/>
        <w:ind w:firstLine="540"/>
        <w:jc w:val="both"/>
      </w:pPr>
      <w:r>
        <w:rPr>
          <w:sz w:val="20"/>
        </w:rPr>
        <w:t xml:space="preserve">Абзац утратил силу. - </w:t>
      </w:r>
      <w:hyperlink w:history="0" r:id="rId575"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Постановление</w:t>
        </w:r>
      </w:hyperlink>
      <w:r>
        <w:rPr>
          <w:sz w:val="20"/>
        </w:rPr>
        <w:t xml:space="preserve"> Правительства РФ от 11.05.2017 N 557.</w:t>
      </w:r>
    </w:p>
    <w:p>
      <w:pPr>
        <w:pStyle w:val="0"/>
        <w:spacing w:before="200" w:line-rule="auto"/>
        <w:ind w:firstLine="540"/>
        <w:jc w:val="both"/>
      </w:pPr>
      <w:r>
        <w:rPr>
          <w:sz w:val="20"/>
        </w:rPr>
        <w:t xml:space="preserve">м) в заявке, направляемой заявителем в целях технологического присоединения объектов по производству электрической энергии атомных станций или гидроэлектростанций (в том числе гидроаккумулирующих электростанций) к объектам электросетевого хозяйства, соответствующим критериям отнесения к единой национальной (общероссийской) электрической сети, указывается (по желанию такого заявителя) предложение по предоставлению рассрочки платежа за технологическое присоединение в соответствии с </w:t>
      </w:r>
      <w:hyperlink w:history="0" w:anchor="P1345" w:tooltip="17. В случае технологического присоединения объектов, указанных в абзацах четвертом и пятом настоящего пункта и отнесенных к третьей категории надежности (по одному источнику электроснабжения), присоединяемых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сетевой организации, в которую подана заявка, составляет не более 300...">
        <w:r>
          <w:rPr>
            <w:sz w:val="20"/>
            <w:color w:val="0000ff"/>
          </w:rPr>
          <w:t xml:space="preserve">пунктом 17</w:t>
        </w:r>
      </w:hyperlink>
      <w:r>
        <w:rPr>
          <w:sz w:val="20"/>
        </w:rPr>
        <w:t xml:space="preserve"> настоящих Правил;</w:t>
      </w:r>
    </w:p>
    <w:p>
      <w:pPr>
        <w:pStyle w:val="0"/>
        <w:jc w:val="both"/>
      </w:pPr>
      <w:r>
        <w:rPr>
          <w:sz w:val="20"/>
        </w:rPr>
        <w:t xml:space="preserve">(пп. "м" введен </w:t>
      </w:r>
      <w:hyperlink w:history="0" r:id="rId576" w:tooltip="Постановление Правительства РФ от 30.11.2016 N 1265 &quot;О порядке установления платы за технологическое присоединение вновь вводимых в эксплуатацию объектов по производству электрической энергии атомных станций и гидроэлектростанций (в том числе гидроаккумулирующих электростанций) к объектам единой национальной (общероссийской) электрической сети&quot; {КонсультантПлюс}">
        <w:r>
          <w:rPr>
            <w:sz w:val="20"/>
            <w:color w:val="0000ff"/>
          </w:rPr>
          <w:t xml:space="preserve">Постановлением</w:t>
        </w:r>
      </w:hyperlink>
      <w:r>
        <w:rPr>
          <w:sz w:val="20"/>
        </w:rPr>
        <w:t xml:space="preserve"> Правительства РФ от 30.11.2016 N 1265)</w:t>
      </w:r>
    </w:p>
    <w:bookmarkStart w:id="1031" w:name="P1031"/>
    <w:bookmarkEnd w:id="1031"/>
    <w:p>
      <w:pPr>
        <w:pStyle w:val="0"/>
        <w:spacing w:before="200" w:line-rule="auto"/>
        <w:ind w:firstLine="540"/>
        <w:jc w:val="both"/>
      </w:pPr>
      <w:r>
        <w:rPr>
          <w:sz w:val="20"/>
        </w:rPr>
        <w:t xml:space="preserve">н) сведения о планируемых объемах и сроках вывода из эксплуатации существующего объекта по производству электрической энергии (мощности) заявителя, входящего в его состав оборудования - в случае технологического присоединения вновь сооружаемого объекта по производству электрической энергии (мощности) в целях замещения им другого объекта по производству электрической энергии (мощности), принадлежащего заявителю и присоединенного к электрическим сетям этой сетевой организации, реализуемых в рамках одного инвестиционного проекта.</w:t>
      </w:r>
    </w:p>
    <w:p>
      <w:pPr>
        <w:pStyle w:val="0"/>
        <w:jc w:val="both"/>
      </w:pPr>
      <w:r>
        <w:rPr>
          <w:sz w:val="20"/>
        </w:rPr>
        <w:t xml:space="preserve">(пп. "н" введен </w:t>
      </w:r>
      <w:hyperlink w:history="0" r:id="rId577"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Постановлением</w:t>
        </w:r>
      </w:hyperlink>
      <w:r>
        <w:rPr>
          <w:sz w:val="20"/>
        </w:rPr>
        <w:t xml:space="preserve"> Правительства РФ от 30.01.2021 N 86)</w:t>
      </w:r>
    </w:p>
    <w:p>
      <w:pPr>
        <w:pStyle w:val="0"/>
        <w:spacing w:before="200" w:line-rule="auto"/>
        <w:ind w:firstLine="540"/>
        <w:jc w:val="both"/>
      </w:pPr>
      <w:r>
        <w:rPr>
          <w:sz w:val="20"/>
        </w:rPr>
        <w:t xml:space="preserve">В отношении заявителей, максимальная мощность энергопринимающих устройств которых составляет свыше 670 кВт, сведения, предусмотренные </w:t>
      </w:r>
      <w:hyperlink w:history="0" w:anchor="P1024"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
        <w:r>
          <w:rPr>
            <w:sz w:val="20"/>
            <w:color w:val="0000ff"/>
          </w:rPr>
          <w:t xml:space="preserve">подпунктом "л"</w:t>
        </w:r>
      </w:hyperlink>
      <w:r>
        <w:rPr>
          <w:sz w:val="20"/>
        </w:rPr>
        <w:t xml:space="preserve"> настоящего пункта, указываются по желанию заявителя при намерении предоставить документы для заключения договора, обеспечивающего продажу электрической энергии (мощности) на розничном рынке, через сетевую организацию до завершения процедуры технологического присоединения энергопринимающих устройств заявителя к объектам электросетевого хозяйства этой организации.</w:t>
      </w:r>
    </w:p>
    <w:p>
      <w:pPr>
        <w:pStyle w:val="0"/>
        <w:jc w:val="both"/>
      </w:pPr>
      <w:r>
        <w:rPr>
          <w:sz w:val="20"/>
        </w:rPr>
        <w:t xml:space="preserve">(абзац введен </w:t>
      </w:r>
      <w:hyperlink w:history="0" r:id="rId578"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Постановлением</w:t>
        </w:r>
      </w:hyperlink>
      <w:r>
        <w:rPr>
          <w:sz w:val="20"/>
        </w:rPr>
        <w:t xml:space="preserve"> Правительства РФ от 11.05.2017 N 557)</w:t>
      </w:r>
    </w:p>
    <w:p>
      <w:pPr>
        <w:pStyle w:val="0"/>
        <w:spacing w:before="200" w:line-rule="auto"/>
        <w:ind w:firstLine="540"/>
        <w:jc w:val="both"/>
      </w:pPr>
      <w:r>
        <w:rPr>
          <w:sz w:val="20"/>
        </w:rPr>
        <w:t xml:space="preserve">При этом в случае, если заявителем, максимальная мощность энергопринимающих устройств которых составляет свыше 670 кВт, в заявке не указаны сведения, предусмотренные </w:t>
      </w:r>
      <w:hyperlink w:history="0" w:anchor="P1024"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
        <w:r>
          <w:rPr>
            <w:sz w:val="20"/>
            <w:color w:val="0000ff"/>
          </w:rPr>
          <w:t xml:space="preserve">подпунктом "л"</w:t>
        </w:r>
      </w:hyperlink>
      <w:r>
        <w:rPr>
          <w:sz w:val="20"/>
        </w:rPr>
        <w:t xml:space="preserve"> настоящего пункта, положения настоящих Правил и Основных </w:t>
      </w:r>
      <w:hyperlink w:history="0" r:id="rId579"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положений</w:t>
        </w:r>
      </w:hyperlink>
      <w:r>
        <w:rPr>
          <w:sz w:val="20"/>
        </w:rPr>
        <w:t xml:space="preserve"> функционирования розничных рынков электрической энергии, регулирующие порядок взаимодействия сетевых организаций, гарантирующих поставщиков (энергосбытовых организаций) и заявителей в процессе технологического присоединения энергопринимающих устройств, применяются в части, не регулирующей вопрос заключения договора, обеспечивающего продажу электрической энергии (мощности) на розничном рынке, до завершения мероприятий по технологическому присоединению энергопринимающих устройств заявителей.</w:t>
      </w:r>
    </w:p>
    <w:p>
      <w:pPr>
        <w:pStyle w:val="0"/>
        <w:jc w:val="both"/>
      </w:pPr>
      <w:r>
        <w:rPr>
          <w:sz w:val="20"/>
        </w:rPr>
        <w:t xml:space="preserve">(абзац введен </w:t>
      </w:r>
      <w:hyperlink w:history="0" r:id="rId580"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Постановлением</w:t>
        </w:r>
      </w:hyperlink>
      <w:r>
        <w:rPr>
          <w:sz w:val="20"/>
        </w:rPr>
        <w:t xml:space="preserve"> Правительства РФ от 11.05.2017 N 557)</w:t>
      </w:r>
    </w:p>
    <w:p>
      <w:pPr>
        <w:pStyle w:val="0"/>
        <w:spacing w:before="200" w:line-rule="auto"/>
        <w:ind w:firstLine="540"/>
        <w:jc w:val="both"/>
      </w:pPr>
      <w:r>
        <w:rPr>
          <w:sz w:val="20"/>
        </w:rPr>
        <w:t xml:space="preserve">Сетевой организацией при получении заявки посредством официального сайта такой сетевой организации (в том числе посредством переадресации на официальный сайт, обеспечивающий возможность направлять заявку и прилагаемые документы) или единого портала должна быть обеспечена возможность предоставления заявителем соответствующего требованиям Федерального </w:t>
      </w:r>
      <w:hyperlink w:history="0" r:id="rId581" w:tooltip="Федеральный закон от 27.07.2006 N 152-ФЗ (ред. от 02.07.2021) &quot;О персональных данных&quot; {КонсультантПлюс}">
        <w:r>
          <w:rPr>
            <w:sz w:val="20"/>
            <w:color w:val="0000ff"/>
          </w:rPr>
          <w:t xml:space="preserve">закона</w:t>
        </w:r>
      </w:hyperlink>
      <w:r>
        <w:rPr>
          <w:sz w:val="20"/>
        </w:rPr>
        <w:t xml:space="preserve"> "О персональных данных" согласия на обработку сетевой организацией персональных данных заявителя. Согласие на обработку персональных данных должно быть выражено заявителем вне зависимости от способа подачи заявки.</w:t>
      </w:r>
    </w:p>
    <w:p>
      <w:pPr>
        <w:pStyle w:val="0"/>
        <w:jc w:val="both"/>
      </w:pPr>
      <w:r>
        <w:rPr>
          <w:sz w:val="20"/>
        </w:rPr>
        <w:t xml:space="preserve">(в ред. </w:t>
      </w:r>
      <w:hyperlink w:history="0" r:id="rId582"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p>
      <w:pPr>
        <w:pStyle w:val="0"/>
        <w:spacing w:before="200" w:line-rule="auto"/>
        <w:ind w:firstLine="540"/>
        <w:jc w:val="both"/>
      </w:pPr>
      <w:r>
        <w:rPr>
          <w:sz w:val="20"/>
        </w:rPr>
        <w:t xml:space="preserve">9(1). Утратил силу. - </w:t>
      </w:r>
      <w:hyperlink w:history="0" r:id="rId583"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Постановление</w:t>
        </w:r>
      </w:hyperlink>
      <w:r>
        <w:rPr>
          <w:sz w:val="20"/>
        </w:rPr>
        <w:t xml:space="preserve"> Правительства РФ от 11.05.2017 N 557.</w:t>
      </w:r>
    </w:p>
    <w:bookmarkStart w:id="1040" w:name="P1040"/>
    <w:bookmarkEnd w:id="1040"/>
    <w:p>
      <w:pPr>
        <w:pStyle w:val="0"/>
        <w:spacing w:before="200" w:line-rule="auto"/>
        <w:ind w:firstLine="540"/>
        <w:jc w:val="both"/>
      </w:pPr>
      <w:r>
        <w:rPr>
          <w:sz w:val="20"/>
        </w:rPr>
        <w:t xml:space="preserve">10. К заявке прилагаются следующие документы:</w:t>
      </w:r>
    </w:p>
    <w:bookmarkStart w:id="1041" w:name="P1041"/>
    <w:bookmarkEnd w:id="1041"/>
    <w:p>
      <w:pPr>
        <w:pStyle w:val="0"/>
        <w:spacing w:before="200" w:line-rule="auto"/>
        <w:ind w:firstLine="540"/>
        <w:jc w:val="both"/>
      </w:pPr>
      <w:r>
        <w:rPr>
          <w:sz w:val="20"/>
        </w:rPr>
        <w:t xml:space="preserve">а) план расположения энергопринимающих устройств, которые необходимо присоединить к электрическим сетям сетевой организации;</w:t>
      </w:r>
    </w:p>
    <w:p>
      <w:pPr>
        <w:pStyle w:val="0"/>
        <w:spacing w:before="200" w:line-rule="auto"/>
        <w:ind w:firstLine="540"/>
        <w:jc w:val="both"/>
      </w:pPr>
      <w:r>
        <w:rPr>
          <w:sz w:val="20"/>
        </w:rPr>
        <w:t xml:space="preserve">б) однолинейная схема электрических сетей заявителя, присоединяемых к электрическим сетям сетевой организации, номинальный класс напряжения которых составляет 35 кВ и выше, с указанием возможности резервирования от собственных источников энергоснабжения (включая резервирование для собственных нужд) и возможности переключения нагрузок (генерации) по внутренним сетям заявителя;</w:t>
      </w:r>
    </w:p>
    <w:p>
      <w:pPr>
        <w:pStyle w:val="0"/>
        <w:jc w:val="both"/>
      </w:pPr>
      <w:r>
        <w:rPr>
          <w:sz w:val="20"/>
        </w:rPr>
        <w:t xml:space="preserve">(в ред. </w:t>
      </w:r>
      <w:hyperlink w:history="0" r:id="rId584"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антПлюс}">
        <w:r>
          <w:rPr>
            <w:sz w:val="20"/>
            <w:color w:val="0000ff"/>
          </w:rPr>
          <w:t xml:space="preserve">Постановления</w:t>
        </w:r>
      </w:hyperlink>
      <w:r>
        <w:rPr>
          <w:sz w:val="20"/>
        </w:rPr>
        <w:t xml:space="preserve"> Правительства РФ от 21.04.2009 N 334)</w:t>
      </w:r>
    </w:p>
    <w:p>
      <w:pPr>
        <w:pStyle w:val="0"/>
        <w:spacing w:before="200" w:line-rule="auto"/>
        <w:ind w:firstLine="540"/>
        <w:jc w:val="both"/>
      </w:pPr>
      <w:r>
        <w:rPr>
          <w:sz w:val="20"/>
        </w:rPr>
        <w:t xml:space="preserve">в) перечень и мощность энергопринимающих устройств, которые могут быть присоединены к устройствам противоаварийной и режимной автоматики;</w:t>
      </w:r>
    </w:p>
    <w:p>
      <w:pPr>
        <w:pStyle w:val="0"/>
        <w:jc w:val="both"/>
      </w:pPr>
      <w:r>
        <w:rPr>
          <w:sz w:val="20"/>
        </w:rPr>
        <w:t xml:space="preserve">(в ред. </w:t>
      </w:r>
      <w:hyperlink w:history="0" r:id="rId585"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13.08.2018 N 937)</w:t>
      </w:r>
    </w:p>
    <w:bookmarkStart w:id="1046" w:name="P1046"/>
    <w:bookmarkEnd w:id="1046"/>
    <w:p>
      <w:pPr>
        <w:pStyle w:val="0"/>
        <w:spacing w:before="200" w:line-rule="auto"/>
        <w:ind w:firstLine="540"/>
        <w:jc w:val="both"/>
      </w:pPr>
      <w:r>
        <w:rPr>
          <w:sz w:val="20"/>
        </w:rPr>
        <w:t xml:space="preserve">г) один из перечисленных ниже видов документов (за исключением случаев, предусмотренных </w:t>
      </w:r>
      <w:hyperlink w:history="0" w:anchor="P1067" w:tooltip="н) в случае подачи заявки на основании пункта 8(7) настоящих Правил - копия договора о комплексном развитии территории, а также копии утвержденных в установленных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го участка или земельных участков на кадастровом плане территории, градостроительного плана земельного участка;">
        <w:r>
          <w:rPr>
            <w:sz w:val="20"/>
            <w:color w:val="0000ff"/>
          </w:rPr>
          <w:t xml:space="preserve">подпунктами "н"</w:t>
        </w:r>
      </w:hyperlink>
      <w:r>
        <w:rPr>
          <w:sz w:val="20"/>
        </w:rPr>
        <w:t xml:space="preserve"> и </w:t>
      </w:r>
      <w:hyperlink w:history="0" w:anchor="P1069" w:tooltip="о) в случае подачи заявки на основании пункта 8(8) настоящих Правил - копии решения о предварительном согласовании предоставления земельного участка, утвержденного проекта межевания территории и (или) выданного в соответствии с частью 1.1 статьи 57.3 Градостроительного кодекса Российской Федерации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случае под...">
        <w:r>
          <w:rPr>
            <w:sz w:val="20"/>
            <w:color w:val="0000ff"/>
          </w:rPr>
          <w:t xml:space="preserve">"о"</w:t>
        </w:r>
      </w:hyperlink>
      <w:r>
        <w:rPr>
          <w:sz w:val="20"/>
        </w:rPr>
        <w:t xml:space="preserve"> настоящего пункта):</w:t>
      </w:r>
    </w:p>
    <w:p>
      <w:pPr>
        <w:pStyle w:val="0"/>
        <w:spacing w:before="200" w:line-rule="auto"/>
        <w:ind w:firstLine="540"/>
        <w:jc w:val="both"/>
      </w:pPr>
      <w:r>
        <w:rPr>
          <w:sz w:val="20"/>
        </w:rPr>
        <w:t xml:space="preserve">копии документов, подтверждающих владение заявителем на праве собственности или на ином предусмотренном законом основании объектом капитального строительства (нежилым помещением в таком объекте капитального строительства) и (или) земельном участком, на котором расположены (будут располагаться) энергопринимающие устройства заявителя;</w:t>
      </w:r>
    </w:p>
    <w:p>
      <w:pPr>
        <w:pStyle w:val="0"/>
        <w:spacing w:before="200" w:line-rule="auto"/>
        <w:ind w:firstLine="540"/>
        <w:jc w:val="both"/>
      </w:pPr>
      <w:r>
        <w:rPr>
          <w:sz w:val="20"/>
        </w:rPr>
        <w:t xml:space="preserve">копия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в целях размещения энергопринимающих устройств заявителя (с указанием сведений о границах используемой территории);</w:t>
      </w:r>
    </w:p>
    <w:p>
      <w:pPr>
        <w:pStyle w:val="0"/>
        <w:spacing w:before="200" w:line-rule="auto"/>
        <w:ind w:firstLine="540"/>
        <w:jc w:val="both"/>
      </w:pPr>
      <w:r>
        <w:rPr>
          <w:sz w:val="20"/>
        </w:rPr>
        <w:t xml:space="preserve">копии документов, подтверждающих, что заявитель обладает сервитутом или публичным сервитутом, которые установлены в соответствии с гражданским законодательством Российской Федерации, земельным законодательством Российской Федерации и предусматривают возможность использования земельного участка для целей размещения энергопринимающих устройств заявителя (с указанием сведений о границах сервитута);</w:t>
      </w:r>
    </w:p>
    <w:p>
      <w:pPr>
        <w:pStyle w:val="0"/>
        <w:jc w:val="both"/>
      </w:pPr>
      <w:r>
        <w:rPr>
          <w:sz w:val="20"/>
        </w:rPr>
        <w:t xml:space="preserve">(пп. "г" в ред. </w:t>
      </w:r>
      <w:hyperlink w:history="0" r:id="rId586"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29.12.2021 N 2566)</w:t>
      </w:r>
    </w:p>
    <w:bookmarkStart w:id="1051" w:name="P1051"/>
    <w:bookmarkEnd w:id="1051"/>
    <w:p>
      <w:pPr>
        <w:pStyle w:val="0"/>
        <w:spacing w:before="200" w:line-rule="auto"/>
        <w:ind w:firstLine="540"/>
        <w:jc w:val="both"/>
      </w:pPr>
      <w:r>
        <w:rPr>
          <w:sz w:val="20"/>
        </w:rPr>
        <w:t xml:space="preserve">д) для юридических лиц - выписка из Единого государственного реестра юридических лиц, для индивидуальных предпринимателей - выписка из Единого государственного реестра индивидуальных предпринимателей, а также доверенность или иные документы, подтверждающие полномочия представителя заявителя, подающего и получающего документы, в случае если заявка подается в сетевую организацию представителем заявителя,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p>
      <w:pPr>
        <w:pStyle w:val="0"/>
        <w:jc w:val="both"/>
      </w:pPr>
      <w:r>
        <w:rPr>
          <w:sz w:val="20"/>
        </w:rPr>
        <w:t xml:space="preserve">(пп. "д" в ред. </w:t>
      </w:r>
      <w:hyperlink w:history="0" r:id="rId587"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Постановления</w:t>
        </w:r>
      </w:hyperlink>
      <w:r>
        <w:rPr>
          <w:sz w:val="20"/>
        </w:rPr>
        <w:t xml:space="preserve"> Правительства РФ от 11.05.2017 N 557)</w:t>
      </w:r>
    </w:p>
    <w:p>
      <w:pPr>
        <w:pStyle w:val="0"/>
        <w:spacing w:before="200" w:line-rule="auto"/>
        <w:ind w:firstLine="540"/>
        <w:jc w:val="both"/>
      </w:pPr>
      <w:r>
        <w:rPr>
          <w:sz w:val="20"/>
        </w:rPr>
        <w:t xml:space="preserve">д(1)) в случае подачи заявки очно или почтой - заполненное согласие на обработку персональных данных, соответствующее требованиям Федерального </w:t>
      </w:r>
      <w:hyperlink w:history="0" r:id="rId588" w:tooltip="Федеральный закон от 27.07.2006 N 152-ФЗ (ред. от 02.07.2021) &quot;О персональных данных&quot; {КонсультантПлюс}">
        <w:r>
          <w:rPr>
            <w:sz w:val="20"/>
            <w:color w:val="0000ff"/>
          </w:rPr>
          <w:t xml:space="preserve">закона</w:t>
        </w:r>
      </w:hyperlink>
      <w:r>
        <w:rPr>
          <w:sz w:val="20"/>
        </w:rPr>
        <w:t xml:space="preserve"> "О персональных данных";</w:t>
      </w:r>
    </w:p>
    <w:p>
      <w:pPr>
        <w:pStyle w:val="0"/>
        <w:jc w:val="both"/>
      </w:pPr>
      <w:r>
        <w:rPr>
          <w:sz w:val="20"/>
        </w:rPr>
        <w:t xml:space="preserve">(пп. "д(1)" в ред. </w:t>
      </w:r>
      <w:hyperlink w:history="0" r:id="rId589"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p>
      <w:pPr>
        <w:pStyle w:val="0"/>
        <w:spacing w:before="200" w:line-rule="auto"/>
        <w:ind w:firstLine="540"/>
        <w:jc w:val="both"/>
      </w:pPr>
      <w:r>
        <w:rPr>
          <w:sz w:val="20"/>
        </w:rPr>
        <w:t xml:space="preserve">е) утратил силу. - </w:t>
      </w:r>
      <w:hyperlink w:history="0" r:id="rId590"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sz w:val="20"/>
            <w:color w:val="0000ff"/>
          </w:rPr>
          <w:t xml:space="preserve">Постановление</w:t>
        </w:r>
      </w:hyperlink>
      <w:r>
        <w:rPr>
          <w:sz w:val="20"/>
        </w:rPr>
        <w:t xml:space="preserve"> Правительства РФ от 24.09.2010 N 759;</w:t>
      </w:r>
    </w:p>
    <w:p>
      <w:pPr>
        <w:pStyle w:val="0"/>
        <w:spacing w:before="200" w:line-rule="auto"/>
        <w:ind w:firstLine="540"/>
        <w:jc w:val="both"/>
      </w:pPr>
      <w:r>
        <w:rPr>
          <w:sz w:val="20"/>
        </w:rPr>
        <w:t xml:space="preserve">ж) в случае технологического присоединения энергопринимающих устройств, указанных в </w:t>
      </w:r>
      <w:hyperlink w:history="0" w:anchor="P978" w:tooltip="8(4). В случае технологического присоединения энергопринимающих устройств, находящихся в нежилых помещениях, расположенных в многоквартирных домах и иных объектах капитального строительства, заявка на технологическое присоединение энергопринимающих устройств подается в сетевую организацию, к объектам электросетевого хозяйства которой присоединен соответствующий многоквартирный дом или иной объект капитального строительства, собственником такого нежилого помещения или лицом, обладающим иным законным право...">
        <w:r>
          <w:rPr>
            <w:sz w:val="20"/>
            <w:color w:val="0000ff"/>
          </w:rPr>
          <w:t xml:space="preserve">абзаце первом пункта 8(4)</w:t>
        </w:r>
      </w:hyperlink>
      <w:r>
        <w:rPr>
          <w:sz w:val="20"/>
        </w:rPr>
        <w:t xml:space="preserve"> настоящих Правил, копия документа, подтверждающего согласие организации, осуществляющей управление многоквартирным домом, при наличии у такой организации соответствующих полномочий либо при ее отсутствии или отсутствии у нее полномочий согласие общего собрания собственников помещений многоквартирного дома на организацию присоединения нежилого помещения отдельными линиями от вводного устройства (вводно-распределительного устройства, главного распределительного щита), установленного на вводе питающей линии сетевой организации в соответствующее здание или его обособленную часть (если для соответствующего нежилого помещения проектом на многоквартирный дом не предусмотрено индивидуальное вводно-распределительное устройство с непосредственным присоединением к питающей линии сетевой организации);</w:t>
      </w:r>
    </w:p>
    <w:p>
      <w:pPr>
        <w:pStyle w:val="0"/>
        <w:jc w:val="both"/>
      </w:pPr>
      <w:r>
        <w:rPr>
          <w:sz w:val="20"/>
        </w:rPr>
        <w:t xml:space="preserve">(пп. "ж" введен </w:t>
      </w:r>
      <w:hyperlink w:history="0" r:id="rId591" w:tooltip="Постановление Правительства РФ от 12.10.2013 N 915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12.10.2013 N 915; в ред. </w:t>
      </w:r>
      <w:hyperlink w:history="0" r:id="rId592"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29.12.2021 N 2566)</w:t>
      </w:r>
    </w:p>
    <w:p>
      <w:pPr>
        <w:pStyle w:val="0"/>
        <w:spacing w:before="200" w:line-rule="auto"/>
        <w:ind w:firstLine="540"/>
        <w:jc w:val="both"/>
      </w:pPr>
      <w:r>
        <w:rPr>
          <w:sz w:val="20"/>
        </w:rPr>
        <w:t xml:space="preserve">з) утратил силу. - </w:t>
      </w:r>
      <w:hyperlink w:history="0" r:id="rId593" w:tooltip="Постановление Правительства РФ от 09.10.2021 N 1711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09.10.2021 N 1711;</w:t>
      </w:r>
    </w:p>
    <w:p>
      <w:pPr>
        <w:pStyle w:val="0"/>
        <w:spacing w:before="200" w:line-rule="auto"/>
        <w:ind w:firstLine="540"/>
        <w:jc w:val="both"/>
      </w:pPr>
      <w:r>
        <w:rPr>
          <w:sz w:val="20"/>
        </w:rPr>
        <w:t xml:space="preserve">з(1)) утратил силу. - </w:t>
      </w:r>
      <w:hyperlink w:history="0" r:id="rId594"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30.06.2022 N 1178;</w:t>
      </w:r>
    </w:p>
    <w:p>
      <w:pPr>
        <w:pStyle w:val="0"/>
        <w:spacing w:before="200" w:line-rule="auto"/>
        <w:ind w:firstLine="540"/>
        <w:jc w:val="both"/>
      </w:pPr>
      <w:r>
        <w:rPr>
          <w:sz w:val="20"/>
        </w:rPr>
        <w:t xml:space="preserve">и)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history="0" r:id="rId595"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пунктом 33</w:t>
        </w:r>
      </w:hyperlink>
      <w:r>
        <w:rPr>
          <w:sz w:val="20"/>
        </w:rPr>
        <w:t xml:space="preserve"> Основных положений функционирования розничных рынков электрической энергии (предоставляется по желанию заявителя при намерении заключить договор энергоснабжения (купли-продажи (поставки) электрической энергии (мощности) с гарантирующим поставщиком), с приложением документов, подтверждающих полномочия представителя заявителя на заключение такого договора;</w:t>
      </w:r>
    </w:p>
    <w:p>
      <w:pPr>
        <w:pStyle w:val="0"/>
        <w:jc w:val="both"/>
      </w:pPr>
      <w:r>
        <w:rPr>
          <w:sz w:val="20"/>
        </w:rPr>
        <w:t xml:space="preserve">(в ред. Постановлений Правительства РФ от 11.05.2017 </w:t>
      </w:r>
      <w:hyperlink w:history="0" r:id="rId596"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N 557</w:t>
        </w:r>
      </w:hyperlink>
      <w:r>
        <w:rPr>
          <w:sz w:val="20"/>
        </w:rPr>
        <w:t xml:space="preserve">, от 01.04.2020 </w:t>
      </w:r>
      <w:hyperlink w:history="0" r:id="rId597"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N 403</w:t>
        </w:r>
      </w:hyperlink>
      <w:r>
        <w:rPr>
          <w:sz w:val="20"/>
        </w:rPr>
        <w:t xml:space="preserve">)</w:t>
      </w:r>
    </w:p>
    <w:bookmarkStart w:id="1062" w:name="P1062"/>
    <w:bookmarkEnd w:id="1062"/>
    <w:p>
      <w:pPr>
        <w:pStyle w:val="0"/>
        <w:spacing w:before="200" w:line-rule="auto"/>
        <w:ind w:firstLine="540"/>
        <w:jc w:val="both"/>
      </w:pPr>
      <w:r>
        <w:rPr>
          <w:sz w:val="20"/>
        </w:rPr>
        <w:t xml:space="preserve">к) в случае технологического присоединения объекта по производству электрической энергии максимальной мощностью более 5 МВт или энергопринимающих устройств максимальной мощностью более 50 МВт схема выдачи мощности или схема внешнего электроснабжения соответственно, разработанная заявителем и согласованная им с сетевой организацией и субъектом оперативно-диспетчерского управления в электроэнергетике в соответствии с правилами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электрической энергии и методическими указаниями по проектированию развития энергосистем,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pPr>
        <w:pStyle w:val="0"/>
        <w:jc w:val="both"/>
      </w:pPr>
      <w:r>
        <w:rPr>
          <w:sz w:val="20"/>
        </w:rPr>
        <w:t xml:space="preserve">(пп. "к" введен </w:t>
      </w:r>
      <w:hyperlink w:history="0" r:id="rId598"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13.08.2018 N 937)</w:t>
      </w:r>
    </w:p>
    <w:p>
      <w:pPr>
        <w:pStyle w:val="0"/>
        <w:spacing w:before="200" w:line-rule="auto"/>
        <w:ind w:firstLine="540"/>
        <w:jc w:val="both"/>
      </w:pPr>
      <w:r>
        <w:rPr>
          <w:sz w:val="20"/>
        </w:rPr>
        <w:t xml:space="preserve">л) утратил силу. - </w:t>
      </w:r>
      <w:hyperlink w:history="0" r:id="rId599"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30.06.2022 N 1178;</w:t>
      </w:r>
    </w:p>
    <w:p>
      <w:pPr>
        <w:pStyle w:val="0"/>
        <w:spacing w:before="200" w:line-rule="auto"/>
        <w:ind w:firstLine="540"/>
        <w:jc w:val="both"/>
      </w:pPr>
      <w:r>
        <w:rPr>
          <w:sz w:val="20"/>
        </w:rPr>
        <w:t xml:space="preserve">м) копия решения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(мощности) из эксплуатации - в случае если вывод из эксплуатации принадлежащего заявителю объекта по производству электрической энергии (мощности) осуществляется в целях его замещения присоединяемым к электрическим сетям объектом по производству электрической энергии (мощности), указанным в заявке, строительство (реконструкция) которого также выполняются заявителем, и указанное решение уполномоченного федерального органа исполнительной власти получено до подачи в сетевую организацию заявки на технологическое присоединение замещающего объекта;</w:t>
      </w:r>
    </w:p>
    <w:p>
      <w:pPr>
        <w:pStyle w:val="0"/>
        <w:jc w:val="both"/>
      </w:pPr>
      <w:r>
        <w:rPr>
          <w:sz w:val="20"/>
        </w:rPr>
        <w:t xml:space="preserve">(пп. "м" введен </w:t>
      </w:r>
      <w:hyperlink w:history="0" r:id="rId600"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Постановлением</w:t>
        </w:r>
      </w:hyperlink>
      <w:r>
        <w:rPr>
          <w:sz w:val="20"/>
        </w:rPr>
        <w:t xml:space="preserve"> Правительства РФ от 30.01.2021 N 86)</w:t>
      </w:r>
    </w:p>
    <w:bookmarkStart w:id="1067" w:name="P1067"/>
    <w:bookmarkEnd w:id="1067"/>
    <w:p>
      <w:pPr>
        <w:pStyle w:val="0"/>
        <w:spacing w:before="200" w:line-rule="auto"/>
        <w:ind w:firstLine="540"/>
        <w:jc w:val="both"/>
      </w:pPr>
      <w:r>
        <w:rPr>
          <w:sz w:val="20"/>
        </w:rPr>
        <w:t xml:space="preserve">н) в случае подачи заявки на основании </w:t>
      </w:r>
      <w:hyperlink w:history="0" w:anchor="P987" w:tooltip="8(7). В целях технологического присоединения энергопринимающих устройств, которые находятся или будут находиться в объектах капитального строительства, подлежащих строительству или реконструкции при комплексном развитии территории, лицом, с которым в соответствии с Градостроительным кодексом Российской Федерации заключен договор о комплексном развитии соответствующей территории, подается единая заявка на технологическое присоединение (в отношении всех указанных энергопринимающих устройств) в соответствии...">
        <w:r>
          <w:rPr>
            <w:sz w:val="20"/>
            <w:color w:val="0000ff"/>
          </w:rPr>
          <w:t xml:space="preserve">пункта 8(7)</w:t>
        </w:r>
      </w:hyperlink>
      <w:r>
        <w:rPr>
          <w:sz w:val="20"/>
        </w:rPr>
        <w:t xml:space="preserve"> настоящих Правил - копия договора о комплексном развитии территории, а также копии утвержденных в установленных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земельного участка или земельных участков на кадастровом плане территории, градостроительного плана земельного участка;</w:t>
      </w:r>
    </w:p>
    <w:p>
      <w:pPr>
        <w:pStyle w:val="0"/>
        <w:jc w:val="both"/>
      </w:pPr>
      <w:r>
        <w:rPr>
          <w:sz w:val="20"/>
        </w:rPr>
        <w:t xml:space="preserve">(пп. "н" введен </w:t>
      </w:r>
      <w:hyperlink w:history="0" r:id="rId601"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29.12.2021 N 2566)</w:t>
      </w:r>
    </w:p>
    <w:bookmarkStart w:id="1069" w:name="P1069"/>
    <w:bookmarkEnd w:id="1069"/>
    <w:p>
      <w:pPr>
        <w:pStyle w:val="0"/>
        <w:spacing w:before="200" w:line-rule="auto"/>
        <w:ind w:firstLine="540"/>
        <w:jc w:val="both"/>
      </w:pPr>
      <w:r>
        <w:rPr>
          <w:sz w:val="20"/>
        </w:rPr>
        <w:t xml:space="preserve">о) в случае подачи заявки на основании </w:t>
      </w:r>
      <w:hyperlink w:history="0" w:anchor="P991" w:tooltip="8(8). В целях технологического присоединения энергопринимающих устройств при строительстве объектов федерального значения, объектов регионального значения, объектов местного значения в случаях, предусмотренных частями 1.1 и 1.2 статьи 48, частью 7.3 статьи 51 Градостроительного кодекса Российской Федерации, при отсутствии правоустанавливающих документов на земельный участок заявка может быть подана федеральным органом исполнительной власти, органом исполнительной власти субъекта Российской Федерации, орг...">
        <w:r>
          <w:rPr>
            <w:sz w:val="20"/>
            <w:color w:val="0000ff"/>
          </w:rPr>
          <w:t xml:space="preserve">пункта 8(8)</w:t>
        </w:r>
      </w:hyperlink>
      <w:r>
        <w:rPr>
          <w:sz w:val="20"/>
        </w:rPr>
        <w:t xml:space="preserve"> настоящих Правил - копии решения о предварительном согласовании предоставления земельного участка, утвержденного проекта межевания территории и (или) выданного в соответствии с </w:t>
      </w:r>
      <w:hyperlink w:history="0" r:id="rId602" w:tooltip="&quot;Градостроительный кодекс Российской Федерации&quot; от 29.12.2004 N 190-ФЗ (ред. от 01.05.2022) {КонсультантПлюс}">
        <w:r>
          <w:rPr>
            <w:sz w:val="20"/>
            <w:color w:val="0000ff"/>
          </w:rPr>
          <w:t xml:space="preserve">частью 1.1 статьи 57.3</w:t>
        </w:r>
      </w:hyperlink>
      <w:r>
        <w:rPr>
          <w:sz w:val="20"/>
        </w:rPr>
        <w:t xml:space="preserve"> Градостроительного кодекса Российской Федерации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случае подачи заявки юридическим лицом, созданным Российской Федерацией, субъектом Российской Федерации или муниципальным образованием, иным юридическим лицом - также копии документов, подтверждающих наличие оснований для подачи заявки в случаях, указанных в </w:t>
      </w:r>
      <w:hyperlink w:history="0" w:anchor="P993" w:tooltip="строительство, реконструкция объектов капитального строительства в рамках национального (федерального) проекта, государственной программы Российской Федерации, государственной программы субъекта Российской Федерации, муниципальной программы;">
        <w:r>
          <w:rPr>
            <w:sz w:val="20"/>
            <w:color w:val="0000ff"/>
          </w:rPr>
          <w:t xml:space="preserve">абзацах третьем</w:t>
        </w:r>
      </w:hyperlink>
      <w:r>
        <w:rPr>
          <w:sz w:val="20"/>
        </w:rPr>
        <w:t xml:space="preserve"> и </w:t>
      </w:r>
      <w:hyperlink w:history="0" w:anchor="P994" w:tooltip="строительство, реконструкция объектов капитального строительства, финансируемое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капиталах которых Российской Федерации, субъектов Российской Федерации, муниципальных образований составляет более 50 процентов.">
        <w:r>
          <w:rPr>
            <w:sz w:val="20"/>
            <w:color w:val="0000ff"/>
          </w:rPr>
          <w:t xml:space="preserve">четвертом пункта 8(8)</w:t>
        </w:r>
      </w:hyperlink>
      <w:r>
        <w:rPr>
          <w:sz w:val="20"/>
        </w:rPr>
        <w:t xml:space="preserve"> настоящих Правил);</w:t>
      </w:r>
    </w:p>
    <w:p>
      <w:pPr>
        <w:pStyle w:val="0"/>
        <w:jc w:val="both"/>
      </w:pPr>
      <w:r>
        <w:rPr>
          <w:sz w:val="20"/>
        </w:rPr>
        <w:t xml:space="preserve">(пп. "о" введен </w:t>
      </w:r>
      <w:hyperlink w:history="0" r:id="rId603"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29.12.2021 N 2566)</w:t>
      </w:r>
    </w:p>
    <w:bookmarkStart w:id="1071" w:name="P1071"/>
    <w:bookmarkEnd w:id="1071"/>
    <w:p>
      <w:pPr>
        <w:pStyle w:val="0"/>
        <w:spacing w:before="200" w:line-rule="auto"/>
        <w:ind w:firstLine="540"/>
        <w:jc w:val="both"/>
      </w:pPr>
      <w:r>
        <w:rPr>
          <w:sz w:val="20"/>
        </w:rPr>
        <w:t xml:space="preserve">п) при наличии в заявке сведений, предусмотренных </w:t>
      </w:r>
      <w:hyperlink w:history="0" w:anchor="P1018" w:tooltip="и(1)) этапы введения в эксплуатацию энергопринимающих устройств в случаях, если их технологическое присоединение осуществляется при строительстве, реконструкции объектов капитального строительства жилого, общественно-делового назначения и необходимых для их функционирования объектов коммунальной, транспортной, социальной инфраструктур в соответствии с утвержденным проектом планировки территории (указываются при наличии такого проекта);">
        <w:r>
          <w:rPr>
            <w:sz w:val="20"/>
            <w:color w:val="0000ff"/>
          </w:rPr>
          <w:t xml:space="preserve">подпунктом "и(1)" пункта 9</w:t>
        </w:r>
      </w:hyperlink>
      <w:r>
        <w:rPr>
          <w:sz w:val="20"/>
        </w:rPr>
        <w:t xml:space="preserve"> настоящих Правил, - копия утвержденного в установленном порядке проекта планировки территории;</w:t>
      </w:r>
    </w:p>
    <w:p>
      <w:pPr>
        <w:pStyle w:val="0"/>
        <w:jc w:val="both"/>
      </w:pPr>
      <w:r>
        <w:rPr>
          <w:sz w:val="20"/>
        </w:rPr>
        <w:t xml:space="preserve">(пп. "п" введен </w:t>
      </w:r>
      <w:hyperlink w:history="0" r:id="rId604"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29.12.2021 N 2566)</w:t>
      </w:r>
    </w:p>
    <w:bookmarkStart w:id="1073" w:name="P1073"/>
    <w:bookmarkEnd w:id="1073"/>
    <w:p>
      <w:pPr>
        <w:pStyle w:val="0"/>
        <w:spacing w:before="200" w:line-rule="auto"/>
        <w:ind w:firstLine="540"/>
        <w:jc w:val="both"/>
      </w:pPr>
      <w:r>
        <w:rPr>
          <w:sz w:val="20"/>
        </w:rPr>
        <w:t xml:space="preserve">р) при наличии в заявке сведений, предусмотренных </w:t>
      </w:r>
      <w:hyperlink w:history="0" w:anchor="P1020" w:tooltip="и(2)) этапы строительства, реконструкции объектов капитального строительства (в которых расположены или будут располагаться присоединяемые энергопринимающие устройства), предусмотренных проектной документацией, проектом планировки территории, разрешением на строительство (указываются при наличии таких документации, проекта или разрешения, которые утверждены, получены в установленном порядке);">
        <w:r>
          <w:rPr>
            <w:sz w:val="20"/>
            <w:color w:val="0000ff"/>
          </w:rPr>
          <w:t xml:space="preserve">подпунктом "и(2)" пункта 9</w:t>
        </w:r>
      </w:hyperlink>
      <w:r>
        <w:rPr>
          <w:sz w:val="20"/>
        </w:rPr>
        <w:t xml:space="preserve"> настоящих Правил, - копии проектной документации, либо проекта планировки территории, либо разрешения на строительство, предусматривающих этапы строительства, реконструкции объектов капитального строительства;</w:t>
      </w:r>
    </w:p>
    <w:p>
      <w:pPr>
        <w:pStyle w:val="0"/>
        <w:jc w:val="both"/>
      </w:pPr>
      <w:r>
        <w:rPr>
          <w:sz w:val="20"/>
        </w:rPr>
        <w:t xml:space="preserve">(пп. "р" введен </w:t>
      </w:r>
      <w:hyperlink w:history="0" r:id="rId605"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29.12.2021 N 2566)</w:t>
      </w:r>
    </w:p>
    <w:p>
      <w:pPr>
        <w:pStyle w:val="0"/>
        <w:spacing w:before="200" w:line-rule="auto"/>
        <w:ind w:firstLine="540"/>
        <w:jc w:val="both"/>
      </w:pPr>
      <w:r>
        <w:rPr>
          <w:sz w:val="20"/>
        </w:rPr>
        <w:t xml:space="preserve">с) в случае технологического присоединения энергопринимающих устройств при строительстве, реконструкции объектов капитального строительства - копия утвержденной в установленном порядке комплексной схемы инженерного обеспечения территории, на которой планируется осуществлять строительство, реконструкцию (при наличии).</w:t>
      </w:r>
    </w:p>
    <w:p>
      <w:pPr>
        <w:pStyle w:val="0"/>
        <w:jc w:val="both"/>
      </w:pPr>
      <w:r>
        <w:rPr>
          <w:sz w:val="20"/>
        </w:rPr>
        <w:t xml:space="preserve">(пп. "с" введен </w:t>
      </w:r>
      <w:hyperlink w:history="0" r:id="rId606"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29.12.2021 N 2566)</w:t>
      </w:r>
    </w:p>
    <w:bookmarkStart w:id="1077" w:name="P1077"/>
    <w:bookmarkEnd w:id="1077"/>
    <w:p>
      <w:pPr>
        <w:pStyle w:val="0"/>
        <w:spacing w:before="200" w:line-rule="auto"/>
        <w:ind w:firstLine="540"/>
        <w:jc w:val="both"/>
      </w:pPr>
      <w:r>
        <w:rPr>
          <w:sz w:val="20"/>
        </w:rPr>
        <w:t xml:space="preserve">10(1). В случае если с заявкой для целей реализации программы реновации жилищного фонда в городе Москве обратился Московский фонд реновации жилой застройки, к заявке при отсутствии документа, подтверждающего права на земельный участок, предусмотренного </w:t>
      </w:r>
      <w:hyperlink w:history="0" w:anchor="P1046" w:tooltip="г) один из перечисленных ниже видов документов (за исключением случаев, предусмотренных подпунктами &quot;н&quot; и &quot;о&quot; настоящего пункта):">
        <w:r>
          <w:rPr>
            <w:sz w:val="20"/>
            <w:color w:val="0000ff"/>
          </w:rPr>
          <w:t xml:space="preserve">подпунктом "г" пункта 10</w:t>
        </w:r>
      </w:hyperlink>
      <w:r>
        <w:rPr>
          <w:sz w:val="20"/>
        </w:rPr>
        <w:t xml:space="preserve"> настоящих Правил, прилагается копия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w:t>
      </w:r>
    </w:p>
    <w:p>
      <w:pPr>
        <w:pStyle w:val="0"/>
        <w:jc w:val="both"/>
      </w:pPr>
      <w:r>
        <w:rPr>
          <w:sz w:val="20"/>
        </w:rPr>
        <w:t xml:space="preserve">(п. 10(1) введен </w:t>
      </w:r>
      <w:hyperlink w:history="0" r:id="rId607" w:tooltip="Постановление Правительства РФ от 12.04.2018 N 448 (ред. от 30.11.202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12.04.2018 N 448)</w:t>
      </w:r>
    </w:p>
    <w:p>
      <w:pPr>
        <w:pStyle w:val="0"/>
        <w:spacing w:before="200" w:line-rule="auto"/>
        <w:ind w:firstLine="540"/>
        <w:jc w:val="both"/>
      </w:pPr>
      <w:r>
        <w:rPr>
          <w:sz w:val="20"/>
        </w:rPr>
        <w:t xml:space="preserve">11. Сетевая организация не вправе требовать представления сведений и документов, не предусмотренных настоящими Правилами, а заявитель не обязан представлять сведения и документы, не предусмотренные настоящими Правилами.</w:t>
      </w:r>
    </w:p>
    <w:p>
      <w:pPr>
        <w:pStyle w:val="0"/>
        <w:jc w:val="both"/>
      </w:pPr>
      <w:r>
        <w:rPr>
          <w:sz w:val="20"/>
        </w:rPr>
        <w:t xml:space="preserve">(п. 11 в ред. </w:t>
      </w:r>
      <w:hyperlink w:history="0" r:id="rId608"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антПлюс}">
        <w:r>
          <w:rPr>
            <w:sz w:val="20"/>
            <w:color w:val="0000ff"/>
          </w:rPr>
          <w:t xml:space="preserve">Постановления</w:t>
        </w:r>
      </w:hyperlink>
      <w:r>
        <w:rPr>
          <w:sz w:val="20"/>
        </w:rPr>
        <w:t xml:space="preserve"> Правительства РФ от 21.04.2009 N 334)</w:t>
      </w:r>
    </w:p>
    <w:bookmarkStart w:id="1081" w:name="P1081"/>
    <w:bookmarkEnd w:id="1081"/>
    <w:p>
      <w:pPr>
        <w:pStyle w:val="0"/>
        <w:spacing w:before="200" w:line-rule="auto"/>
        <w:ind w:firstLine="540"/>
        <w:jc w:val="both"/>
      </w:pPr>
      <w:r>
        <w:rPr>
          <w:sz w:val="20"/>
        </w:rPr>
        <w:t xml:space="preserve">12. В заявке, направляемой заявителем - юридическим лицом или индивидуальным предпринимателем, максимальная мощность энергопринимающих устройств которых составляет свыше 150 кВт и менее 670 кВт, должны быть указаны:</w:t>
      </w:r>
    </w:p>
    <w:p>
      <w:pPr>
        <w:pStyle w:val="0"/>
        <w:jc w:val="both"/>
      </w:pPr>
      <w:r>
        <w:rPr>
          <w:sz w:val="20"/>
        </w:rPr>
        <w:t xml:space="preserve">(в ред. Постановлений Правительства РФ от 04.05.2012 </w:t>
      </w:r>
      <w:hyperlink w:history="0" r:id="rId609"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N 442</w:t>
        </w:r>
      </w:hyperlink>
      <w:r>
        <w:rPr>
          <w:sz w:val="20"/>
        </w:rPr>
        <w:t xml:space="preserve">, от 26.08.2013 </w:t>
      </w:r>
      <w:hyperlink w:history="0" r:id="rId610" w:tooltip="Постановление Правительства РФ от 26.08.2013 N 737 (ред. от 10.03.2020) &quot;О внесении изменений в некоторые акты Правительства Российской Федерации по вопросу осуществления временного технологического присоединения к электрическим сетям&quot; {КонсультантПлюс}">
        <w:r>
          <w:rPr>
            <w:sz w:val="20"/>
            <w:color w:val="0000ff"/>
          </w:rPr>
          <w:t xml:space="preserve">N 737</w:t>
        </w:r>
      </w:hyperlink>
      <w:r>
        <w:rPr>
          <w:sz w:val="20"/>
        </w:rPr>
        <w:t xml:space="preserve">)</w:t>
      </w:r>
    </w:p>
    <w:p>
      <w:pPr>
        <w:pStyle w:val="0"/>
        <w:spacing w:before="200" w:line-rule="auto"/>
        <w:ind w:firstLine="540"/>
        <w:jc w:val="both"/>
      </w:pPr>
      <w:r>
        <w:rPr>
          <w:sz w:val="20"/>
        </w:rPr>
        <w:t xml:space="preserve">а) сведения, указанные в </w:t>
      </w:r>
      <w:hyperlink w:history="0" w:anchor="P1003" w:tooltip="а)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я индивидуальных предпринимателей - фамилия, имя, отчество физического лица, основной государственный регистрационный номер индивидуального предпринимателя и идентификационный номер налогоплательщика, для физических лиц - фамилия, имя, отчество (при наличии), серия, номер и дата выдачи паспорта или иного документа, удостоверяющего личность гражда...">
        <w:r>
          <w:rPr>
            <w:sz w:val="20"/>
            <w:color w:val="0000ff"/>
          </w:rPr>
          <w:t xml:space="preserve">подпунктах "а"</w:t>
        </w:r>
      </w:hyperlink>
      <w:r>
        <w:rPr>
          <w:sz w:val="20"/>
        </w:rPr>
        <w:t xml:space="preserve"> - </w:t>
      </w:r>
      <w:hyperlink w:history="0" w:anchor="P1006" w:tooltip="в) место нахождения (место жительства) заявителя">
        <w:r>
          <w:rPr>
            <w:sz w:val="20"/>
            <w:color w:val="0000ff"/>
          </w:rPr>
          <w:t xml:space="preserve">"в"</w:t>
        </w:r>
      </w:hyperlink>
      <w:r>
        <w:rPr>
          <w:sz w:val="20"/>
        </w:rPr>
        <w:t xml:space="preserve">, </w:t>
      </w:r>
      <w:hyperlink w:history="0" w:anchor="P1010" w:tooltip="д) количество точек присоединения с указанием технических параметров элементов энергопринимающих устройств;">
        <w:r>
          <w:rPr>
            <w:sz w:val="20"/>
            <w:color w:val="0000ff"/>
          </w:rPr>
          <w:t xml:space="preserve">"д"</w:t>
        </w:r>
      </w:hyperlink>
      <w:r>
        <w:rPr>
          <w:sz w:val="20"/>
        </w:rPr>
        <w:t xml:space="preserve">, </w:t>
      </w:r>
      <w:hyperlink w:history="0" w:anchor="P1011" w:tooltip="е) заявляемая категория надежности энергопринимающих устройств;">
        <w:r>
          <w:rPr>
            <w:sz w:val="20"/>
            <w:color w:val="0000ff"/>
          </w:rPr>
          <w:t xml:space="preserve">"е"</w:t>
        </w:r>
      </w:hyperlink>
      <w:r>
        <w:rPr>
          <w:sz w:val="20"/>
        </w:rPr>
        <w:t xml:space="preserve"> и </w:t>
      </w:r>
      <w:hyperlink w:history="0" w:anchor="P1017" w:tooltip="и) сроки проектирования и поэтапного введения в эксплуатацию энергопринимающих устройств (в том числе по этапам и очередям);">
        <w:r>
          <w:rPr>
            <w:sz w:val="20"/>
            <w:color w:val="0000ff"/>
          </w:rPr>
          <w:t xml:space="preserve">"и"</w:t>
        </w:r>
      </w:hyperlink>
      <w:r>
        <w:rPr>
          <w:sz w:val="20"/>
        </w:rPr>
        <w:t xml:space="preserve"> - </w:t>
      </w:r>
      <w:hyperlink w:history="0" w:anchor="P1024"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
        <w:r>
          <w:rPr>
            <w:sz w:val="20"/>
            <w:color w:val="0000ff"/>
          </w:rPr>
          <w:t xml:space="preserve">"л" пункта 9</w:t>
        </w:r>
      </w:hyperlink>
      <w:r>
        <w:rPr>
          <w:sz w:val="20"/>
        </w:rPr>
        <w:t xml:space="preserve"> настоящих Правил;</w:t>
      </w:r>
    </w:p>
    <w:p>
      <w:pPr>
        <w:pStyle w:val="0"/>
        <w:jc w:val="both"/>
      </w:pPr>
      <w:r>
        <w:rPr>
          <w:sz w:val="20"/>
        </w:rPr>
        <w:t xml:space="preserve">(пп. "а" в ред. </w:t>
      </w:r>
      <w:hyperlink w:history="0" r:id="rId611" w:tooltip="Постановление Правительства РФ от 10.02.2014 N 95 &quot;О внесении изменений в акты Правительства Российской Федерации в части обязанности гарантирующих поставщиков заключить договор энергоснабжения (купли-продажи (поставки) электрической энергии (мощности)) с потребителям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Постановления</w:t>
        </w:r>
      </w:hyperlink>
      <w:r>
        <w:rPr>
          <w:sz w:val="20"/>
        </w:rPr>
        <w:t xml:space="preserve"> Правительства РФ от 10.02.2014 N 95)</w:t>
      </w:r>
    </w:p>
    <w:p>
      <w:pPr>
        <w:pStyle w:val="0"/>
        <w:spacing w:before="200" w:line-rule="auto"/>
        <w:ind w:firstLine="540"/>
        <w:jc w:val="both"/>
      </w:pPr>
      <w:r>
        <w:rPr>
          <w:sz w:val="20"/>
        </w:rPr>
        <w:t xml:space="preserve">б) запрашиваемая максимальная мощность энергопринимающих устройств заявителя;</w:t>
      </w:r>
    </w:p>
    <w:p>
      <w:pPr>
        <w:pStyle w:val="0"/>
        <w:jc w:val="both"/>
      </w:pPr>
      <w:r>
        <w:rPr>
          <w:sz w:val="20"/>
        </w:rPr>
        <w:t xml:space="preserve">(в ред. </w:t>
      </w:r>
      <w:hyperlink w:history="0" r:id="rId612"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spacing w:before="200" w:line-rule="auto"/>
        <w:ind w:firstLine="540"/>
        <w:jc w:val="both"/>
      </w:pPr>
      <w:r>
        <w:rPr>
          <w:sz w:val="20"/>
        </w:rPr>
        <w:t xml:space="preserve">в) характер нагрузки (вид производственной деятельности).</w:t>
      </w:r>
    </w:p>
    <w:bookmarkStart w:id="1088" w:name="P1088"/>
    <w:bookmarkEnd w:id="1088"/>
    <w:p>
      <w:pPr>
        <w:pStyle w:val="0"/>
        <w:spacing w:before="200" w:line-rule="auto"/>
        <w:ind w:firstLine="540"/>
        <w:jc w:val="both"/>
      </w:pPr>
      <w:r>
        <w:rPr>
          <w:sz w:val="20"/>
        </w:rPr>
        <w:t xml:space="preserve">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w:t>
      </w:r>
    </w:p>
    <w:p>
      <w:pPr>
        <w:pStyle w:val="0"/>
        <w:jc w:val="both"/>
      </w:pPr>
      <w:r>
        <w:rPr>
          <w:sz w:val="20"/>
        </w:rPr>
        <w:t xml:space="preserve">(в ред. Постановлений Правительства РФ от 04.05.2012 </w:t>
      </w:r>
      <w:hyperlink w:history="0" r:id="rId613"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N 442</w:t>
        </w:r>
      </w:hyperlink>
      <w:r>
        <w:rPr>
          <w:sz w:val="20"/>
        </w:rPr>
        <w:t xml:space="preserve">, от 05.10.2012 </w:t>
      </w:r>
      <w:hyperlink w:history="0" r:id="rId614" w:tooltip="Постановление Правительства РФ от 05.10.2012 N 1015 (ред. от 10.03.2020) &quot;О внесении изменений в некоторые акты Правительства Российской Федерации в целях повышения доступности энергетической инфраструктуры&quot; {КонсультантПлюс}">
        <w:r>
          <w:rPr>
            <w:sz w:val="20"/>
            <w:color w:val="0000ff"/>
          </w:rPr>
          <w:t xml:space="preserve">N 1015</w:t>
        </w:r>
      </w:hyperlink>
      <w:r>
        <w:rPr>
          <w:sz w:val="20"/>
        </w:rPr>
        <w:t xml:space="preserve">, от 23.09.2016 </w:t>
      </w:r>
      <w:hyperlink w:history="0" r:id="rId615" w:tooltip="Постановление Правительства РФ от 23.09.2016 N 95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953</w:t>
        </w:r>
      </w:hyperlink>
      <w:r>
        <w:rPr>
          <w:sz w:val="20"/>
        </w:rPr>
        <w:t xml:space="preserve">)</w:t>
      </w:r>
    </w:p>
    <w:p>
      <w:pPr>
        <w:pStyle w:val="0"/>
        <w:spacing w:before="200" w:line-rule="auto"/>
        <w:ind w:firstLine="540"/>
        <w:jc w:val="both"/>
      </w:pPr>
      <w:r>
        <w:rPr>
          <w:sz w:val="20"/>
        </w:rPr>
        <w:t xml:space="preserve">а) сведения, предусмотренные </w:t>
      </w:r>
      <w:hyperlink w:history="0" w:anchor="P1003" w:tooltip="а)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я индивидуальных предпринимателей - фамилия, имя, отчество физического лица, основной государственный регистрационный номер индивидуального предпринимателя и идентификационный номер налогоплательщика, для физических лиц - фамилия, имя, отчество (при наличии), серия, номер и дата выдачи паспорта или иного документа, удостоверяющего личность гражда...">
        <w:r>
          <w:rPr>
            <w:sz w:val="20"/>
            <w:color w:val="0000ff"/>
          </w:rPr>
          <w:t xml:space="preserve">подпунктами "а"</w:t>
        </w:r>
      </w:hyperlink>
      <w:r>
        <w:rPr>
          <w:sz w:val="20"/>
        </w:rPr>
        <w:t xml:space="preserve"> - </w:t>
      </w:r>
      <w:hyperlink w:history="0" w:anchor="P1006" w:tooltip="в) место нахождения (место жительства) заявителя">
        <w:r>
          <w:rPr>
            <w:sz w:val="20"/>
            <w:color w:val="0000ff"/>
          </w:rPr>
          <w:t xml:space="preserve">"в"</w:t>
        </w:r>
      </w:hyperlink>
      <w:r>
        <w:rPr>
          <w:sz w:val="20"/>
        </w:rPr>
        <w:t xml:space="preserve"> и </w:t>
      </w:r>
      <w:hyperlink w:history="0" w:anchor="P1017" w:tooltip="и) сроки проектирования и поэтапного введения в эксплуатацию энергопринимающих устройств (в том числе по этапам и очередям);">
        <w:r>
          <w:rPr>
            <w:sz w:val="20"/>
            <w:color w:val="0000ff"/>
          </w:rPr>
          <w:t xml:space="preserve">"и"</w:t>
        </w:r>
      </w:hyperlink>
      <w:r>
        <w:rPr>
          <w:sz w:val="20"/>
        </w:rPr>
        <w:t xml:space="preserve"> - </w:t>
      </w:r>
      <w:hyperlink w:history="0" w:anchor="P1024"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
        <w:r>
          <w:rPr>
            <w:sz w:val="20"/>
            <w:color w:val="0000ff"/>
          </w:rPr>
          <w:t xml:space="preserve">"л" пункта 9</w:t>
        </w:r>
      </w:hyperlink>
      <w:r>
        <w:rPr>
          <w:sz w:val="20"/>
        </w:rPr>
        <w:t xml:space="preserve"> настоящих Правил;</w:t>
      </w:r>
    </w:p>
    <w:p>
      <w:pPr>
        <w:pStyle w:val="0"/>
        <w:jc w:val="both"/>
      </w:pPr>
      <w:r>
        <w:rPr>
          <w:sz w:val="20"/>
        </w:rPr>
        <w:t xml:space="preserve">(пп. "а" в ред. </w:t>
      </w:r>
      <w:hyperlink w:history="0" r:id="rId616" w:tooltip="Постановление Правительства РФ от 10.02.2014 N 95 &quot;О внесении изменений в акты Правительства Российской Федерации в части обязанности гарантирующих поставщиков заключить договор энергоснабжения (купли-продажи (поставки) электрической энергии (мощности)) с потребителям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Постановления</w:t>
        </w:r>
      </w:hyperlink>
      <w:r>
        <w:rPr>
          <w:sz w:val="20"/>
        </w:rPr>
        <w:t xml:space="preserve"> Правительства РФ от 10.02.2014 N 95)</w:t>
      </w:r>
    </w:p>
    <w:p>
      <w:pPr>
        <w:pStyle w:val="0"/>
        <w:spacing w:before="200" w:line-rule="auto"/>
        <w:ind w:firstLine="540"/>
        <w:jc w:val="both"/>
      </w:pPr>
      <w:r>
        <w:rPr>
          <w:sz w:val="20"/>
        </w:rPr>
        <w:t xml:space="preserve">б) запрашиваемая максимальная мощность присоединяемых энергопринимающих устройств заявителя;</w:t>
      </w:r>
    </w:p>
    <w:p>
      <w:pPr>
        <w:pStyle w:val="0"/>
        <w:jc w:val="both"/>
      </w:pPr>
      <w:r>
        <w:rPr>
          <w:sz w:val="20"/>
        </w:rPr>
        <w:t xml:space="preserve">(в ред. </w:t>
      </w:r>
      <w:hyperlink w:history="0" r:id="rId617"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spacing w:before="200" w:line-rule="auto"/>
        <w:ind w:firstLine="540"/>
        <w:jc w:val="both"/>
      </w:pPr>
      <w:r>
        <w:rPr>
          <w:sz w:val="20"/>
        </w:rPr>
        <w:t xml:space="preserve">в) характер нагрузки (вид экономической деятельности хозяйствующего субъекта);</w:t>
      </w:r>
    </w:p>
    <w:p>
      <w:pPr>
        <w:pStyle w:val="0"/>
        <w:spacing w:before="200" w:line-rule="auto"/>
        <w:ind w:firstLine="540"/>
        <w:jc w:val="both"/>
      </w:pPr>
      <w:r>
        <w:rPr>
          <w:sz w:val="20"/>
        </w:rPr>
        <w:t xml:space="preserve">г) предложения по порядку расчетов и условиям рассрочки платежа за технологическое присоединение - для заявителей, максимальная мощность энергопринимающих устройств которых составляет не более 150 кВт, за исключением заявителей, соответствующих критериям, указанным в </w:t>
      </w:r>
      <w:hyperlink w:history="0" w:anchor="P1370" w:tooltip="В отношении энергопринимающих устройств заявителей, указанных в пункте 12(1) настоящих Правил, присоединяемых по третьей категории надежности (по одному источнику электр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 типа и не более 300 метров...">
        <w:r>
          <w:rPr>
            <w:sz w:val="20"/>
            <w:color w:val="0000ff"/>
          </w:rPr>
          <w:t xml:space="preserve">абзаце двадцать шестом пункта 17</w:t>
        </w:r>
      </w:hyperlink>
      <w:r>
        <w:rPr>
          <w:sz w:val="20"/>
        </w:rPr>
        <w:t xml:space="preserve"> настоящих Правил.</w:t>
      </w:r>
    </w:p>
    <w:p>
      <w:pPr>
        <w:pStyle w:val="0"/>
        <w:jc w:val="both"/>
      </w:pPr>
      <w:r>
        <w:rPr>
          <w:sz w:val="20"/>
        </w:rPr>
        <w:t xml:space="preserve">(в ред. Постановлений Правительства РФ от 05.10.2012 </w:t>
      </w:r>
      <w:hyperlink w:history="0" r:id="rId618" w:tooltip="Постановление Правительства РФ от 05.10.2012 N 1015 (ред. от 10.03.2020) &quot;О внесении изменений в некоторые акты Правительства Российской Федерации в целях повышения доступности энергетической инфраструктуры&quot; {КонсультантПлюс}">
        <w:r>
          <w:rPr>
            <w:sz w:val="20"/>
            <w:color w:val="0000ff"/>
          </w:rPr>
          <w:t xml:space="preserve">N 1015</w:t>
        </w:r>
      </w:hyperlink>
      <w:r>
        <w:rPr>
          <w:sz w:val="20"/>
        </w:rPr>
        <w:t xml:space="preserve">, от 11.06.2014 </w:t>
      </w:r>
      <w:hyperlink w:history="0" r:id="rId619" w:tooltip="Постановление Правительства РФ от 11.06.2014 N 542 &quot;О внесении изменений в некоторые акты Правительства Российской Федерации по вопросам компенсации сетевым организациям выпадающих доходов, связанных с технологическим присоединением к электрическим сетям, и принятии тарифных решений&quot; {КонсультантПлюс}">
        <w:r>
          <w:rPr>
            <w:sz w:val="20"/>
            <w:color w:val="0000ff"/>
          </w:rPr>
          <w:t xml:space="preserve">N 542</w:t>
        </w:r>
      </w:hyperlink>
      <w:r>
        <w:rPr>
          <w:sz w:val="20"/>
        </w:rPr>
        <w:t xml:space="preserve">, от 30.06.2022 </w:t>
      </w:r>
      <w:hyperlink w:history="0" r:id="rId620"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1178</w:t>
        </w:r>
      </w:hyperlink>
      <w:r>
        <w:rPr>
          <w:sz w:val="20"/>
        </w:rPr>
        <w:t xml:space="preserve">)</w:t>
      </w:r>
    </w:p>
    <w:p>
      <w:pPr>
        <w:pStyle w:val="0"/>
        <w:jc w:val="both"/>
      </w:pPr>
      <w:r>
        <w:rPr>
          <w:sz w:val="20"/>
        </w:rPr>
        <w:t xml:space="preserve">(п. 12(1) введен </w:t>
      </w:r>
      <w:hyperlink w:history="0" r:id="rId621"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антПлюс}">
        <w:r>
          <w:rPr>
            <w:sz w:val="20"/>
            <w:color w:val="0000ff"/>
          </w:rPr>
          <w:t xml:space="preserve">Постановлением</w:t>
        </w:r>
      </w:hyperlink>
      <w:r>
        <w:rPr>
          <w:sz w:val="20"/>
        </w:rPr>
        <w:t xml:space="preserve"> Правительства РФ от 21.04.2009 N 334)</w:t>
      </w:r>
    </w:p>
    <w:bookmarkStart w:id="1098" w:name="P1098"/>
    <w:bookmarkEnd w:id="1098"/>
    <w:p>
      <w:pPr>
        <w:pStyle w:val="0"/>
        <w:spacing w:before="200" w:line-rule="auto"/>
        <w:ind w:firstLine="540"/>
        <w:jc w:val="both"/>
      </w:pPr>
      <w:r>
        <w:rPr>
          <w:sz w:val="20"/>
        </w:rPr>
        <w:t xml:space="preserve">12(2). Предусмотренные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пунктом 12(1)</w:t>
        </w:r>
      </w:hyperlink>
      <w:r>
        <w:rPr>
          <w:sz w:val="20"/>
        </w:rPr>
        <w:t xml:space="preserve"> настоящих Правил заявители, за исключением заявителей, соответствующих критериям, указанным в </w:t>
      </w:r>
      <w:hyperlink w:history="0" w:anchor="P1370" w:tooltip="В отношении энергопринимающих устройств заявителей, указанных в пункте 12(1) настоящих Правил, присоединяемых по третьей категории надежности (по одному источнику электр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 типа и не более 300 метров...">
        <w:r>
          <w:rPr>
            <w:sz w:val="20"/>
            <w:color w:val="0000ff"/>
          </w:rPr>
          <w:t xml:space="preserve">абзаце двадцать шестом пункта 17</w:t>
        </w:r>
      </w:hyperlink>
      <w:r>
        <w:rPr>
          <w:sz w:val="20"/>
        </w:rPr>
        <w:t xml:space="preserve"> настоящих Правил, при желании воспользоваться рассрочкой платежа за технологическое присоединение указывают об этом в направляемой ими заявке.</w:t>
      </w:r>
    </w:p>
    <w:p>
      <w:pPr>
        <w:pStyle w:val="0"/>
        <w:spacing w:before="200" w:line-rule="auto"/>
        <w:ind w:firstLine="540"/>
        <w:jc w:val="both"/>
      </w:pPr>
      <w:r>
        <w:rPr>
          <w:sz w:val="20"/>
        </w:rPr>
        <w:t xml:space="preserve">За предоставление рассрочки платежа за технологическое присоединение сетевой организации заявителем выплачиваются проценты. Проценты начисляются на остаток задолженности заявителя и подлежат оплате одновременно с очередным платежом, которым погашается частично или полностью такая задолженность. Размер процентов (в процентах годовых) за каждый день рассрочки определяется в размере действовавшей на указанный день ключевой ставки Центрального банка Российской Федерации, увеличенной на 4 процентных пункта.</w:t>
      </w:r>
    </w:p>
    <w:p>
      <w:pPr>
        <w:pStyle w:val="0"/>
        <w:jc w:val="both"/>
      </w:pPr>
      <w:r>
        <w:rPr>
          <w:sz w:val="20"/>
        </w:rPr>
        <w:t xml:space="preserve">(п. 12(2) в ред. </w:t>
      </w:r>
      <w:hyperlink w:history="0" r:id="rId622"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bookmarkStart w:id="1101" w:name="P1101"/>
    <w:bookmarkEnd w:id="1101"/>
    <w:p>
      <w:pPr>
        <w:pStyle w:val="0"/>
        <w:spacing w:before="200" w:line-rule="auto"/>
        <w:ind w:firstLine="540"/>
        <w:jc w:val="both"/>
      </w:pPr>
      <w:r>
        <w:rPr>
          <w:sz w:val="20"/>
        </w:rPr>
        <w:t xml:space="preserve">13. В заявке, направляемой заявителем в целях временного технологического присоединения, предусмотренного </w:t>
      </w:r>
      <w:hyperlink w:history="0" w:anchor="P1869" w:tooltip="VII. Особенности временного технологического присоединения">
        <w:r>
          <w:rPr>
            <w:sz w:val="20"/>
            <w:color w:val="0000ff"/>
          </w:rPr>
          <w:t xml:space="preserve">разделом VII</w:t>
        </w:r>
      </w:hyperlink>
      <w:r>
        <w:rPr>
          <w:sz w:val="20"/>
        </w:rPr>
        <w:t xml:space="preserve"> настоящих Правил, указывается:</w:t>
      </w:r>
    </w:p>
    <w:p>
      <w:pPr>
        <w:pStyle w:val="0"/>
        <w:spacing w:before="200" w:line-rule="auto"/>
        <w:ind w:firstLine="540"/>
        <w:jc w:val="both"/>
      </w:pPr>
      <w:r>
        <w:rPr>
          <w:sz w:val="20"/>
        </w:rPr>
        <w:t xml:space="preserve">сведения, предусмотренные </w:t>
      </w:r>
      <w:hyperlink w:history="0" w:anchor="P1003" w:tooltip="а)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я индивидуальных предпринимателей - фамилия, имя, отчество физического лица, основной государственный регистрационный номер индивидуального предпринимателя и идентификационный номер налогоплательщика, для физических лиц - фамилия, имя, отчество (при наличии), серия, номер и дата выдачи паспорта или иного документа, удостоверяющего личность гражда...">
        <w:r>
          <w:rPr>
            <w:sz w:val="20"/>
            <w:color w:val="0000ff"/>
          </w:rPr>
          <w:t xml:space="preserve">подпунктами "а"</w:t>
        </w:r>
      </w:hyperlink>
      <w:r>
        <w:rPr>
          <w:sz w:val="20"/>
        </w:rPr>
        <w:t xml:space="preserve"> - </w:t>
      </w:r>
      <w:hyperlink w:history="0" w:anchor="P1006" w:tooltip="в) место нахождения (место жительства) заявителя">
        <w:r>
          <w:rPr>
            <w:sz w:val="20"/>
            <w:color w:val="0000ff"/>
          </w:rPr>
          <w:t xml:space="preserve">"в"</w:t>
        </w:r>
      </w:hyperlink>
      <w:r>
        <w:rPr>
          <w:sz w:val="20"/>
        </w:rPr>
        <w:t xml:space="preserve"> и </w:t>
      </w:r>
      <w:hyperlink w:history="0" w:anchor="P1024"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
        <w:r>
          <w:rPr>
            <w:sz w:val="20"/>
            <w:color w:val="0000ff"/>
          </w:rPr>
          <w:t xml:space="preserve">"л" пункта 9</w:t>
        </w:r>
      </w:hyperlink>
      <w:r>
        <w:rPr>
          <w:sz w:val="20"/>
        </w:rPr>
        <w:t xml:space="preserve"> настоящих Правил;</w:t>
      </w:r>
    </w:p>
    <w:p>
      <w:pPr>
        <w:pStyle w:val="0"/>
        <w:jc w:val="both"/>
      </w:pPr>
      <w:r>
        <w:rPr>
          <w:sz w:val="20"/>
        </w:rPr>
        <w:t xml:space="preserve">(в ред. </w:t>
      </w:r>
      <w:hyperlink w:history="0" r:id="rId623" w:tooltip="Постановление Правительства РФ от 11.06.2015 N 588 (ред. от 10.03.2020, с изм. от 30.06.2022) &quot;О внесении изменений в постановление Правительства Российской Федерации от 27 декабря 2004 г. N 861&quot; {КонсультантПлюс}">
        <w:r>
          <w:rPr>
            <w:sz w:val="20"/>
            <w:color w:val="0000ff"/>
          </w:rPr>
          <w:t xml:space="preserve">Постановления</w:t>
        </w:r>
      </w:hyperlink>
      <w:r>
        <w:rPr>
          <w:sz w:val="20"/>
        </w:rPr>
        <w:t xml:space="preserve"> Правительства РФ от 11.06.2015 N 588)</w:t>
      </w:r>
    </w:p>
    <w:p>
      <w:pPr>
        <w:pStyle w:val="0"/>
        <w:spacing w:before="200" w:line-rule="auto"/>
        <w:ind w:firstLine="540"/>
        <w:jc w:val="both"/>
      </w:pPr>
      <w:r>
        <w:rPr>
          <w:sz w:val="20"/>
        </w:rPr>
        <w:t xml:space="preserve">запрашиваемая максимальная мощность присоединяемых энергопринимающих устройств;</w:t>
      </w:r>
    </w:p>
    <w:p>
      <w:pPr>
        <w:pStyle w:val="0"/>
        <w:spacing w:before="200" w:line-rule="auto"/>
        <w:ind w:firstLine="540"/>
        <w:jc w:val="both"/>
      </w:pPr>
      <w:r>
        <w:rPr>
          <w:sz w:val="20"/>
        </w:rPr>
        <w:t xml:space="preserve">характер нагрузки;</w:t>
      </w:r>
    </w:p>
    <w:p>
      <w:pPr>
        <w:pStyle w:val="0"/>
        <w:spacing w:before="200" w:line-rule="auto"/>
        <w:ind w:firstLine="540"/>
        <w:jc w:val="both"/>
      </w:pPr>
      <w:r>
        <w:rPr>
          <w:sz w:val="20"/>
        </w:rPr>
        <w:t xml:space="preserve">срок электроснабжения энергопринимающих устройств по временной схеме электроснабжения (для заявителей, энергопринимающие устройства которых являются передвижными и имеют максимальную мощность до 150 кВт включительно).</w:t>
      </w:r>
    </w:p>
    <w:p>
      <w:pPr>
        <w:pStyle w:val="0"/>
        <w:spacing w:before="200" w:line-rule="auto"/>
        <w:ind w:firstLine="540"/>
        <w:jc w:val="both"/>
      </w:pPr>
      <w:r>
        <w:rPr>
          <w:sz w:val="20"/>
        </w:rPr>
        <w:t xml:space="preserve">К заявке прилагаются документы, указанные в </w:t>
      </w:r>
      <w:hyperlink w:history="0" w:anchor="P1046" w:tooltip="г) один из перечисленных ниже видов документов (за исключением случаев, предусмотренных подпунктами &quot;н&quot; и &quot;о&quot; настоящего пункта):">
        <w:r>
          <w:rPr>
            <w:sz w:val="20"/>
            <w:color w:val="0000ff"/>
          </w:rPr>
          <w:t xml:space="preserve">подпунктах "г"</w:t>
        </w:r>
      </w:hyperlink>
      <w:r>
        <w:rPr>
          <w:sz w:val="20"/>
        </w:rPr>
        <w:t xml:space="preserve"> и </w:t>
      </w:r>
      <w:hyperlink w:history="0" w:anchor="P1051" w:tooltip="д) для юридических лиц - выписка из Единого государственного реестра юридических лиц, для индивидуальных предпринимателей - выписка из Единого государственного реестра индивидуальных предпринимателей, а также доверенность или иные документы, подтверждающие полномочия представителя заявителя, подающего и получающего документы, в случае если заявка подается в сетевую организацию представителем заявителя, копия паспорта гражданина Российской Федерации или иного документа, удостоверяющего личность, если заяв...">
        <w:r>
          <w:rPr>
            <w:sz w:val="20"/>
            <w:color w:val="0000ff"/>
          </w:rPr>
          <w:t xml:space="preserve">"д" пункта 10</w:t>
        </w:r>
      </w:hyperlink>
      <w:r>
        <w:rPr>
          <w:sz w:val="20"/>
        </w:rPr>
        <w:t xml:space="preserve"> настоящих Правил, а также информация о реквизитах договора.</w:t>
      </w:r>
    </w:p>
    <w:p>
      <w:pPr>
        <w:pStyle w:val="0"/>
        <w:spacing w:before="200" w:line-rule="auto"/>
        <w:ind w:firstLine="540"/>
        <w:jc w:val="both"/>
      </w:pPr>
      <w:r>
        <w:rPr>
          <w:sz w:val="20"/>
        </w:rPr>
        <w:t xml:space="preserve">Информация о реквизитах договора не предоставляется заявителями, энергопринимающие устройства которых являются передвижными и имеют максимальную мощность до 150 кВт включительно.</w:t>
      </w:r>
    </w:p>
    <w:p>
      <w:pPr>
        <w:pStyle w:val="0"/>
        <w:spacing w:before="200" w:line-rule="auto"/>
        <w:ind w:firstLine="540"/>
        <w:jc w:val="both"/>
      </w:pPr>
      <w:r>
        <w:rPr>
          <w:sz w:val="20"/>
        </w:rPr>
        <w:t xml:space="preserve">Для целей настоящих Правил под передвижными объектами понимаются энергопринимающие устройства, предназначенные для эксплуатации с периодическим перемещением и установкой на территориях различных административно-территориальных единиц.</w:t>
      </w:r>
    </w:p>
    <w:p>
      <w:pPr>
        <w:pStyle w:val="0"/>
        <w:jc w:val="both"/>
      </w:pPr>
      <w:r>
        <w:rPr>
          <w:sz w:val="20"/>
        </w:rPr>
        <w:t xml:space="preserve">(п. 13 в ред. </w:t>
      </w:r>
      <w:hyperlink w:history="0" r:id="rId624" w:tooltip="Постановление Правительства РФ от 26.08.2013 N 737 (ред. от 10.03.2020) &quot;О внесении изменений в некоторые акты Правительства Российской Федерации по вопросу осуществления временного технологического присоединения к электрическим сетям&quot; {КонсультантПлюс}">
        <w:r>
          <w:rPr>
            <w:sz w:val="20"/>
            <w:color w:val="0000ff"/>
          </w:rPr>
          <w:t xml:space="preserve">Постановления</w:t>
        </w:r>
      </w:hyperlink>
      <w:r>
        <w:rPr>
          <w:sz w:val="20"/>
        </w:rPr>
        <w:t xml:space="preserve"> Правительства РФ от 26.08.2013 N 737)</w:t>
      </w:r>
    </w:p>
    <w:bookmarkStart w:id="1111" w:name="P1111"/>
    <w:bookmarkEnd w:id="1111"/>
    <w:p>
      <w:pPr>
        <w:pStyle w:val="0"/>
        <w:spacing w:before="200" w:line-rule="auto"/>
        <w:ind w:firstLine="540"/>
        <w:jc w:val="both"/>
      </w:pPr>
      <w:r>
        <w:rPr>
          <w:sz w:val="20"/>
        </w:rPr>
        <w:t xml:space="preserve">13(1). В заявке, направляемой сетевой организацией в смежную сетевую организацию в соответствии с </w:t>
      </w:r>
      <w:hyperlink w:history="0" w:anchor="P1842" w:tooltip="41. Сетевая организация обязана подать заявку на технологическое присоединение к сетям смежной сетевой организации в следующих случаях:">
        <w:r>
          <w:rPr>
            <w:sz w:val="20"/>
            <w:color w:val="0000ff"/>
          </w:rPr>
          <w:t xml:space="preserve">пунктами 41</w:t>
        </w:r>
      </w:hyperlink>
      <w:r>
        <w:rPr>
          <w:sz w:val="20"/>
        </w:rPr>
        <w:t xml:space="preserve"> и </w:t>
      </w:r>
      <w:hyperlink w:history="0" w:anchor="P1850" w:tooltip="42. 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к объектам электросетевого хозяйства другой сетевой организации заявка на технологическое присоединение подается в сетевую организацию, электрические сети которой в данной точке присоединения имеют более высокий класс напряжения.">
        <w:r>
          <w:rPr>
            <w:sz w:val="20"/>
            <w:color w:val="0000ff"/>
          </w:rPr>
          <w:t xml:space="preserve">42</w:t>
        </w:r>
      </w:hyperlink>
      <w:r>
        <w:rPr>
          <w:sz w:val="20"/>
        </w:rPr>
        <w:t xml:space="preserve"> настоящих Правил, должны быть указаны:</w:t>
      </w:r>
    </w:p>
    <w:p>
      <w:pPr>
        <w:pStyle w:val="0"/>
        <w:spacing w:before="200" w:line-rule="auto"/>
        <w:ind w:firstLine="540"/>
        <w:jc w:val="both"/>
      </w:pPr>
      <w:r>
        <w:rPr>
          <w:sz w:val="20"/>
        </w:rPr>
        <w:t xml:space="preserve">основание (основания) подачи заявки, предусмотренное </w:t>
      </w:r>
      <w:hyperlink w:history="0" w:anchor="P1842" w:tooltip="41. Сетевая организация обязана подать заявку на технологическое присоединение к сетям смежной сетевой организации в следующих случаях:">
        <w:r>
          <w:rPr>
            <w:sz w:val="20"/>
            <w:color w:val="0000ff"/>
          </w:rPr>
          <w:t xml:space="preserve">пунктом 41</w:t>
        </w:r>
      </w:hyperlink>
      <w:r>
        <w:rPr>
          <w:sz w:val="20"/>
        </w:rPr>
        <w:t xml:space="preserve"> настоящих Правил, а также сведения, подтверждающие наличие такого основания (сведения об общей максимальной мощности энергопринимающих устройств, присоединенных (присоединяемых) к объектам электросетевого хозяйства сетевой организации, подающей заявку на основании </w:t>
      </w:r>
      <w:hyperlink w:history="0" w:anchor="P1843" w:tooltip="сумма максимальных мощностей энергопринимающих устройств потребителей, присоединенных к ее объектам электросетевого хозяйства, и (или) объем максимальных мощностей присоединяемых объектов, указанный в заключенных договорах на технологическое присоединение к ее объектам электросетевого хозяйства, превышает объем максимальной мощности, согласованный сетевой организацией и смежной сетевой организацией в акте о разграничении балансовой принадлежности электрических сетей или в акте об осуществлении технологич...">
        <w:r>
          <w:rPr>
            <w:sz w:val="20"/>
            <w:color w:val="0000ff"/>
          </w:rPr>
          <w:t xml:space="preserve">абзаца второго пункта 41</w:t>
        </w:r>
      </w:hyperlink>
      <w:r>
        <w:rPr>
          <w:sz w:val="20"/>
        </w:rPr>
        <w:t xml:space="preserve"> настоящих Правил, и (или) сведения о включении указанной сетевой организацией в технические условия для заявителя мероприятий на объектах смежной сетевой организации, и (или) сведения о включении мероприятий на объектах смежной сетевой организации в технические условия вывода из эксплуатации объекта по производству электрической энергии (мощности), выданные сетевой организацией в соответствии с </w:t>
      </w:r>
      <w:hyperlink w:history="0" r:id="rId625"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Правилами</w:t>
        </w:r>
      </w:hyperlink>
      <w:r>
        <w:rPr>
          <w:sz w:val="20"/>
        </w:rPr>
        <w:t xml:space="preserve"> вывода объектов электроэнергетики в ремонт и из эксплуатации, утвержденными постановлением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 (далее - Правила вывода объектов электроэнергетики в ремонт и из эксплуатации));</w:t>
      </w:r>
    </w:p>
    <w:p>
      <w:pPr>
        <w:pStyle w:val="0"/>
        <w:jc w:val="both"/>
      </w:pPr>
      <w:r>
        <w:rPr>
          <w:sz w:val="20"/>
        </w:rPr>
        <w:t xml:space="preserve">(в ред. </w:t>
      </w:r>
      <w:hyperlink w:history="0" r:id="rId626"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Постановления</w:t>
        </w:r>
      </w:hyperlink>
      <w:r>
        <w:rPr>
          <w:sz w:val="20"/>
        </w:rPr>
        <w:t xml:space="preserve"> Правительства РФ от 30.01.2021 N 86)</w:t>
      </w:r>
    </w:p>
    <w:p>
      <w:pPr>
        <w:pStyle w:val="0"/>
        <w:spacing w:before="200" w:line-rule="auto"/>
        <w:ind w:firstLine="540"/>
        <w:jc w:val="both"/>
      </w:pPr>
      <w:r>
        <w:rPr>
          <w:sz w:val="20"/>
        </w:rPr>
        <w:t xml:space="preserve">сведения о сетевой организации, подающей заявку, предусмотренные </w:t>
      </w:r>
      <w:hyperlink w:history="0" w:anchor="P1003" w:tooltip="а)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я индивидуальных предпринимателей - фамилия, имя, отчество физического лица, основной государственный регистрационный номер индивидуального предпринимателя и идентификационный номер налогоплательщика, для физических лиц - фамилия, имя, отчество (при наличии), серия, номер и дата выдачи паспорта или иного документа, удостоверяющего личность гражда...">
        <w:r>
          <w:rPr>
            <w:sz w:val="20"/>
            <w:color w:val="0000ff"/>
          </w:rPr>
          <w:t xml:space="preserve">подпунктами "а"</w:t>
        </w:r>
      </w:hyperlink>
      <w:r>
        <w:rPr>
          <w:sz w:val="20"/>
        </w:rPr>
        <w:t xml:space="preserve"> и </w:t>
      </w:r>
      <w:hyperlink w:history="0" w:anchor="P1006" w:tooltip="в) место нахождения (место жительства) заявителя">
        <w:r>
          <w:rPr>
            <w:sz w:val="20"/>
            <w:color w:val="0000ff"/>
          </w:rPr>
          <w:t xml:space="preserve">"в" пункта 9</w:t>
        </w:r>
      </w:hyperlink>
      <w:r>
        <w:rPr>
          <w:sz w:val="20"/>
        </w:rPr>
        <w:t xml:space="preserve"> настоящих Правил;</w:t>
      </w:r>
    </w:p>
    <w:p>
      <w:pPr>
        <w:pStyle w:val="0"/>
        <w:spacing w:before="200" w:line-rule="auto"/>
        <w:ind w:firstLine="540"/>
        <w:jc w:val="both"/>
      </w:pPr>
      <w:r>
        <w:rPr>
          <w:sz w:val="20"/>
        </w:rPr>
        <w:t xml:space="preserve">сведения об объектах электросетевого хозяйства смежной сетевой организации, к которым осуществляется присоединение и (или) на которых необходимо проведение мероприятий по технологическому присоединению;</w:t>
      </w:r>
    </w:p>
    <w:p>
      <w:pPr>
        <w:pStyle w:val="0"/>
        <w:spacing w:before="200" w:line-rule="auto"/>
        <w:ind w:firstLine="540"/>
        <w:jc w:val="both"/>
      </w:pPr>
      <w:r>
        <w:rPr>
          <w:sz w:val="20"/>
        </w:rPr>
        <w:t xml:space="preserve">сведения о присоединяемых объектах электросетевого хозяйства сетевой организации, подавшей заявку, предусмотренные </w:t>
      </w:r>
      <w:hyperlink w:history="0" w:anchor="P1005" w:tooltip="б) наименование и место нахождения энергопринимающих устройств, которые необходимо присоединить к электрическим сетям сетевой организации;">
        <w:r>
          <w:rPr>
            <w:sz w:val="20"/>
            <w:color w:val="0000ff"/>
          </w:rPr>
          <w:t xml:space="preserve">подпунктами "б"</w:t>
        </w:r>
      </w:hyperlink>
      <w:r>
        <w:rPr>
          <w:sz w:val="20"/>
        </w:rPr>
        <w:t xml:space="preserve">, </w:t>
      </w:r>
      <w:hyperlink w:history="0" w:anchor="P1008" w:tooltip="г) запрашиваемая максимальная мощность энергопринимающих устройств и их технические характеристики, количество, мощность генераторов и присоединяемых к сети трансформаторов;">
        <w:r>
          <w:rPr>
            <w:sz w:val="20"/>
            <w:color w:val="0000ff"/>
          </w:rPr>
          <w:t xml:space="preserve">"г"</w:t>
        </w:r>
      </w:hyperlink>
      <w:r>
        <w:rPr>
          <w:sz w:val="20"/>
        </w:rPr>
        <w:t xml:space="preserve">, </w:t>
      </w:r>
      <w:hyperlink w:history="0" w:anchor="P1010" w:tooltip="д) количество точек присоединения с указанием технических параметров элементов энергопринимающих устройств;">
        <w:r>
          <w:rPr>
            <w:sz w:val="20"/>
            <w:color w:val="0000ff"/>
          </w:rPr>
          <w:t xml:space="preserve">"д"</w:t>
        </w:r>
      </w:hyperlink>
      <w:r>
        <w:rPr>
          <w:sz w:val="20"/>
        </w:rPr>
        <w:t xml:space="preserve"> и </w:t>
      </w:r>
      <w:hyperlink w:history="0" w:anchor="P1017" w:tooltip="и) сроки проектирования и поэтапного введения в эксплуатацию энергопринимающих устройств (в том числе по этапам и очередям);">
        <w:r>
          <w:rPr>
            <w:sz w:val="20"/>
            <w:color w:val="0000ff"/>
          </w:rPr>
          <w:t xml:space="preserve">"и" пункта 9</w:t>
        </w:r>
      </w:hyperlink>
      <w:r>
        <w:rPr>
          <w:sz w:val="20"/>
        </w:rPr>
        <w:t xml:space="preserve"> настоящих Правил, - в случаях, предусмотренных </w:t>
      </w:r>
      <w:hyperlink w:history="0" w:anchor="P1843" w:tooltip="сумма максимальных мощностей энергопринимающих устройств потребителей, присоединенных к ее объектам электросетевого хозяйства, и (или) объем максимальных мощностей присоединяемых объектов, указанный в заключенных договорах на технологическое присоединение к ее объектам электросетевого хозяйства, превышает объем максимальной мощности, согласованный сетевой организацией и смежной сетевой организацией в акте о разграничении балансовой принадлежности электрических сетей или в акте об осуществлении технологич...">
        <w:r>
          <w:rPr>
            <w:sz w:val="20"/>
            <w:color w:val="0000ff"/>
          </w:rPr>
          <w:t xml:space="preserve">абзацем вторым пункта 41</w:t>
        </w:r>
      </w:hyperlink>
      <w:r>
        <w:rPr>
          <w:sz w:val="20"/>
        </w:rPr>
        <w:t xml:space="preserve"> настоящих Правил;</w:t>
      </w:r>
    </w:p>
    <w:p>
      <w:pPr>
        <w:pStyle w:val="0"/>
        <w:spacing w:before="200" w:line-rule="auto"/>
        <w:ind w:firstLine="540"/>
        <w:jc w:val="both"/>
      </w:pPr>
      <w:r>
        <w:rPr>
          <w:sz w:val="20"/>
        </w:rPr>
        <w:t xml:space="preserve">сведения о сроке осуществления мероприятий по технологическому присоединению энергопринимающих устройств заявителя, определяемом в соответствии с настоящими Правилами (в случаях, когда заявка в смежную сетевую организацию подана в связи с включением мероприятий на объектах такой организации в технические условия (их проект), выданные заявителю);</w:t>
      </w:r>
    </w:p>
    <w:p>
      <w:pPr>
        <w:pStyle w:val="0"/>
        <w:spacing w:before="200" w:line-rule="auto"/>
        <w:ind w:firstLine="540"/>
        <w:jc w:val="both"/>
      </w:pPr>
      <w:r>
        <w:rPr>
          <w:sz w:val="20"/>
        </w:rPr>
        <w:t xml:space="preserve">сведения о сроке осуществления мероприятий по обеспечению возможности вывода объекта по производству электрической энергии (мощности) из эксплуатации, определенном в решении уполномоченного федерального органа исполнительной власти, принятом в соответствии с </w:t>
      </w:r>
      <w:hyperlink w:history="0" r:id="rId627"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Правилами</w:t>
        </w:r>
      </w:hyperlink>
      <w:r>
        <w:rPr>
          <w:sz w:val="20"/>
        </w:rPr>
        <w:t xml:space="preserve"> вывода объектов электроэнергетики в ремонт и из эксплуатации.</w:t>
      </w:r>
    </w:p>
    <w:p>
      <w:pPr>
        <w:pStyle w:val="0"/>
        <w:jc w:val="both"/>
      </w:pPr>
      <w:r>
        <w:rPr>
          <w:sz w:val="20"/>
        </w:rPr>
        <w:t xml:space="preserve">(абзац введен </w:t>
      </w:r>
      <w:hyperlink w:history="0" r:id="rId628"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Постановлением</w:t>
        </w:r>
      </w:hyperlink>
      <w:r>
        <w:rPr>
          <w:sz w:val="20"/>
        </w:rPr>
        <w:t xml:space="preserve"> Правительства РФ от 30.01.2021 N 86)</w:t>
      </w:r>
    </w:p>
    <w:p>
      <w:pPr>
        <w:pStyle w:val="0"/>
        <w:spacing w:before="200" w:line-rule="auto"/>
        <w:ind w:firstLine="540"/>
        <w:jc w:val="both"/>
      </w:pPr>
      <w:r>
        <w:rPr>
          <w:sz w:val="20"/>
        </w:rPr>
        <w:t xml:space="preserve">К указанной заявке прилагаются документы, указанные в </w:t>
      </w:r>
      <w:hyperlink w:history="0" w:anchor="P1051" w:tooltip="д) для юридических лиц - выписка из Единого государственного реестра юридических лиц, для индивидуальных предпринимателей - выписка из Единого государственного реестра индивидуальных предпринимателей, а также доверенность или иные документы, подтверждающие полномочия представителя заявителя, подающего и получающего документы, в случае если заявка подается в сетевую организацию представителем заявителя, копия паспорта гражданина Российской Федерации или иного документа, удостоверяющего личность, если заяв...">
        <w:r>
          <w:rPr>
            <w:sz w:val="20"/>
            <w:color w:val="0000ff"/>
          </w:rPr>
          <w:t xml:space="preserve">подпункте "д" пункта 10</w:t>
        </w:r>
      </w:hyperlink>
      <w:r>
        <w:rPr>
          <w:sz w:val="20"/>
        </w:rPr>
        <w:t xml:space="preserve"> настоящих Правил, а также копии технических условий, выданных заявителям, максимальная мощность энергопринимающих устройств которых составляет свыше 670 кВт, подтверждающих наличие оснований для подачи заявки в соответствии с </w:t>
      </w:r>
      <w:hyperlink w:history="0" w:anchor="P1843" w:tooltip="сумма максимальных мощностей энергопринимающих устройств потребителей, присоединенных к ее объектам электросетевого хозяйства, и (или) объем максимальных мощностей присоединяемых объектов, указанный в заключенных договорах на технологическое присоединение к ее объектам электросетевого хозяйства, превышает объем максимальной мощности, согласованный сетевой организацией и смежной сетевой организацией в акте о разграничении балансовой принадлежности электрических сетей или в акте об осуществлении технологич...">
        <w:r>
          <w:rPr>
            <w:sz w:val="20"/>
            <w:color w:val="0000ff"/>
          </w:rPr>
          <w:t xml:space="preserve">абзацем вторым пункта 41</w:t>
        </w:r>
      </w:hyperlink>
      <w:r>
        <w:rPr>
          <w:sz w:val="20"/>
        </w:rPr>
        <w:t xml:space="preserve"> настоящих Правил. Копии технических условий, выданных заявителям, мощность энергопринимающих устройств которых составляет менее 670 кВт, подтверждающих наличие оснований для подачи заявки, предоставляются по запросу смежной сетевой организации, в которую подана заявка, в течение 5 дней со дня поступления такого запроса.</w:t>
      </w:r>
    </w:p>
    <w:p>
      <w:pPr>
        <w:pStyle w:val="0"/>
        <w:spacing w:before="200" w:line-rule="auto"/>
        <w:ind w:firstLine="540"/>
        <w:jc w:val="both"/>
      </w:pPr>
      <w:r>
        <w:rPr>
          <w:sz w:val="20"/>
        </w:rPr>
        <w:t xml:space="preserve">Если основанием для подачи заявки в смежную сетевую организацию послужило технологическое присоединение объекта по производству электрической энергии максимальной мощностью более 5 МВт или энергопринимающих устройств максимальной мощностью более 50 МВт, к заявке также прилагаются документы, предусмотренные </w:t>
      </w:r>
      <w:hyperlink w:history="0" w:anchor="P1062" w:tooltip="к) в случае технологического присоединения объекта по производству электрической энергии максимальной мощностью более 5 МВт или энергопринимающих устройств максимальной мощностью более 50 МВт схема выдачи мощности или схема внешнего электроснабжения соответственно, разработанная заявителем и согласованная им с сетевой организацией и субъектом оперативно-диспетчерского управления в электроэнергетике в соответствии с правилами разработки и согласования схем выдачи мощности объектов по производству электрич...">
        <w:r>
          <w:rPr>
            <w:sz w:val="20"/>
            <w:color w:val="0000ff"/>
          </w:rPr>
          <w:t xml:space="preserve">подпунктом "к" пункта 10</w:t>
        </w:r>
      </w:hyperlink>
      <w:r>
        <w:rPr>
          <w:sz w:val="20"/>
        </w:rPr>
        <w:t xml:space="preserve"> настоящих Правил. В случаях, предусмотренных </w:t>
      </w:r>
      <w:hyperlink w:history="0" w:anchor="P1843" w:tooltip="сумма максимальных мощностей энергопринимающих устройств потребителей, присоединенных к ее объектам электросетевого хозяйства, и (или) объем максимальных мощностей присоединяемых объектов, указанный в заключенных договорах на технологическое присоединение к ее объектам электросетевого хозяйства, превышает объем максимальной мощности, согласованный сетевой организацией и смежной сетевой организацией в акте о разграничении балансовой принадлежности электрических сетей или в акте об осуществлении технологич...">
        <w:r>
          <w:rPr>
            <w:sz w:val="20"/>
            <w:color w:val="0000ff"/>
          </w:rPr>
          <w:t xml:space="preserve">абзацем вторым пункта 41</w:t>
        </w:r>
      </w:hyperlink>
      <w:r>
        <w:rPr>
          <w:sz w:val="20"/>
        </w:rPr>
        <w:t xml:space="preserve"> настоящих Правил, к заявке также прилагаются документы, предусмотренные </w:t>
      </w:r>
      <w:hyperlink w:history="0" w:anchor="P1041" w:tooltip="а) план расположения энергопринимающих устройств, которые необходимо присоединить к электрическим сетям сетевой организации;">
        <w:r>
          <w:rPr>
            <w:sz w:val="20"/>
            <w:color w:val="0000ff"/>
          </w:rPr>
          <w:t xml:space="preserve">подпунктами "а"</w:t>
        </w:r>
      </w:hyperlink>
      <w:r>
        <w:rPr>
          <w:sz w:val="20"/>
        </w:rPr>
        <w:t xml:space="preserve"> и </w:t>
      </w:r>
      <w:hyperlink w:history="0" w:anchor="P1046" w:tooltip="г) один из перечисленных ниже видов документов (за исключением случаев, предусмотренных подпунктами &quot;н&quot; и &quot;о&quot; настоящего пункта):">
        <w:r>
          <w:rPr>
            <w:sz w:val="20"/>
            <w:color w:val="0000ff"/>
          </w:rPr>
          <w:t xml:space="preserve">"г" пункта 10</w:t>
        </w:r>
      </w:hyperlink>
      <w:r>
        <w:rPr>
          <w:sz w:val="20"/>
        </w:rPr>
        <w:t xml:space="preserve"> настоящих Правил.</w:t>
      </w:r>
    </w:p>
    <w:p>
      <w:pPr>
        <w:pStyle w:val="0"/>
        <w:spacing w:before="200" w:line-rule="auto"/>
        <w:ind w:firstLine="540"/>
        <w:jc w:val="both"/>
      </w:pPr>
      <w:r>
        <w:rPr>
          <w:sz w:val="20"/>
        </w:rPr>
        <w:t xml:space="preserve">В случае если основанием для подачи заявки в смежную сетевую организацию послужили обстоятельства, указанные в </w:t>
      </w:r>
      <w:hyperlink w:history="0" w:anchor="P1846" w:tooltip="решением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мощности) из эксплуатации и выданными на его основании сетевой организацией техническими условиями вывода из эксплуатации объекта по производству электрической энергии (мощности) установлена необходимость осуществления мероприятий на объектах электросетевого хозяйства смежной сетевой организации.">
        <w:r>
          <w:rPr>
            <w:sz w:val="20"/>
            <w:color w:val="0000ff"/>
          </w:rPr>
          <w:t xml:space="preserve">абзаце четвертом пункта 41</w:t>
        </w:r>
      </w:hyperlink>
      <w:r>
        <w:rPr>
          <w:sz w:val="20"/>
        </w:rPr>
        <w:t xml:space="preserve"> настоящих Правил, к заявке также прилагаются копия решения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(мощности) из эксплуатации и копия технических условий вывода из эксплуатации объекта по производству электрической энергии (мощности), выданных сетевой организацией.</w:t>
      </w:r>
    </w:p>
    <w:p>
      <w:pPr>
        <w:pStyle w:val="0"/>
        <w:jc w:val="both"/>
      </w:pPr>
      <w:r>
        <w:rPr>
          <w:sz w:val="20"/>
        </w:rPr>
        <w:t xml:space="preserve">(абзац введен </w:t>
      </w:r>
      <w:hyperlink w:history="0" r:id="rId629"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Постановлением</w:t>
        </w:r>
      </w:hyperlink>
      <w:r>
        <w:rPr>
          <w:sz w:val="20"/>
        </w:rPr>
        <w:t xml:space="preserve"> Правительства РФ от 30.01.2021 N 86)</w:t>
      </w:r>
    </w:p>
    <w:p>
      <w:pPr>
        <w:pStyle w:val="0"/>
        <w:jc w:val="both"/>
      </w:pPr>
      <w:r>
        <w:rPr>
          <w:sz w:val="20"/>
        </w:rPr>
        <w:t xml:space="preserve">(п. 13(1) введен </w:t>
      </w:r>
      <w:hyperlink w:history="0" r:id="rId630" w:tooltip="Постановление Правительства РФ от 29.05.2019 N 682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технологического присоединения к электрическим сетям&quot; {КонсультантПлюс}">
        <w:r>
          <w:rPr>
            <w:sz w:val="20"/>
            <w:color w:val="0000ff"/>
          </w:rPr>
          <w:t xml:space="preserve">Постановлением</w:t>
        </w:r>
      </w:hyperlink>
      <w:r>
        <w:rPr>
          <w:sz w:val="20"/>
        </w:rPr>
        <w:t xml:space="preserve"> Правительства РФ от 29.05.2019 N 682)</w:t>
      </w:r>
    </w:p>
    <w:bookmarkStart w:id="1125" w:name="P1125"/>
    <w:bookmarkEnd w:id="1125"/>
    <w:p>
      <w:pPr>
        <w:pStyle w:val="0"/>
        <w:spacing w:before="200" w:line-rule="auto"/>
        <w:ind w:firstLine="540"/>
        <w:jc w:val="both"/>
      </w:pPr>
      <w:r>
        <w:rPr>
          <w:sz w:val="20"/>
        </w:rPr>
        <w:t xml:space="preserve">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w:t>
      </w:r>
    </w:p>
    <w:p>
      <w:pPr>
        <w:pStyle w:val="0"/>
        <w:spacing w:before="200" w:line-rule="auto"/>
        <w:ind w:firstLine="540"/>
        <w:jc w:val="both"/>
      </w:pPr>
      <w:r>
        <w:rPr>
          <w:sz w:val="20"/>
        </w:rPr>
        <w:t xml:space="preserve">а) сведения, предусмотренные </w:t>
      </w:r>
      <w:hyperlink w:history="0" w:anchor="P1003" w:tooltip="а)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я индивидуальных предпринимателей - фамилия, имя, отчество физического лица, основной государственный регистрационный номер индивидуального предпринимателя и идентификационный номер налогоплательщика, для физических лиц - фамилия, имя, отчество (при наличии), серия, номер и дата выдачи паспорта или иного документа, удостоверяющего личность гражда...">
        <w:r>
          <w:rPr>
            <w:sz w:val="20"/>
            <w:color w:val="0000ff"/>
          </w:rPr>
          <w:t xml:space="preserve">подпунктами "а"</w:t>
        </w:r>
      </w:hyperlink>
      <w:r>
        <w:rPr>
          <w:sz w:val="20"/>
        </w:rPr>
        <w:t xml:space="preserve"> - </w:t>
      </w:r>
      <w:hyperlink w:history="0" w:anchor="P1006" w:tooltip="в) место нахождения (место жительства) заявителя">
        <w:r>
          <w:rPr>
            <w:sz w:val="20"/>
            <w:color w:val="0000ff"/>
          </w:rPr>
          <w:t xml:space="preserve">"в"</w:t>
        </w:r>
      </w:hyperlink>
      <w:r>
        <w:rPr>
          <w:sz w:val="20"/>
        </w:rPr>
        <w:t xml:space="preserve"> и </w:t>
      </w:r>
      <w:hyperlink w:history="0" w:anchor="P1017" w:tooltip="и) сроки проектирования и поэтапного введения в эксплуатацию энергопринимающих устройств (в том числе по этапам и очередям);">
        <w:r>
          <w:rPr>
            <w:sz w:val="20"/>
            <w:color w:val="0000ff"/>
          </w:rPr>
          <w:t xml:space="preserve">"и" пункта 9</w:t>
        </w:r>
      </w:hyperlink>
      <w:r>
        <w:rPr>
          <w:sz w:val="20"/>
        </w:rPr>
        <w:t xml:space="preserve"> настоящих Правил;</w:t>
      </w:r>
    </w:p>
    <w:bookmarkStart w:id="1127" w:name="P1127"/>
    <w:bookmarkEnd w:id="1127"/>
    <w:p>
      <w:pPr>
        <w:pStyle w:val="0"/>
        <w:spacing w:before="200" w:line-rule="auto"/>
        <w:ind w:firstLine="540"/>
        <w:jc w:val="both"/>
      </w:pPr>
      <w:r>
        <w:rPr>
          <w:sz w:val="20"/>
        </w:rPr>
        <w:t xml:space="preserve">б)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pPr>
        <w:pStyle w:val="0"/>
        <w:spacing w:before="200" w:line-rule="auto"/>
        <w:ind w:firstLine="540"/>
        <w:jc w:val="both"/>
      </w:pPr>
      <w:r>
        <w:rPr>
          <w:sz w:val="20"/>
        </w:rPr>
        <w:t xml:space="preserve">в) наименование субъекта розничного рынка, с которым заявителем заключен договор, обеспечивающий продажу электрической энергии (мощности) на розничном рынке (договор энергоснабжения или купли-продажи (поставки) электрической энергии (мощности), в отношении ранее присоединенных в данной точке присоединения энергопринимающих устройств заявителя, номер и дата указанного договора;</w:t>
      </w:r>
    </w:p>
    <w:p>
      <w:pPr>
        <w:pStyle w:val="0"/>
        <w:spacing w:before="200" w:line-rule="auto"/>
        <w:ind w:firstLine="540"/>
        <w:jc w:val="both"/>
      </w:pPr>
      <w:r>
        <w:rPr>
          <w:sz w:val="20"/>
        </w:rPr>
        <w:t xml:space="preserve">г) максимальная мощность ранее присоединенных в данной точке присоединения энергопринимающих устройств заявителя;</w:t>
      </w:r>
    </w:p>
    <w:p>
      <w:pPr>
        <w:pStyle w:val="0"/>
        <w:spacing w:before="200" w:line-rule="auto"/>
        <w:ind w:firstLine="540"/>
        <w:jc w:val="both"/>
      </w:pPr>
      <w:r>
        <w:rPr>
          <w:sz w:val="20"/>
        </w:rPr>
        <w:t xml:space="preserve">д)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pPr>
        <w:pStyle w:val="0"/>
        <w:jc w:val="both"/>
      </w:pPr>
      <w:r>
        <w:rPr>
          <w:sz w:val="20"/>
        </w:rPr>
        <w:t xml:space="preserve">(п. 13(2) введен </w:t>
      </w:r>
      <w:hyperlink w:history="0" r:id="rId631"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Постановлением</w:t>
        </w:r>
      </w:hyperlink>
      <w:r>
        <w:rPr>
          <w:sz w:val="20"/>
        </w:rPr>
        <w:t xml:space="preserve"> Правительства РФ от 02.03.2021 N 299)</w:t>
      </w:r>
    </w:p>
    <w:bookmarkStart w:id="1132" w:name="P1132"/>
    <w:bookmarkEnd w:id="1132"/>
    <w:p>
      <w:pPr>
        <w:pStyle w:val="0"/>
        <w:spacing w:before="200" w:line-rule="auto"/>
        <w:ind w:firstLine="540"/>
        <w:jc w:val="both"/>
      </w:pPr>
      <w:r>
        <w:rPr>
          <w:sz w:val="20"/>
        </w:rPr>
        <w:t xml:space="preserve">13(3).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электроснабжение которых предусматривается по одному источнику, и объектов микрогенерации, должны быть указаны:</w:t>
      </w:r>
    </w:p>
    <w:p>
      <w:pPr>
        <w:pStyle w:val="0"/>
        <w:spacing w:before="200" w:line-rule="auto"/>
        <w:ind w:firstLine="540"/>
        <w:jc w:val="both"/>
      </w:pPr>
      <w:r>
        <w:rPr>
          <w:sz w:val="20"/>
        </w:rPr>
        <w:t xml:space="preserve">а) сведения, предусмотренные </w:t>
      </w:r>
      <w:hyperlink w:history="0" w:anchor="P1003" w:tooltip="а)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я индивидуальных предпринимателей - фамилия, имя, отчество физического лица, основной государственный регистрационный номер индивидуального предпринимателя и идентификационный номер налогоплательщика, для физических лиц - фамилия, имя, отчество (при наличии), серия, номер и дата выдачи паспорта или иного документа, удостоверяющего личность гражда...">
        <w:r>
          <w:rPr>
            <w:sz w:val="20"/>
            <w:color w:val="0000ff"/>
          </w:rPr>
          <w:t xml:space="preserve">подпунктами "а"</w:t>
        </w:r>
      </w:hyperlink>
      <w:r>
        <w:rPr>
          <w:sz w:val="20"/>
        </w:rPr>
        <w:t xml:space="preserve"> - </w:t>
      </w:r>
      <w:hyperlink w:history="0" w:anchor="P1006" w:tooltip="в) место нахождения (место жительства) заявителя">
        <w:r>
          <w:rPr>
            <w:sz w:val="20"/>
            <w:color w:val="0000ff"/>
          </w:rPr>
          <w:t xml:space="preserve">"в"</w:t>
        </w:r>
      </w:hyperlink>
      <w:r>
        <w:rPr>
          <w:sz w:val="20"/>
        </w:rPr>
        <w:t xml:space="preserve"> и </w:t>
      </w:r>
      <w:hyperlink w:history="0" w:anchor="P1017" w:tooltip="и) сроки проектирования и поэтапного введения в эксплуатацию энергопринимающих устройств (в том числе по этапам и очередям);">
        <w:r>
          <w:rPr>
            <w:sz w:val="20"/>
            <w:color w:val="0000ff"/>
          </w:rPr>
          <w:t xml:space="preserve">"и"</w:t>
        </w:r>
      </w:hyperlink>
      <w:r>
        <w:rPr>
          <w:sz w:val="20"/>
        </w:rPr>
        <w:t xml:space="preserve"> - </w:t>
      </w:r>
      <w:hyperlink w:history="0" w:anchor="P1024"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
        <w:r>
          <w:rPr>
            <w:sz w:val="20"/>
            <w:color w:val="0000ff"/>
          </w:rPr>
          <w:t xml:space="preserve">"л" пункта 9</w:t>
        </w:r>
      </w:hyperlink>
      <w:r>
        <w:rPr>
          <w:sz w:val="20"/>
        </w:rPr>
        <w:t xml:space="preserve"> настоящих Правил;</w:t>
      </w:r>
    </w:p>
    <w:bookmarkStart w:id="1134" w:name="P1134"/>
    <w:bookmarkEnd w:id="1134"/>
    <w:p>
      <w:pPr>
        <w:pStyle w:val="0"/>
        <w:spacing w:before="200" w:line-rule="auto"/>
        <w:ind w:firstLine="540"/>
        <w:jc w:val="both"/>
      </w:pPr>
      <w:r>
        <w:rPr>
          <w:sz w:val="20"/>
        </w:rPr>
        <w:t xml:space="preserve">б)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pPr>
        <w:pStyle w:val="0"/>
        <w:spacing w:before="200" w:line-rule="auto"/>
        <w:ind w:firstLine="540"/>
        <w:jc w:val="both"/>
      </w:pPr>
      <w:r>
        <w:rPr>
          <w:sz w:val="20"/>
        </w:rPr>
        <w:t xml:space="preserve">в) запрашиваемая максимальная мощность присоединяемых в данной точке присоединения энергопринимающих устройств заявителя, электроснабжение которых предусматривается по одному источнику, не превышающая с учетом максимальной мощности ранее присоединенных в данной точке присоединения энергопринимающих устройств заявителя 150 кВт;</w:t>
      </w:r>
    </w:p>
    <w:p>
      <w:pPr>
        <w:pStyle w:val="0"/>
        <w:spacing w:before="200" w:line-rule="auto"/>
        <w:ind w:firstLine="540"/>
        <w:jc w:val="both"/>
      </w:pPr>
      <w:r>
        <w:rPr>
          <w:sz w:val="20"/>
        </w:rPr>
        <w:t xml:space="preserve">г) характер (график) нагрузки (вид производственной деятельности хозяйствующего субъекта);</w:t>
      </w:r>
    </w:p>
    <w:p>
      <w:pPr>
        <w:pStyle w:val="0"/>
        <w:spacing w:before="200" w:line-rule="auto"/>
        <w:ind w:firstLine="540"/>
        <w:jc w:val="both"/>
      </w:pPr>
      <w:r>
        <w:rPr>
          <w:sz w:val="20"/>
        </w:rPr>
        <w:t xml:space="preserve">д)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pPr>
        <w:pStyle w:val="0"/>
        <w:jc w:val="both"/>
      </w:pPr>
      <w:r>
        <w:rPr>
          <w:sz w:val="20"/>
        </w:rPr>
        <w:t xml:space="preserve">(п. 13(3) введен </w:t>
      </w:r>
      <w:hyperlink w:history="0" r:id="rId632"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Постановлением</w:t>
        </w:r>
      </w:hyperlink>
      <w:r>
        <w:rPr>
          <w:sz w:val="20"/>
        </w:rPr>
        <w:t xml:space="preserve"> Правительства РФ от 02.03.2021 N 299)</w:t>
      </w:r>
    </w:p>
    <w:bookmarkStart w:id="1139" w:name="P1139"/>
    <w:bookmarkEnd w:id="1139"/>
    <w:p>
      <w:pPr>
        <w:pStyle w:val="0"/>
        <w:spacing w:before="200" w:line-rule="auto"/>
        <w:ind w:firstLine="540"/>
        <w:jc w:val="both"/>
      </w:pPr>
      <w:r>
        <w:rPr>
          <w:sz w:val="20"/>
        </w:rPr>
        <w:t xml:space="preserve">13(4). В заявке, направляемой заявителем - физическим лицом в целях технологического присоединения объекта микрогенерации к объектам электросетевого хозяйства с уровнем напряжения до 1000 В, должны быть указаны:</w:t>
      </w:r>
    </w:p>
    <w:p>
      <w:pPr>
        <w:pStyle w:val="0"/>
        <w:spacing w:before="200" w:line-rule="auto"/>
        <w:ind w:firstLine="540"/>
        <w:jc w:val="both"/>
      </w:pPr>
      <w:r>
        <w:rPr>
          <w:sz w:val="20"/>
        </w:rPr>
        <w:t xml:space="preserve">а)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страховой номер индивидуального лицевого счета в системе индивидуального (персонифицированного) учета, номер мобильного телефона и адрес электронной почты;</w:t>
      </w:r>
    </w:p>
    <w:p>
      <w:pPr>
        <w:pStyle w:val="0"/>
        <w:jc w:val="both"/>
      </w:pPr>
      <w:r>
        <w:rPr>
          <w:sz w:val="20"/>
        </w:rPr>
        <w:t xml:space="preserve">(пп. "а" в ред. </w:t>
      </w:r>
      <w:hyperlink w:history="0" r:id="rId633"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p>
      <w:pPr>
        <w:pStyle w:val="0"/>
        <w:spacing w:before="200" w:line-rule="auto"/>
        <w:ind w:firstLine="540"/>
        <w:jc w:val="both"/>
      </w:pPr>
      <w:r>
        <w:rPr>
          <w:sz w:val="20"/>
        </w:rPr>
        <w:t xml:space="preserve">б) адрес места жительства заявителя;</w:t>
      </w:r>
    </w:p>
    <w:p>
      <w:pPr>
        <w:pStyle w:val="0"/>
        <w:spacing w:before="200" w:line-rule="auto"/>
        <w:ind w:firstLine="540"/>
        <w:jc w:val="both"/>
      </w:pPr>
      <w:r>
        <w:rPr>
          <w:sz w:val="20"/>
        </w:rPr>
        <w:t xml:space="preserve">в) сведения, предусмотренные </w:t>
      </w:r>
      <w:hyperlink w:history="0" w:anchor="P1005" w:tooltip="б) наименование и место нахождения энергопринимающих устройств, которые необходимо присоединить к электрическим сетям сетевой организации;">
        <w:r>
          <w:rPr>
            <w:sz w:val="20"/>
            <w:color w:val="0000ff"/>
          </w:rPr>
          <w:t xml:space="preserve">подпунктами "б"</w:t>
        </w:r>
      </w:hyperlink>
      <w:r>
        <w:rPr>
          <w:sz w:val="20"/>
        </w:rPr>
        <w:t xml:space="preserve">, </w:t>
      </w:r>
      <w:hyperlink w:history="0" w:anchor="P1017" w:tooltip="и) сроки проектирования и поэтапного введения в эксплуатацию энергопринимающих устройств (в том числе по этапам и очередям);">
        <w:r>
          <w:rPr>
            <w:sz w:val="20"/>
            <w:color w:val="0000ff"/>
          </w:rPr>
          <w:t xml:space="preserve">"и"</w:t>
        </w:r>
      </w:hyperlink>
      <w:r>
        <w:rPr>
          <w:sz w:val="20"/>
        </w:rPr>
        <w:t xml:space="preserve"> и </w:t>
      </w:r>
      <w:hyperlink w:history="0" w:anchor="P1024"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
        <w:r>
          <w:rPr>
            <w:sz w:val="20"/>
            <w:color w:val="0000ff"/>
          </w:rPr>
          <w:t xml:space="preserve">"л" пункта 9</w:t>
        </w:r>
      </w:hyperlink>
      <w:r>
        <w:rPr>
          <w:sz w:val="20"/>
        </w:rPr>
        <w:t xml:space="preserve"> настоящих Правил;</w:t>
      </w:r>
    </w:p>
    <w:bookmarkStart w:id="1144" w:name="P1144"/>
    <w:bookmarkEnd w:id="1144"/>
    <w:p>
      <w:pPr>
        <w:pStyle w:val="0"/>
        <w:spacing w:before="200" w:line-rule="auto"/>
        <w:ind w:firstLine="540"/>
        <w:jc w:val="both"/>
      </w:pPr>
      <w:r>
        <w:rPr>
          <w:sz w:val="20"/>
        </w:rPr>
        <w:t xml:space="preserve">г)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pPr>
        <w:pStyle w:val="0"/>
        <w:spacing w:before="200" w:line-rule="auto"/>
        <w:ind w:firstLine="540"/>
        <w:jc w:val="both"/>
      </w:pPr>
      <w:r>
        <w:rPr>
          <w:sz w:val="20"/>
        </w:rPr>
        <w:t xml:space="preserve">д) максимальная мощность ранее присоединенных в данной точке присоединения энергопринимающих устройств заявителя, которые используются для бытовых и иных нужд, не связанных с осуществлением предпринимательской деятельности;</w:t>
      </w:r>
    </w:p>
    <w:p>
      <w:pPr>
        <w:pStyle w:val="0"/>
        <w:spacing w:before="200" w:line-rule="auto"/>
        <w:ind w:firstLine="540"/>
        <w:jc w:val="both"/>
      </w:pPr>
      <w:r>
        <w:rPr>
          <w:sz w:val="20"/>
        </w:rPr>
        <w:t xml:space="preserve">е)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pPr>
        <w:pStyle w:val="0"/>
        <w:jc w:val="both"/>
      </w:pPr>
      <w:r>
        <w:rPr>
          <w:sz w:val="20"/>
        </w:rPr>
        <w:t xml:space="preserve">(п. 13(4) введен </w:t>
      </w:r>
      <w:hyperlink w:history="0" r:id="rId634"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Постановлением</w:t>
        </w:r>
      </w:hyperlink>
      <w:r>
        <w:rPr>
          <w:sz w:val="20"/>
        </w:rPr>
        <w:t xml:space="preserve"> Правительства РФ от 02.03.2021 N 299)</w:t>
      </w:r>
    </w:p>
    <w:bookmarkStart w:id="1148" w:name="P1148"/>
    <w:bookmarkEnd w:id="1148"/>
    <w:p>
      <w:pPr>
        <w:pStyle w:val="0"/>
        <w:spacing w:before="200" w:line-rule="auto"/>
        <w:ind w:firstLine="540"/>
        <w:jc w:val="both"/>
      </w:pPr>
      <w:r>
        <w:rPr>
          <w:sz w:val="20"/>
        </w:rPr>
        <w:t xml:space="preserve">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и объектов микрогенерации, должны быть указаны:</w:t>
      </w:r>
    </w:p>
    <w:p>
      <w:pPr>
        <w:pStyle w:val="0"/>
        <w:spacing w:before="200" w:line-rule="auto"/>
        <w:ind w:firstLine="540"/>
        <w:jc w:val="both"/>
      </w:pPr>
      <w:r>
        <w:rPr>
          <w:sz w:val="20"/>
        </w:rPr>
        <w:t xml:space="preserve">а)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страховой номер индивидуального лицевого счета в системе индивидуального (персонифицированного) учета, номер мобильного телефона и адрес электронной почты;</w:t>
      </w:r>
    </w:p>
    <w:p>
      <w:pPr>
        <w:pStyle w:val="0"/>
        <w:jc w:val="both"/>
      </w:pPr>
      <w:r>
        <w:rPr>
          <w:sz w:val="20"/>
        </w:rPr>
        <w:t xml:space="preserve">(пп. "а" в ред. </w:t>
      </w:r>
      <w:hyperlink w:history="0" r:id="rId635"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p>
      <w:pPr>
        <w:pStyle w:val="0"/>
        <w:spacing w:before="200" w:line-rule="auto"/>
        <w:ind w:firstLine="540"/>
        <w:jc w:val="both"/>
      </w:pPr>
      <w:r>
        <w:rPr>
          <w:sz w:val="20"/>
        </w:rPr>
        <w:t xml:space="preserve">б) адрес места жительства заявителя;</w:t>
      </w:r>
    </w:p>
    <w:p>
      <w:pPr>
        <w:pStyle w:val="0"/>
        <w:spacing w:before="200" w:line-rule="auto"/>
        <w:ind w:firstLine="540"/>
        <w:jc w:val="both"/>
      </w:pPr>
      <w:r>
        <w:rPr>
          <w:sz w:val="20"/>
        </w:rPr>
        <w:t xml:space="preserve">в) сведения, предусмотренные </w:t>
      </w:r>
      <w:hyperlink w:history="0" w:anchor="P1005" w:tooltip="б) наименование и место нахождения энергопринимающих устройств, которые необходимо присоединить к электрическим сетям сетевой организации;">
        <w:r>
          <w:rPr>
            <w:sz w:val="20"/>
            <w:color w:val="0000ff"/>
          </w:rPr>
          <w:t xml:space="preserve">подпунктами "б"</w:t>
        </w:r>
      </w:hyperlink>
      <w:r>
        <w:rPr>
          <w:sz w:val="20"/>
        </w:rPr>
        <w:t xml:space="preserve">, </w:t>
      </w:r>
      <w:hyperlink w:history="0" w:anchor="P1017" w:tooltip="и) сроки проектирования и поэтапного введения в эксплуатацию энергопринимающих устройств (в том числе по этапам и очередям);">
        <w:r>
          <w:rPr>
            <w:sz w:val="20"/>
            <w:color w:val="0000ff"/>
          </w:rPr>
          <w:t xml:space="preserve">"и"</w:t>
        </w:r>
      </w:hyperlink>
      <w:r>
        <w:rPr>
          <w:sz w:val="20"/>
        </w:rPr>
        <w:t xml:space="preserve"> и </w:t>
      </w:r>
      <w:hyperlink w:history="0" w:anchor="P1024"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
        <w:r>
          <w:rPr>
            <w:sz w:val="20"/>
            <w:color w:val="0000ff"/>
          </w:rPr>
          <w:t xml:space="preserve">"л" пункта 9</w:t>
        </w:r>
      </w:hyperlink>
      <w:r>
        <w:rPr>
          <w:sz w:val="20"/>
        </w:rPr>
        <w:t xml:space="preserve"> настоящих Правил;</w:t>
      </w:r>
    </w:p>
    <w:bookmarkStart w:id="1153" w:name="P1153"/>
    <w:bookmarkEnd w:id="1153"/>
    <w:p>
      <w:pPr>
        <w:pStyle w:val="0"/>
        <w:spacing w:before="200" w:line-rule="auto"/>
        <w:ind w:firstLine="540"/>
        <w:jc w:val="both"/>
      </w:pPr>
      <w:r>
        <w:rPr>
          <w:sz w:val="20"/>
        </w:rPr>
        <w:t xml:space="preserve">г)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pPr>
        <w:pStyle w:val="0"/>
        <w:spacing w:before="200" w:line-rule="auto"/>
        <w:ind w:firstLine="540"/>
        <w:jc w:val="both"/>
      </w:pPr>
      <w:r>
        <w:rPr>
          <w:sz w:val="20"/>
        </w:rPr>
        <w:t xml:space="preserve">д) запрашиваемая максимальная мощность присоединяемых в данной точке присоединения энергопринимающих устройств заявителя, электроснабжение которых предусматривается по одному источнику, не превышающая с учетом максимальной мощности ранее присоединенных в данной точке присоединения энергопринимающих устройств заявителя 150 кВт;</w:t>
      </w:r>
    </w:p>
    <w:p>
      <w:pPr>
        <w:pStyle w:val="0"/>
        <w:spacing w:before="200" w:line-rule="auto"/>
        <w:ind w:firstLine="540"/>
        <w:jc w:val="both"/>
      </w:pPr>
      <w:r>
        <w:rPr>
          <w:sz w:val="20"/>
        </w:rPr>
        <w:t xml:space="preserve">е)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pPr>
        <w:pStyle w:val="0"/>
        <w:jc w:val="both"/>
      </w:pPr>
      <w:r>
        <w:rPr>
          <w:sz w:val="20"/>
        </w:rPr>
        <w:t xml:space="preserve">(п. 13(5) введен </w:t>
      </w:r>
      <w:hyperlink w:history="0" r:id="rId636"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Постановлением</w:t>
        </w:r>
      </w:hyperlink>
      <w:r>
        <w:rPr>
          <w:sz w:val="20"/>
        </w:rPr>
        <w:t xml:space="preserve"> Правительства РФ от 02.03.2021 N 299)</w:t>
      </w:r>
    </w:p>
    <w:bookmarkStart w:id="1157" w:name="P1157"/>
    <w:bookmarkEnd w:id="1157"/>
    <w:p>
      <w:pPr>
        <w:pStyle w:val="0"/>
        <w:spacing w:before="200" w:line-rule="auto"/>
        <w:ind w:firstLine="540"/>
        <w:jc w:val="both"/>
      </w:pPr>
      <w:r>
        <w:rPr>
          <w:sz w:val="20"/>
        </w:rPr>
        <w:t xml:space="preserve">13(6).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свыше 150 кВт (с учетом ранее присоединенных в данной точке присоединения энергопринимающих устройств), и объектов микрогенерации, должны быть указаны:</w:t>
      </w:r>
    </w:p>
    <w:p>
      <w:pPr>
        <w:pStyle w:val="0"/>
        <w:spacing w:before="200" w:line-rule="auto"/>
        <w:ind w:firstLine="540"/>
        <w:jc w:val="both"/>
      </w:pPr>
      <w:r>
        <w:rPr>
          <w:sz w:val="20"/>
        </w:rPr>
        <w:t xml:space="preserve">а) сведения, предусмотренные </w:t>
      </w:r>
      <w:hyperlink w:history="0" w:anchor="P1003" w:tooltip="а)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я индивидуальных предпринимателей - фамилия, имя, отчество физического лица, основной государственный регистрационный номер индивидуального предпринимателя и идентификационный номер налогоплательщика, для физических лиц - фамилия, имя, отчество (при наличии), серия, номер и дата выдачи паспорта или иного документа, удостоверяющего личность гражда...">
        <w:r>
          <w:rPr>
            <w:sz w:val="20"/>
            <w:color w:val="0000ff"/>
          </w:rPr>
          <w:t xml:space="preserve">подпунктами "а"</w:t>
        </w:r>
      </w:hyperlink>
      <w:r>
        <w:rPr>
          <w:sz w:val="20"/>
        </w:rPr>
        <w:t xml:space="preserve"> - </w:t>
      </w:r>
      <w:hyperlink w:history="0" w:anchor="P1006" w:tooltip="в) место нахождения (место жительства) заявителя">
        <w:r>
          <w:rPr>
            <w:sz w:val="20"/>
            <w:color w:val="0000ff"/>
          </w:rPr>
          <w:t xml:space="preserve">"в"</w:t>
        </w:r>
      </w:hyperlink>
      <w:r>
        <w:rPr>
          <w:sz w:val="20"/>
        </w:rPr>
        <w:t xml:space="preserve"> и </w:t>
      </w:r>
      <w:hyperlink w:history="0" w:anchor="P1017" w:tooltip="и) сроки проектирования и поэтапного введения в эксплуатацию энергопринимающих устройств (в том числе по этапам и очередям);">
        <w:r>
          <w:rPr>
            <w:sz w:val="20"/>
            <w:color w:val="0000ff"/>
          </w:rPr>
          <w:t xml:space="preserve">"и"</w:t>
        </w:r>
      </w:hyperlink>
      <w:r>
        <w:rPr>
          <w:sz w:val="20"/>
        </w:rPr>
        <w:t xml:space="preserve"> - </w:t>
      </w:r>
      <w:hyperlink w:history="0" w:anchor="P1024"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
        <w:r>
          <w:rPr>
            <w:sz w:val="20"/>
            <w:color w:val="0000ff"/>
          </w:rPr>
          <w:t xml:space="preserve">"л" пункта 9</w:t>
        </w:r>
      </w:hyperlink>
      <w:r>
        <w:rPr>
          <w:sz w:val="20"/>
        </w:rPr>
        <w:t xml:space="preserve"> настоящих Правил;</w:t>
      </w:r>
    </w:p>
    <w:p>
      <w:pPr>
        <w:pStyle w:val="0"/>
        <w:spacing w:before="200" w:line-rule="auto"/>
        <w:ind w:firstLine="540"/>
        <w:jc w:val="both"/>
      </w:pPr>
      <w:r>
        <w:rPr>
          <w:sz w:val="20"/>
        </w:rPr>
        <w:t xml:space="preserve">б) запрашиваемая максимальная мощность присоединяемых энергопринимающих устройств заявителя;</w:t>
      </w:r>
    </w:p>
    <w:p>
      <w:pPr>
        <w:pStyle w:val="0"/>
        <w:spacing w:before="200" w:line-rule="auto"/>
        <w:ind w:firstLine="540"/>
        <w:jc w:val="both"/>
      </w:pPr>
      <w:r>
        <w:rPr>
          <w:sz w:val="20"/>
        </w:rPr>
        <w:t xml:space="preserve">в) характер (график) нагрузки (вид деятельности хозяйствующего субъекта);</w:t>
      </w:r>
    </w:p>
    <w:p>
      <w:pPr>
        <w:pStyle w:val="0"/>
        <w:spacing w:before="200" w:line-rule="auto"/>
        <w:ind w:firstLine="540"/>
        <w:jc w:val="both"/>
      </w:pPr>
      <w:r>
        <w:rPr>
          <w:sz w:val="20"/>
        </w:rPr>
        <w:t xml:space="preserve">г)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pPr>
        <w:pStyle w:val="0"/>
        <w:spacing w:before="200" w:line-rule="auto"/>
        <w:ind w:firstLine="540"/>
        <w:jc w:val="both"/>
      </w:pPr>
      <w:r>
        <w:rPr>
          <w:sz w:val="20"/>
        </w:rPr>
        <w:t xml:space="preserve">д)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pPr>
        <w:pStyle w:val="0"/>
        <w:jc w:val="both"/>
      </w:pPr>
      <w:r>
        <w:rPr>
          <w:sz w:val="20"/>
        </w:rPr>
        <w:t xml:space="preserve">(п. 13(6) введен </w:t>
      </w:r>
      <w:hyperlink w:history="0" r:id="rId637"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Постановлением</w:t>
        </w:r>
      </w:hyperlink>
      <w:r>
        <w:rPr>
          <w:sz w:val="20"/>
        </w:rPr>
        <w:t xml:space="preserve"> Правительства РФ от 02.03.2021 N 299)</w:t>
      </w:r>
    </w:p>
    <w:bookmarkStart w:id="1164" w:name="P1164"/>
    <w:bookmarkEnd w:id="1164"/>
    <w:p>
      <w:pPr>
        <w:pStyle w:val="0"/>
        <w:spacing w:before="200" w:line-rule="auto"/>
        <w:ind w:firstLine="540"/>
        <w:jc w:val="both"/>
      </w:pPr>
      <w:r>
        <w:rPr>
          <w:sz w:val="20"/>
        </w:rPr>
        <w:t xml:space="preserve">13(7). Заявители из числа указанных в пунктах 13(3) и 13(5) настоящих Правил, за исключением заявителей, соответствующих критериям, указанным в абзаце восьмом пункта 17 настоящих Правил, при желании воспользоваться рассрочкой платежа за технологическое присоединение указывают это в направляемой ими заявке.</w:t>
      </w:r>
    </w:p>
    <w:p>
      <w:pPr>
        <w:pStyle w:val="0"/>
        <w:spacing w:before="200" w:line-rule="auto"/>
        <w:ind w:firstLine="540"/>
        <w:jc w:val="both"/>
      </w:pPr>
      <w:r>
        <w:rPr>
          <w:sz w:val="20"/>
        </w:rPr>
        <w:t xml:space="preserve">За предоставление рассрочки платежа за технологическое присоединение сетевой организации заявителем выплачиваются проценты. Проценты начисляются на остаток задолженности заявителя и подлежат оплате одновременно с очередным платежом, которым погашается частично или полностью такая задолженность. Размер процентов (в процентах годовых) определяется за каждый день рассрочки в размере действовавшей на указанный день ключевой ставки Центрального банка Российской Федерации, увеличенной на 4 процентных пункта.</w:t>
      </w:r>
    </w:p>
    <w:p>
      <w:pPr>
        <w:pStyle w:val="0"/>
        <w:jc w:val="both"/>
      </w:pPr>
      <w:r>
        <w:rPr>
          <w:sz w:val="20"/>
        </w:rPr>
        <w:t xml:space="preserve">(п. 13(7) в ред. </w:t>
      </w:r>
      <w:hyperlink w:history="0" r:id="rId638"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bookmarkStart w:id="1167" w:name="P1167"/>
    <w:bookmarkEnd w:id="1167"/>
    <w:p>
      <w:pPr>
        <w:pStyle w:val="0"/>
        <w:spacing w:before="200" w:line-rule="auto"/>
        <w:ind w:firstLine="540"/>
        <w:jc w:val="both"/>
      </w:pPr>
      <w:r>
        <w:rPr>
          <w:sz w:val="20"/>
        </w:rPr>
        <w:t xml:space="preserve">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w:t>
      </w:r>
    </w:p>
    <w:p>
      <w:pPr>
        <w:pStyle w:val="0"/>
        <w:jc w:val="both"/>
      </w:pPr>
      <w:r>
        <w:rPr>
          <w:sz w:val="20"/>
        </w:rPr>
        <w:t xml:space="preserve">(в ред. </w:t>
      </w:r>
      <w:hyperlink w:history="0" r:id="rId639"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spacing w:before="200" w:line-rule="auto"/>
        <w:ind w:firstLine="540"/>
        <w:jc w:val="both"/>
      </w:pPr>
      <w:r>
        <w:rPr>
          <w:sz w:val="20"/>
        </w:rPr>
        <w:t xml:space="preserve">а)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страховой номер индивидуального лицевого счета в системе индивидуального (персонифицированного) учета, номер мобильного телефона и адрес электронной почты;</w:t>
      </w:r>
    </w:p>
    <w:p>
      <w:pPr>
        <w:pStyle w:val="0"/>
        <w:jc w:val="both"/>
      </w:pPr>
      <w:r>
        <w:rPr>
          <w:sz w:val="20"/>
        </w:rPr>
        <w:t xml:space="preserve">(пп. "а" в ред. </w:t>
      </w:r>
      <w:hyperlink w:history="0" r:id="rId640"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p>
      <w:pPr>
        <w:pStyle w:val="0"/>
        <w:spacing w:before="200" w:line-rule="auto"/>
        <w:ind w:firstLine="540"/>
        <w:jc w:val="both"/>
      </w:pPr>
      <w:r>
        <w:rPr>
          <w:sz w:val="20"/>
        </w:rPr>
        <w:t xml:space="preserve">б) место жительства заявителя;</w:t>
      </w:r>
    </w:p>
    <w:p>
      <w:pPr>
        <w:pStyle w:val="0"/>
        <w:spacing w:before="200" w:line-rule="auto"/>
        <w:ind w:firstLine="540"/>
        <w:jc w:val="both"/>
      </w:pPr>
      <w:r>
        <w:rPr>
          <w:sz w:val="20"/>
        </w:rPr>
        <w:t xml:space="preserve">в) сведения, предусмотренные </w:t>
      </w:r>
      <w:hyperlink w:history="0" w:anchor="P1005" w:tooltip="б) наименование и место нахождения энергопринимающих устройств, которые необходимо присоединить к электрическим сетям сетевой организации;">
        <w:r>
          <w:rPr>
            <w:sz w:val="20"/>
            <w:color w:val="0000ff"/>
          </w:rPr>
          <w:t xml:space="preserve">подпунктами "б"</w:t>
        </w:r>
      </w:hyperlink>
      <w:r>
        <w:rPr>
          <w:sz w:val="20"/>
        </w:rPr>
        <w:t xml:space="preserve">, </w:t>
      </w:r>
      <w:hyperlink w:history="0" w:anchor="P1017" w:tooltip="и) сроки проектирования и поэтапного введения в эксплуатацию энергопринимающих устройств (в том числе по этапам и очередям);">
        <w:r>
          <w:rPr>
            <w:sz w:val="20"/>
            <w:color w:val="0000ff"/>
          </w:rPr>
          <w:t xml:space="preserve">"и"</w:t>
        </w:r>
      </w:hyperlink>
      <w:r>
        <w:rPr>
          <w:sz w:val="20"/>
        </w:rPr>
        <w:t xml:space="preserve"> и </w:t>
      </w:r>
      <w:hyperlink w:history="0" w:anchor="P1024"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
        <w:r>
          <w:rPr>
            <w:sz w:val="20"/>
            <w:color w:val="0000ff"/>
          </w:rPr>
          <w:t xml:space="preserve">"л" пункта 9</w:t>
        </w:r>
      </w:hyperlink>
      <w:r>
        <w:rPr>
          <w:sz w:val="20"/>
        </w:rPr>
        <w:t xml:space="preserve"> настоящих Правил;</w:t>
      </w:r>
    </w:p>
    <w:p>
      <w:pPr>
        <w:pStyle w:val="0"/>
        <w:jc w:val="both"/>
      </w:pPr>
      <w:r>
        <w:rPr>
          <w:sz w:val="20"/>
        </w:rPr>
        <w:t xml:space="preserve">(пп. </w:t>
      </w:r>
      <w:hyperlink w:history="0" w:anchor="P1006" w:tooltip="в) место нахождения (место жительства) заявителя">
        <w:r>
          <w:rPr>
            <w:sz w:val="20"/>
            <w:color w:val="0000ff"/>
          </w:rPr>
          <w:t xml:space="preserve">"в"</w:t>
        </w:r>
      </w:hyperlink>
      <w:r>
        <w:rPr>
          <w:sz w:val="20"/>
        </w:rPr>
        <w:t xml:space="preserve"> в ред. </w:t>
      </w:r>
      <w:hyperlink w:history="0" r:id="rId641" w:tooltip="Постановление Правительства РФ от 10.02.2014 N 95 &quot;О внесении изменений в акты Правительства Российской Федерации в части обязанности гарантирующих поставщиков заключить договор энергоснабжения (купли-продажи (поставки) электрической энергии (мощности)) с потребителям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Постановления</w:t>
        </w:r>
      </w:hyperlink>
      <w:r>
        <w:rPr>
          <w:sz w:val="20"/>
        </w:rPr>
        <w:t xml:space="preserve"> Правительства РФ от 10.02.2014 N 95)</w:t>
      </w:r>
    </w:p>
    <w:p>
      <w:pPr>
        <w:pStyle w:val="0"/>
        <w:spacing w:before="200" w:line-rule="auto"/>
        <w:ind w:firstLine="540"/>
        <w:jc w:val="both"/>
      </w:pPr>
      <w:r>
        <w:rPr>
          <w:sz w:val="20"/>
        </w:rPr>
        <w:t xml:space="preserve">г) запрашиваемая максимальная мощность энергопринимающих устройств заявителя.</w:t>
      </w:r>
    </w:p>
    <w:p>
      <w:pPr>
        <w:pStyle w:val="0"/>
        <w:jc w:val="both"/>
      </w:pPr>
      <w:r>
        <w:rPr>
          <w:sz w:val="20"/>
        </w:rPr>
        <w:t xml:space="preserve">(в ред. </w:t>
      </w:r>
      <w:hyperlink w:history="0" r:id="rId642"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jc w:val="both"/>
      </w:pPr>
      <w:r>
        <w:rPr>
          <w:sz w:val="20"/>
        </w:rPr>
        <w:t xml:space="preserve">(п. 14 в ред. </w:t>
      </w:r>
      <w:hyperlink w:history="0" r:id="rId643"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антПлюс}">
        <w:r>
          <w:rPr>
            <w:sz w:val="20"/>
            <w:color w:val="0000ff"/>
          </w:rPr>
          <w:t xml:space="preserve">Постановления</w:t>
        </w:r>
      </w:hyperlink>
      <w:r>
        <w:rPr>
          <w:sz w:val="20"/>
        </w:rPr>
        <w:t xml:space="preserve"> Правительства РФ от 21.04.2009 N 334)</w:t>
      </w:r>
    </w:p>
    <w:p>
      <w:pPr>
        <w:pStyle w:val="0"/>
        <w:spacing w:before="200" w:line-rule="auto"/>
        <w:ind w:firstLine="540"/>
        <w:jc w:val="both"/>
      </w:pPr>
      <w:r>
        <w:rPr>
          <w:sz w:val="20"/>
        </w:rPr>
        <w:t xml:space="preserve">14(1). Технологическое присоединение энергопринимающих устройств в целях обеспечения надежного их энергоснабжения и качества электрической энергии может быть осуществлено по одной из трех категорий надежности. Отнесение энергопринимающих устройств заявителя (потребителя электрической энергии) к определенной категории надежности осуществляется заявителем самостоятельно.</w:t>
      </w:r>
    </w:p>
    <w:p>
      <w:pPr>
        <w:pStyle w:val="0"/>
        <w:spacing w:before="200" w:line-rule="auto"/>
        <w:ind w:firstLine="540"/>
        <w:jc w:val="both"/>
      </w:pPr>
      <w:r>
        <w:rPr>
          <w:sz w:val="20"/>
        </w:rPr>
        <w:t xml:space="preserve">Отнесение энергопринимающих устройств к первой категории надежности осуществляется в случае, если необходимо обеспечить беспрерывный режим работы энергопринимающих устройств, перерыв снабжения электрической энергией которых допустим лишь на время автоматического ввода резервного источника снабжения электрической энергии и может повлечь за собой угрозу жизни и здоровью людей, угрозу безопасности государства, значительный материальный ущерб. В составе первой категории надежности выделяется особая категория энергопринимающих устройств, бесперебойная работа которых необходима для безаварийной остановки производства с целью предотвращения угрозы жизни людей, взрывов и пожаров.</w:t>
      </w:r>
    </w:p>
    <w:p>
      <w:pPr>
        <w:pStyle w:val="0"/>
        <w:jc w:val="both"/>
      </w:pPr>
      <w:r>
        <w:rPr>
          <w:sz w:val="20"/>
        </w:rPr>
        <w:t xml:space="preserve">(в ред. </w:t>
      </w:r>
      <w:hyperlink w:history="0" r:id="rId644" w:tooltip="Постановление Правительства РФ от 07.07.2015 N 679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07.07.2015 N 679)</w:t>
      </w:r>
    </w:p>
    <w:p>
      <w:pPr>
        <w:pStyle w:val="0"/>
        <w:spacing w:before="200" w:line-rule="auto"/>
        <w:ind w:firstLine="540"/>
        <w:jc w:val="both"/>
      </w:pPr>
      <w:r>
        <w:rPr>
          <w:sz w:val="20"/>
        </w:rPr>
        <w:t xml:space="preserve">Отнесение энергопринимающих устройств ко второй категории надежности осуществляется в случае, если необходимо обеспечить надежное функционирование энергопринимающих устройств, перерыв снабжения электрической энергией которых приводит к недопустимым нарушениям технологических процессов производства.</w:t>
      </w:r>
    </w:p>
    <w:p>
      <w:pPr>
        <w:pStyle w:val="0"/>
        <w:spacing w:before="200" w:line-rule="auto"/>
        <w:ind w:firstLine="540"/>
        <w:jc w:val="both"/>
      </w:pPr>
      <w:r>
        <w:rPr>
          <w:sz w:val="20"/>
        </w:rPr>
        <w:t xml:space="preserve">Энергопринимающие устройства, не отнесенные к первой или второй категориям надежности, относятся к третьей категории надежности.</w:t>
      </w:r>
    </w:p>
    <w:p>
      <w:pPr>
        <w:pStyle w:val="0"/>
        <w:spacing w:before="200" w:line-rule="auto"/>
        <w:ind w:firstLine="540"/>
        <w:jc w:val="both"/>
      </w:pPr>
      <w:r>
        <w:rPr>
          <w:sz w:val="20"/>
        </w:rPr>
        <w:t xml:space="preserve">Для энергопринимающих устройств, отнесенных к первой и второй категориям надежности, должно быть обеспечено наличие независимых резервных источников снабжения электрической энергией. Дополнительно для энергопринимающих устройств особой категории первой категории надежности, а также для энергопринимающих устройств, относящихся к энергопринимающим устройствам аварийной брони, должно быть обеспечено наличие автономного резервного источника питания соответствующей мощности.</w:t>
      </w:r>
    </w:p>
    <w:p>
      <w:pPr>
        <w:pStyle w:val="0"/>
        <w:jc w:val="both"/>
      </w:pPr>
      <w:r>
        <w:rPr>
          <w:sz w:val="20"/>
        </w:rPr>
        <w:t xml:space="preserve">(в ред. Постановлений Правительства РФ от 07.07.2015 </w:t>
      </w:r>
      <w:hyperlink w:history="0" r:id="rId645" w:tooltip="Постановление Правительства РФ от 07.07.2015 N 679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679</w:t>
        </w:r>
      </w:hyperlink>
      <w:r>
        <w:rPr>
          <w:sz w:val="20"/>
        </w:rPr>
        <w:t xml:space="preserve">, от 13.08.2018 </w:t>
      </w:r>
      <w:hyperlink w:history="0" r:id="rId646"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N 937</w:t>
        </w:r>
      </w:hyperlink>
      <w:r>
        <w:rPr>
          <w:sz w:val="20"/>
        </w:rPr>
        <w:t xml:space="preserve">, от 17.09.2018 </w:t>
      </w:r>
      <w:hyperlink w:history="0" r:id="rId647" w:tooltip="Постановление Правительства РФ от 17.09.2018 N 1096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sz w:val="20"/>
            <w:color w:val="0000ff"/>
          </w:rPr>
          <w:t xml:space="preserve">N 1096</w:t>
        </w:r>
      </w:hyperlink>
      <w:r>
        <w:rPr>
          <w:sz w:val="20"/>
        </w:rPr>
        <w:t xml:space="preserve">)</w:t>
      </w:r>
    </w:p>
    <w:p>
      <w:pPr>
        <w:pStyle w:val="0"/>
        <w:spacing w:before="200" w:line-rule="auto"/>
        <w:ind w:firstLine="540"/>
        <w:jc w:val="both"/>
      </w:pPr>
      <w:r>
        <w:rPr>
          <w:sz w:val="20"/>
        </w:rPr>
        <w:t xml:space="preserve">Автономные резервные источники питания в случае, если их наличие предусмотрено техническими условиями, подлежат установке владельцем энергопринимающих устройств и технологическому присоединению в порядке, предусмотренном настоящими Правилами. Владелец энергопринимающих устройств обязан поддерживать установленные автономные резервные источники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pPr>
        <w:pStyle w:val="0"/>
        <w:jc w:val="both"/>
      </w:pPr>
      <w:r>
        <w:rPr>
          <w:sz w:val="20"/>
        </w:rPr>
        <w:t xml:space="preserve">(п. 14(1) введен </w:t>
      </w:r>
      <w:hyperlink w:history="0" r:id="rId648"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Постановлением</w:t>
        </w:r>
      </w:hyperlink>
      <w:r>
        <w:rPr>
          <w:sz w:val="20"/>
        </w:rPr>
        <w:t xml:space="preserve"> Правительства РФ от 04.05.2012 N 442)</w:t>
      </w:r>
    </w:p>
    <w:bookmarkStart w:id="1186" w:name="P1186"/>
    <w:bookmarkEnd w:id="1186"/>
    <w:p>
      <w:pPr>
        <w:pStyle w:val="0"/>
        <w:spacing w:before="200" w:line-rule="auto"/>
        <w:ind w:firstLine="540"/>
        <w:jc w:val="both"/>
      </w:pPr>
      <w:r>
        <w:rPr>
          <w:sz w:val="20"/>
        </w:rPr>
        <w:t xml:space="preserve">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социальным последствиям, относящихся к категориям, определенным в </w:t>
      </w:r>
      <w:hyperlink w:history="0" r:id="rId649"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приложении</w:t>
        </w:r>
      </w:hyperlink>
      <w:r>
        <w:rPr>
          <w:sz w:val="20"/>
        </w:rP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Правила полного и (или) частичного ограничения режима потребления электрической энергии), а также энергопринимающих устройств, которые отнесены заявителями к первой категории надежности, составление и согласование акта согласования технологической и (или) аварийной брони является обязательным.</w:t>
      </w:r>
    </w:p>
    <w:p>
      <w:pPr>
        <w:pStyle w:val="0"/>
        <w:spacing w:before="200" w:line-rule="auto"/>
        <w:ind w:firstLine="540"/>
        <w:jc w:val="both"/>
      </w:pPr>
      <w:r>
        <w:rPr>
          <w:sz w:val="20"/>
        </w:rPr>
        <w:t xml:space="preserve">Величина аварийной и (или) технологической брони определяется в соответствии с </w:t>
      </w:r>
      <w:hyperlink w:history="0" w:anchor="P763" w:tooltip="ПРАВИЛА">
        <w:r>
          <w:rPr>
            <w:sz w:val="20"/>
            <w:color w:val="0000ff"/>
          </w:rPr>
          <w:t xml:space="preserve">Правилами</w:t>
        </w:r>
      </w:hyperlink>
      <w:r>
        <w:rPr>
          <w:sz w:val="20"/>
        </w:rP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недискриминационного доступа к услугам по передаче электрической энергии и оказания этих услуг), на основании содержащихся в проектной документации схемы электроснабжения энергопринимающих устройств заявителя, перечня энергопринимающих устройств, относящихся к энергопринимающим устройствам аварийной и (или) технологической брони, и его технического (технологического) обоснования.</w:t>
      </w:r>
    </w:p>
    <w:p>
      <w:pPr>
        <w:pStyle w:val="0"/>
        <w:spacing w:before="200" w:line-rule="auto"/>
        <w:ind w:firstLine="540"/>
        <w:jc w:val="both"/>
      </w:pPr>
      <w:r>
        <w:rPr>
          <w:sz w:val="20"/>
        </w:rPr>
        <w:t xml:space="preserve">Проект акта согласования технологической и (или) аварийной брони составляется и подписывается заявителем в 2 экземплярах и направляется в сетевую организацию любым способом, позволяющим подтвердить факт его получения.</w:t>
      </w:r>
    </w:p>
    <w:p>
      <w:pPr>
        <w:pStyle w:val="0"/>
        <w:spacing w:before="200" w:line-rule="auto"/>
        <w:ind w:firstLine="540"/>
        <w:jc w:val="both"/>
      </w:pPr>
      <w:r>
        <w:rPr>
          <w:sz w:val="20"/>
        </w:rPr>
        <w:t xml:space="preserve">К проекту акта согласования технологической и (или) аварийной брони должны быть приложены:</w:t>
      </w:r>
    </w:p>
    <w:p>
      <w:pPr>
        <w:pStyle w:val="0"/>
        <w:spacing w:before="200" w:line-rule="auto"/>
        <w:ind w:firstLine="540"/>
        <w:jc w:val="both"/>
      </w:pPr>
      <w:r>
        <w:rPr>
          <w:sz w:val="20"/>
        </w:rPr>
        <w:t xml:space="preserve">документы, обосновывающие величины аварийной и технологической брони;</w:t>
      </w:r>
    </w:p>
    <w:p>
      <w:pPr>
        <w:pStyle w:val="0"/>
        <w:spacing w:before="200" w:line-rule="auto"/>
        <w:ind w:firstLine="540"/>
        <w:jc w:val="both"/>
      </w:pPr>
      <w:r>
        <w:rPr>
          <w:sz w:val="20"/>
        </w:rPr>
        <w:t xml:space="preserve">перечень энергопринимающих устройств, относящихся к энергопринимающим устройствам аварийной и (или) технологической брони.</w:t>
      </w:r>
    </w:p>
    <w:p>
      <w:pPr>
        <w:pStyle w:val="0"/>
        <w:spacing w:before="200" w:line-rule="auto"/>
        <w:ind w:firstLine="540"/>
        <w:jc w:val="both"/>
      </w:pPr>
      <w:r>
        <w:rPr>
          <w:sz w:val="20"/>
        </w:rPr>
        <w:t xml:space="preserve">Сетевая организация в течение 10 рабочих дней со дня получения от заявителя проекта акта согласования технологической и (или) аварийной брони обязана рассмотреть его, подписать и направить 1 экземпляр акта заявителю.</w:t>
      </w:r>
    </w:p>
    <w:p>
      <w:pPr>
        <w:pStyle w:val="0"/>
        <w:spacing w:before="200" w:line-rule="auto"/>
        <w:ind w:firstLine="540"/>
        <w:jc w:val="both"/>
      </w:pPr>
      <w:r>
        <w:rPr>
          <w:sz w:val="20"/>
        </w:rPr>
        <w:t xml:space="preserve">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относительно величины технологической и (или) аварийной брони, то в качестве согласованной величины технологической и (или) аварийной брони принимается величина, указанная в таких замечаниях.</w:t>
      </w:r>
    </w:p>
    <w:p>
      <w:pPr>
        <w:pStyle w:val="0"/>
        <w:spacing w:before="200" w:line-rule="auto"/>
        <w:ind w:firstLine="540"/>
        <w:jc w:val="both"/>
      </w:pPr>
      <w:r>
        <w:rPr>
          <w:sz w:val="20"/>
        </w:rPr>
        <w:t xml:space="preserve">Акт согласования технологической и (или) аварийной брони составляется по форме и в соответствии с требованиями, установленными </w:t>
      </w:r>
      <w:hyperlink w:history="0" r:id="rId650" w:tooltip="Приказ Минэнерго России от 06.06.2013 N 290 (ред. от 18.10.2018) &quot;Об утверждении Правил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quot; (Зарегистрировано в Минюсте России 09.08.2013 N 29348) {КонсультантПлюс}">
        <w:r>
          <w:rPr>
            <w:sz w:val="20"/>
            <w:color w:val="0000ff"/>
          </w:rPr>
          <w:t xml:space="preserve">правилами</w:t>
        </w:r>
      </w:hyperlink>
      <w:r>
        <w:rPr>
          <w:sz w:val="20"/>
        </w:rP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pPr>
        <w:pStyle w:val="0"/>
        <w:spacing w:before="200" w:line-rule="auto"/>
        <w:ind w:firstLine="540"/>
        <w:jc w:val="both"/>
      </w:pPr>
      <w:r>
        <w:rPr>
          <w:sz w:val="20"/>
        </w:rPr>
        <w:t xml:space="preserve">Отсутствие подписанного сторонами акта согласования технологической и (или) аварийной брони не является основанием для невыполнения сетевой организацией своих обязательств по договору об осуществлении технологического присоединения к электрическим сетям и (или) отказа в подписании документов о технологическом присоединении.</w:t>
      </w:r>
    </w:p>
    <w:p>
      <w:pPr>
        <w:pStyle w:val="0"/>
        <w:jc w:val="both"/>
      </w:pPr>
      <w:r>
        <w:rPr>
          <w:sz w:val="20"/>
        </w:rPr>
        <w:t xml:space="preserve">(п. 14(2) в ред. </w:t>
      </w:r>
      <w:hyperlink w:history="0" r:id="rId651" w:tooltip="Постановление Правительства РФ от 17.09.2018 N 1096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sz w:val="20"/>
            <w:color w:val="0000ff"/>
          </w:rPr>
          <w:t xml:space="preserve">Постановления</w:t>
        </w:r>
      </w:hyperlink>
      <w:r>
        <w:rPr>
          <w:sz w:val="20"/>
        </w:rPr>
        <w:t xml:space="preserve"> Правительства РФ от 17.09.2018 N 1096)</w:t>
      </w:r>
    </w:p>
    <w:bookmarkStart w:id="1197" w:name="P1197"/>
    <w:bookmarkEnd w:id="1197"/>
    <w:p>
      <w:pPr>
        <w:pStyle w:val="0"/>
        <w:spacing w:before="200" w:line-rule="auto"/>
        <w:ind w:firstLine="540"/>
        <w:jc w:val="both"/>
      </w:pPr>
      <w:r>
        <w:rPr>
          <w:sz w:val="20"/>
        </w:rPr>
        <w:t xml:space="preserve">15. Абзац утратил силу с 1 июля 2020 года. - </w:t>
      </w:r>
      <w:hyperlink w:history="0" r:id="rId652" w:tooltip="Постановление Правительства РФ от 10.03.2020 N 262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10.03.2020 N 262.</w:t>
      </w:r>
    </w:p>
    <w:p>
      <w:pPr>
        <w:pStyle w:val="0"/>
        <w:spacing w:before="200" w:line-rule="auto"/>
        <w:ind w:firstLine="540"/>
        <w:jc w:val="both"/>
      </w:pPr>
      <w:r>
        <w:rPr>
          <w:sz w:val="20"/>
        </w:rPr>
        <w:t xml:space="preserve">В случае осуществления технологического присоединения по индивидуальному проекту сетевая организация направляет для подписания заполненный и подписанный ею проект договора в 2 экземплярах и подписанные технические условия (как неотъемлемое приложение к договору) в сроки, установленные </w:t>
      </w:r>
      <w:hyperlink w:history="0" w:anchor="P1647" w:tooltip="30.4. В случае осуществления технологического присоединения по индивидуальному проекту сетевая организация направляет заявителю для подписания заполненный и подписанный со своей стороны проект договора в 2 экземплярах, индивидуальные технические условия (в случае, если индивидуальные технические условия в соответствии с настоящими Правилами подлежат согласованию с системным оператором, - индивидуальные технические условия, согласованные с системным оператором), являющиеся неотъемлемым приложением к этому...">
        <w:r>
          <w:rPr>
            <w:sz w:val="20"/>
            <w:color w:val="0000ff"/>
          </w:rPr>
          <w:t xml:space="preserve">пунктом 30(4)</w:t>
        </w:r>
      </w:hyperlink>
      <w:r>
        <w:rPr>
          <w:sz w:val="20"/>
        </w:rPr>
        <w:t xml:space="preserve"> настоящих Правил.</w:t>
      </w:r>
    </w:p>
    <w:p>
      <w:pPr>
        <w:pStyle w:val="0"/>
        <w:jc w:val="both"/>
      </w:pPr>
      <w:r>
        <w:rPr>
          <w:sz w:val="20"/>
        </w:rPr>
        <w:t xml:space="preserve">(в ред. Постановлений Правительства РФ от 27.12.2017 </w:t>
      </w:r>
      <w:hyperlink w:history="0" r:id="rId653"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1661</w:t>
        </w:r>
      </w:hyperlink>
      <w:r>
        <w:rPr>
          <w:sz w:val="20"/>
        </w:rPr>
        <w:t xml:space="preserve">, от 01.04.2020 </w:t>
      </w:r>
      <w:hyperlink w:history="0" r:id="rId654"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N 403</w:t>
        </w:r>
      </w:hyperlink>
      <w:r>
        <w:rPr>
          <w:sz w:val="20"/>
        </w:rPr>
        <w:t xml:space="preserve">)</w:t>
      </w:r>
    </w:p>
    <w:bookmarkStart w:id="1200" w:name="P1200"/>
    <w:bookmarkEnd w:id="1200"/>
    <w:p>
      <w:pPr>
        <w:pStyle w:val="0"/>
        <w:spacing w:before="200" w:line-rule="auto"/>
        <w:ind w:firstLine="540"/>
        <w:jc w:val="both"/>
      </w:pPr>
      <w:r>
        <w:rPr>
          <w:sz w:val="20"/>
        </w:rPr>
        <w:t xml:space="preserve">В адрес заявителей, за исключением случаев осуществления технологического присоединения по индивидуальному проекту, сетевая организация направляет для подписания заполненный и подписанный ею проект договора в 2 экземплярах и подписанные технические условия как неотъемлемое приложение к договору в течение 20 рабочих дней со дня получения заявки.</w:t>
      </w:r>
    </w:p>
    <w:p>
      <w:pPr>
        <w:pStyle w:val="0"/>
        <w:jc w:val="both"/>
      </w:pPr>
      <w:r>
        <w:rPr>
          <w:sz w:val="20"/>
        </w:rPr>
        <w:t xml:space="preserve">(абзац введен </w:t>
      </w:r>
      <w:hyperlink w:history="0" r:id="rId655" w:tooltip="Постановление Правительства РФ от 12.08.2013 N 691 (ред. от 10.03.2020) &quot;О внесении изменений в некоторые акты Правительства Российской Федерации по вопросам технологического присоединения к электрическим сетям&quot; {КонсультантПлюс}">
        <w:r>
          <w:rPr>
            <w:sz w:val="20"/>
            <w:color w:val="0000ff"/>
          </w:rPr>
          <w:t xml:space="preserve">Постановлением</w:t>
        </w:r>
      </w:hyperlink>
      <w:r>
        <w:rPr>
          <w:sz w:val="20"/>
        </w:rPr>
        <w:t xml:space="preserve"> Правительства РФ от 12.08.2013 N 691; в ред. Постановлений Правительства РФ от 27.12.2017 </w:t>
      </w:r>
      <w:hyperlink w:history="0" r:id="rId656"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1661</w:t>
        </w:r>
      </w:hyperlink>
      <w:r>
        <w:rPr>
          <w:sz w:val="20"/>
        </w:rPr>
        <w:t xml:space="preserve">, от 10.03.2020 </w:t>
      </w:r>
      <w:hyperlink w:history="0" r:id="rId657" w:tooltip="Постановление Правительства РФ от 10.03.2020 N 262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262</w:t>
        </w:r>
      </w:hyperlink>
      <w:r>
        <w:rPr>
          <w:sz w:val="20"/>
        </w:rPr>
        <w:t xml:space="preserve">, от 01.04.2020 </w:t>
      </w:r>
      <w:hyperlink w:history="0" r:id="rId658"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N 403</w:t>
        </w:r>
      </w:hyperlink>
      <w:r>
        <w:rPr>
          <w:sz w:val="20"/>
        </w:rPr>
        <w:t xml:space="preserve">)</w:t>
      </w:r>
    </w:p>
    <w:bookmarkStart w:id="1202" w:name="P1202"/>
    <w:bookmarkEnd w:id="1202"/>
    <w:p>
      <w:pPr>
        <w:pStyle w:val="0"/>
        <w:spacing w:before="200" w:line-rule="auto"/>
        <w:ind w:firstLine="540"/>
        <w:jc w:val="both"/>
      </w:pPr>
      <w:r>
        <w:rPr>
          <w:sz w:val="20"/>
        </w:rPr>
        <w:t xml:space="preserve">В целях временного технологического присоединения сетевая организация направляет заявителю в бумажном виде для подписания заполненный и подписанный ею проект договора в 2 экземплярах и подписанные технические условия как неотъемлемое приложение к такому договору в течение 10 дней со дня получения заявки, направленной в том числе посредством официального сайта сетевой организации или единого портала (в случае обеспечения сетевой организацией, в которую подается заявка, возможности реализации прав и обязанностей, возникающих в ходе осуществления процедуры технологического присоединения энергопринимающих устройств к электрическим сетям, с использованием единого портала).</w:t>
      </w:r>
    </w:p>
    <w:p>
      <w:pPr>
        <w:pStyle w:val="0"/>
        <w:jc w:val="both"/>
      </w:pPr>
      <w:r>
        <w:rPr>
          <w:sz w:val="20"/>
        </w:rPr>
        <w:t xml:space="preserve">(абзац введен </w:t>
      </w:r>
      <w:hyperlink w:history="0" r:id="rId659"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sz w:val="20"/>
            <w:color w:val="0000ff"/>
          </w:rPr>
          <w:t xml:space="preserve">Постановлением</w:t>
        </w:r>
      </w:hyperlink>
      <w:r>
        <w:rPr>
          <w:sz w:val="20"/>
        </w:rPr>
        <w:t xml:space="preserve"> Правительства РФ от 20.02.2014 N 130; в ред. Постановлений Правительства РФ от 01.04.2020 </w:t>
      </w:r>
      <w:hyperlink w:history="0" r:id="rId660"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N 403</w:t>
        </w:r>
      </w:hyperlink>
      <w:r>
        <w:rPr>
          <w:sz w:val="20"/>
        </w:rPr>
        <w:t xml:space="preserve">, от 14.03.2022 </w:t>
      </w:r>
      <w:hyperlink w:history="0" r:id="rId661"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360</w:t>
        </w:r>
      </w:hyperlink>
      <w:r>
        <w:rPr>
          <w:sz w:val="20"/>
        </w:rPr>
        <w:t xml:space="preserve">)</w:t>
      </w:r>
    </w:p>
    <w:p>
      <w:pPr>
        <w:pStyle w:val="0"/>
        <w:spacing w:before="200" w:line-rule="auto"/>
        <w:ind w:firstLine="540"/>
        <w:jc w:val="both"/>
      </w:pPr>
      <w:r>
        <w:rPr>
          <w:sz w:val="20"/>
        </w:rPr>
        <w:t xml:space="preserve">Сетевая организация одновременно с направлением договора заявителю уведомляет заявителя о последствиях наступления бездоговорного потребления электрической энергии в случае нарушения заявителем предусмотренных настоящими Правилами и </w:t>
      </w:r>
      <w:hyperlink w:history="0" r:id="rId662"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Основными положениями</w:t>
        </w:r>
      </w:hyperlink>
      <w:r>
        <w:rPr>
          <w:sz w:val="20"/>
        </w:rPr>
        <w:t xml:space="preserve"> функционирования розничных рынков электрической энергии правил заключения договора, обеспечивающего продажу электрической энергии (мощности) на розничном рынке, а также, за исключением заявителей, указанных в </w:t>
      </w:r>
      <w:hyperlink w:history="0" w:anchor="P1101" w:tooltip="13. В заявке, направляемой заявителем в целях временного технологического присоединения, предусмотренного разделом VII настоящих Правил, указывается:">
        <w:r>
          <w:rPr>
            <w:sz w:val="20"/>
            <w:color w:val="0000ff"/>
          </w:rPr>
          <w:t xml:space="preserve">пункте 13</w:t>
        </w:r>
      </w:hyperlink>
      <w:r>
        <w:rPr>
          <w:sz w:val="20"/>
        </w:rPr>
        <w:t xml:space="preserve"> настоящих Правил, о возможности временного технологического присоединения, предусмотренного </w:t>
      </w:r>
      <w:hyperlink w:history="0" w:anchor="P1869" w:tooltip="VII. Особенности временного технологического присоединения">
        <w:r>
          <w:rPr>
            <w:sz w:val="20"/>
            <w:color w:val="0000ff"/>
          </w:rPr>
          <w:t xml:space="preserve">разделом VII</w:t>
        </w:r>
      </w:hyperlink>
      <w:r>
        <w:rPr>
          <w:sz w:val="20"/>
        </w:rPr>
        <w:t xml:space="preserve"> настоящих Правил.</w:t>
      </w:r>
    </w:p>
    <w:p>
      <w:pPr>
        <w:pStyle w:val="0"/>
        <w:jc w:val="both"/>
      </w:pPr>
      <w:r>
        <w:rPr>
          <w:sz w:val="20"/>
        </w:rPr>
        <w:t xml:space="preserve">(в ред. </w:t>
      </w:r>
      <w:hyperlink w:history="0" r:id="rId663"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Постановления</w:t>
        </w:r>
      </w:hyperlink>
      <w:r>
        <w:rPr>
          <w:sz w:val="20"/>
        </w:rPr>
        <w:t xml:space="preserve"> Правительства РФ от 01.04.2020 N 403)</w:t>
      </w:r>
    </w:p>
    <w:p>
      <w:pPr>
        <w:pStyle w:val="0"/>
        <w:spacing w:before="200" w:line-rule="auto"/>
        <w:ind w:firstLine="540"/>
        <w:jc w:val="both"/>
      </w:pPr>
      <w:r>
        <w:rPr>
          <w:sz w:val="20"/>
        </w:rPr>
        <w:t xml:space="preserve">При этом в случае,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указан договор купли-продажи (поставки) электрической энергии (мощности), то сетевой организацией в адрес заявителя направляется заполненный и подписанный в 2 экземплярах проект договора на оказание услуг по передаче электрической энергии в отношении энергопринимающих устройств, технологическое присоединение которых осуществляется,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на оказание услуг по передаче электрической энергии, определенных в </w:t>
      </w:r>
      <w:hyperlink w:history="0" w:anchor="P218" w:tooltip="13. Договор должен содержать следующие существенные условия:">
        <w:r>
          <w:rPr>
            <w:sz w:val="20"/>
            <w:color w:val="0000ff"/>
          </w:rPr>
          <w:t xml:space="preserve">Правилах</w:t>
        </w:r>
      </w:hyperlink>
      <w:r>
        <w:rPr>
          <w:sz w:val="20"/>
        </w:rPr>
        <w:t xml:space="preserve"> недискриминационного доступа к услугам по передаче электрической энергии и оказания этих услуг.</w:t>
      </w:r>
    </w:p>
    <w:p>
      <w:pPr>
        <w:pStyle w:val="0"/>
        <w:jc w:val="both"/>
      </w:pPr>
      <w:r>
        <w:rPr>
          <w:sz w:val="20"/>
        </w:rPr>
        <w:t xml:space="preserve">(абзац введен </w:t>
      </w:r>
      <w:hyperlink w:history="0" r:id="rId664" w:tooltip="Постановление Правительства РФ от 10.02.2014 N 95 &quot;О внесении изменений в акты Правительства Российской Федерации в части обязанности гарантирующих поставщиков заключить договор энергоснабжения (купли-продажи (поставки) электрической энергии (мощности)) с потребителям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Постановлением</w:t>
        </w:r>
      </w:hyperlink>
      <w:r>
        <w:rPr>
          <w:sz w:val="20"/>
        </w:rPr>
        <w:t xml:space="preserve"> Правительства РФ от 10.02.2014 N 95)</w:t>
      </w:r>
    </w:p>
    <w:p>
      <w:pPr>
        <w:pStyle w:val="0"/>
        <w:spacing w:before="200" w:line-rule="auto"/>
        <w:ind w:firstLine="540"/>
        <w:jc w:val="both"/>
      </w:pPr>
      <w:r>
        <w:rPr>
          <w:sz w:val="20"/>
        </w:rPr>
        <w:t xml:space="preserve">Абзацы седьмой - девятый утратили силу с 1 июля 2020 года. - </w:t>
      </w:r>
      <w:hyperlink w:history="0" r:id="rId665" w:tooltip="Постановление Правительства РФ от 10.03.2020 N 262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10.03.2020 N 262.</w:t>
      </w:r>
    </w:p>
    <w:p>
      <w:pPr>
        <w:pStyle w:val="0"/>
        <w:spacing w:before="200" w:line-rule="auto"/>
        <w:ind w:firstLine="540"/>
        <w:jc w:val="both"/>
      </w:pPr>
      <w:r>
        <w:rPr>
          <w:sz w:val="20"/>
        </w:rPr>
        <w:t xml:space="preserve">В целях технологического присоединения энергопринимающих устройств, максимальная мощность которых составляет свыше 150 кВт и менее 670 кВт (за исключением случаев, указанных в </w:t>
      </w:r>
      <w:hyperlink w:history="0" w:anchor="P1200" w:tooltip="В адрес заявителей, за исключением случаев осуществления технологического присоединения по индивидуальному проекту, сетевая организация направляет для подписания заполненный и подписанный ею проект договора в 2 экземплярах и подписанные технические условия как неотъемлемое приложение к договору в течение 20 рабочих дней со дня получения заявки.">
        <w:r>
          <w:rPr>
            <w:sz w:val="20"/>
            <w:color w:val="0000ff"/>
          </w:rPr>
          <w:t xml:space="preserve">абзацах третьем</w:t>
        </w:r>
      </w:hyperlink>
      <w:r>
        <w:rPr>
          <w:sz w:val="20"/>
        </w:rPr>
        <w:t xml:space="preserve"> и </w:t>
      </w:r>
      <w:hyperlink w:history="0" w:anchor="P1202" w:tooltip="В целях временного технологического присоединения сетевая организация направляет заявителю в бумажном виде для подписания заполненный и подписанный ею проект договора в 2 экземплярах и подписанные технические условия как неотъемлемое приложение к такому договору в течение 10 дней со дня получения заявки, направленной в том числе посредством официального сайта сетевой организации или единого портала (в случае обеспечения сетевой организацией, в которую подается заявка, возможности реализации прав и обязан...">
        <w:r>
          <w:rPr>
            <w:sz w:val="20"/>
            <w:color w:val="0000ff"/>
          </w:rPr>
          <w:t xml:space="preserve">четвертом</w:t>
        </w:r>
      </w:hyperlink>
      <w:r>
        <w:rPr>
          <w:sz w:val="20"/>
        </w:rPr>
        <w:t xml:space="preserve"> настоящего пункта, а также случаев, связанных с осуществлением технологического присоединения по индивидуальному проекту), договор оформляется сетевой организацией в соответствии с типовым договором по форме согласно </w:t>
      </w:r>
      <w:hyperlink w:history="0" w:anchor="P4415" w:tooltip="ТИПОВОЙ ДОГОВОР">
        <w:r>
          <w:rPr>
            <w:sz w:val="20"/>
            <w:color w:val="0000ff"/>
          </w:rPr>
          <w:t xml:space="preserve">приложению N 11</w:t>
        </w:r>
      </w:hyperlink>
      <w:r>
        <w:rPr>
          <w:sz w:val="20"/>
        </w:rPr>
        <w:t xml:space="preserve"> и направляется заявителю - юридическому лицу или индивидуальному предпринимателю.</w:t>
      </w:r>
    </w:p>
    <w:p>
      <w:pPr>
        <w:pStyle w:val="0"/>
        <w:jc w:val="both"/>
      </w:pPr>
      <w:r>
        <w:rPr>
          <w:sz w:val="20"/>
        </w:rPr>
        <w:t xml:space="preserve">(абзац введен </w:t>
      </w:r>
      <w:hyperlink w:history="0" r:id="rId666" w:tooltip="Постановление Правительства РФ от 01.03.2011 N 129 (ред. от 10.03.202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01.03.2011 N 129, в ред. Постановлений Правительства РФ от 04.05.2012 </w:t>
      </w:r>
      <w:hyperlink w:history="0" r:id="rId667"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N 442</w:t>
        </w:r>
      </w:hyperlink>
      <w:r>
        <w:rPr>
          <w:sz w:val="20"/>
        </w:rPr>
        <w:t xml:space="preserve">, от 05.10.2012 </w:t>
      </w:r>
      <w:hyperlink w:history="0" r:id="rId668" w:tooltip="Постановление Правительства РФ от 05.10.2012 N 1015 (ред. от 10.03.2020) &quot;О внесении изменений в некоторые акты Правительства Российской Федерации в целях повышения доступности энергетической инфраструктуры&quot; {КонсультантПлюс}">
        <w:r>
          <w:rPr>
            <w:sz w:val="20"/>
            <w:color w:val="0000ff"/>
          </w:rPr>
          <w:t xml:space="preserve">N 1015</w:t>
        </w:r>
      </w:hyperlink>
      <w:r>
        <w:rPr>
          <w:sz w:val="20"/>
        </w:rPr>
        <w:t xml:space="preserve">, от 11.06.2015 </w:t>
      </w:r>
      <w:hyperlink w:history="0" r:id="rId669" w:tooltip="Постановление Правительства РФ от 11.06.2015 N 588 (ред. от 10.03.2020, с изм. от 30.06.2022) &quot;О внесении изменений в постановление Правительства Российской Федерации от 27 декабря 2004 г. N 861&quot; {КонсультантПлюс}">
        <w:r>
          <w:rPr>
            <w:sz w:val="20"/>
            <w:color w:val="0000ff"/>
          </w:rPr>
          <w:t xml:space="preserve">N 588</w:t>
        </w:r>
      </w:hyperlink>
      <w:r>
        <w:rPr>
          <w:sz w:val="20"/>
        </w:rPr>
        <w:t xml:space="preserve">)</w:t>
      </w:r>
    </w:p>
    <w:p>
      <w:pPr>
        <w:pStyle w:val="0"/>
        <w:spacing w:before="200" w:line-rule="auto"/>
        <w:ind w:firstLine="540"/>
        <w:jc w:val="both"/>
      </w:pPr>
      <w:r>
        <w:rPr>
          <w:sz w:val="20"/>
        </w:rPr>
        <w:t xml:space="preserve">В целях технологического присоединения энергопринимающих устройств заявителей, заключивших соглашение о перераспределении максимальной мощности с владельцами энергопринимающих устройств (за исключением лиц,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пункте 12(1)</w:t>
        </w:r>
      </w:hyperlink>
      <w:r>
        <w:rPr>
          <w:sz w:val="20"/>
        </w:rPr>
        <w:t xml:space="preserve"> настоящих Правил, лиц, указанных в </w:t>
      </w:r>
      <w:hyperlink w:history="0" w:anchor="P1101" w:tooltip="13. В заявке, направляемой заявителем в целях временного технологического присоединения, предусмотренного разделом VII настоящих Правил, указывается:">
        <w:r>
          <w:rPr>
            <w:sz w:val="20"/>
            <w:color w:val="0000ff"/>
          </w:rPr>
          <w:t xml:space="preserve">пунктах 13</w:t>
        </w:r>
      </w:hyperlink>
      <w:r>
        <w:rPr>
          <w:sz w:val="20"/>
        </w:rPr>
        <w:t xml:space="preserve">,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лиц, присоединенных к объектам единой национальной (общероссийской) электрической сети, а также лиц, не внесших плату за технологическое присоединение либо внесших плату за технологическое присоединение не в полном объеме), имеющими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фактическое технологическое присоединение, договор оформляется сетевой организацией в соответствии с типовым договором по форме согласно </w:t>
      </w:r>
      <w:hyperlink w:history="0" w:anchor="P4711" w:tooltip="ТИПОВОЙ ДОГОВОР">
        <w:r>
          <w:rPr>
            <w:sz w:val="20"/>
            <w:color w:val="0000ff"/>
          </w:rPr>
          <w:t xml:space="preserve">приложению N 12</w:t>
        </w:r>
      </w:hyperlink>
      <w:r>
        <w:rPr>
          <w:sz w:val="20"/>
        </w:rPr>
        <w:t xml:space="preserve"> и направляется заявителю.</w:t>
      </w:r>
    </w:p>
    <w:p>
      <w:pPr>
        <w:pStyle w:val="0"/>
        <w:jc w:val="both"/>
      </w:pPr>
      <w:r>
        <w:rPr>
          <w:sz w:val="20"/>
        </w:rPr>
        <w:t xml:space="preserve">(абзац введен </w:t>
      </w:r>
      <w:hyperlink w:history="0" r:id="rId670" w:tooltip="Постановление Правительства РФ от 22.11.2012 N 1209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22.11.2012 N 1209; в ред. Постановлений Правительства РФ от 11.06.2015 </w:t>
      </w:r>
      <w:hyperlink w:history="0" r:id="rId671" w:tooltip="Постановление Правительства РФ от 11.06.2015 N 588 (ред. от 10.03.2020, с изм. от 30.06.2022) &quot;О внесении изменений в постановление Правительства Российской Федерации от 27 декабря 2004 г. N 861&quot; {КонсультантПлюс}">
        <w:r>
          <w:rPr>
            <w:sz w:val="20"/>
            <w:color w:val="0000ff"/>
          </w:rPr>
          <w:t xml:space="preserve">N 588</w:t>
        </w:r>
      </w:hyperlink>
      <w:r>
        <w:rPr>
          <w:sz w:val="20"/>
        </w:rPr>
        <w:t xml:space="preserve">, от 30.09.2015 </w:t>
      </w:r>
      <w:hyperlink w:history="0" r:id="rId672"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1044</w:t>
        </w:r>
      </w:hyperlink>
      <w:r>
        <w:rPr>
          <w:sz w:val="20"/>
        </w:rPr>
        <w:t xml:space="preserve">, от 02.03.2021 </w:t>
      </w:r>
      <w:hyperlink w:history="0" r:id="rId673"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N 299</w:t>
        </w:r>
      </w:hyperlink>
      <w:r>
        <w:rPr>
          <w:sz w:val="20"/>
        </w:rPr>
        <w:t xml:space="preserve">)</w:t>
      </w:r>
    </w:p>
    <w:p>
      <w:pPr>
        <w:pStyle w:val="0"/>
        <w:spacing w:before="200" w:line-rule="auto"/>
        <w:ind w:firstLine="540"/>
        <w:jc w:val="both"/>
      </w:pPr>
      <w:r>
        <w:rPr>
          <w:sz w:val="20"/>
        </w:rPr>
        <w:t xml:space="preserve">При необходимости согласования технических условий с системным оператором в случае, предусмотренном </w:t>
      </w:r>
      <w:hyperlink w:history="0" w:anchor="P1478" w:tooltip="Системный оператор в течение 15 дней со дня получения проекта технических условий от сетевой организации рассматривает заявку и осуществляет согласование проекта технических условий на технологическое присоединение в отношении присоединяемых объектов по производству электрической энергии, установленная генерирующая мощность которых превышает 5 МВт или увеличивается на 5 МВт и выше, а также присоединяемых объектов электросетевого хозяйства, максимальная мощность которых превышает 5 МВт или увеличивается н...">
        <w:r>
          <w:rPr>
            <w:sz w:val="20"/>
            <w:color w:val="0000ff"/>
          </w:rPr>
          <w:t xml:space="preserve">абзацем четвертым пункта 21</w:t>
        </w:r>
      </w:hyperlink>
      <w:r>
        <w:rPr>
          <w:sz w:val="20"/>
        </w:rPr>
        <w:t xml:space="preserve"> настоящих Правил, указанный срок по инициативе сетевой организации может быть увеличен на срок согласования технических условий с системным оператором. В этом случае заявитель уведомляется об увеличении срока и дате его завершения. При этом сетевая организация направляет заявителю для подписания заполненный и подписанный ею проект договора в 2 экземплярах и подписанные технические условия как неотъемлемое приложение к договору, согласованные с системным оператором, не позднее 3 рабочих дней со дня их согласования с системным оператором.</w:t>
      </w:r>
    </w:p>
    <w:p>
      <w:pPr>
        <w:pStyle w:val="0"/>
        <w:jc w:val="both"/>
      </w:pPr>
      <w:r>
        <w:rPr>
          <w:sz w:val="20"/>
        </w:rPr>
        <w:t xml:space="preserve">(в ред. Постановлений Правительства РФ от 24.09.2010 </w:t>
      </w:r>
      <w:hyperlink w:history="0" r:id="rId674"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sz w:val="20"/>
            <w:color w:val="0000ff"/>
          </w:rPr>
          <w:t xml:space="preserve">N 759</w:t>
        </w:r>
      </w:hyperlink>
      <w:r>
        <w:rPr>
          <w:sz w:val="20"/>
        </w:rPr>
        <w:t xml:space="preserve">, от 04.05.2012 </w:t>
      </w:r>
      <w:hyperlink w:history="0" r:id="rId675"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N 442</w:t>
        </w:r>
      </w:hyperlink>
      <w:r>
        <w:rPr>
          <w:sz w:val="20"/>
        </w:rPr>
        <w:t xml:space="preserve">, от 12.08.2013 </w:t>
      </w:r>
      <w:hyperlink w:history="0" r:id="rId676" w:tooltip="Постановление Правительства РФ от 12.08.2013 N 691 (ред. от 10.03.2020) &quot;О внесении изменений в некоторые акты Правительства Российской Федерации по вопросам технологического присоединения к электрическим сетям&quot; {КонсультантПлюс}">
        <w:r>
          <w:rPr>
            <w:sz w:val="20"/>
            <w:color w:val="0000ff"/>
          </w:rPr>
          <w:t xml:space="preserve">N 691</w:t>
        </w:r>
      </w:hyperlink>
      <w:r>
        <w:rPr>
          <w:sz w:val="20"/>
        </w:rPr>
        <w:t xml:space="preserve">, от 01.04.2020 </w:t>
      </w:r>
      <w:hyperlink w:history="0" r:id="rId677"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N 403</w:t>
        </w:r>
      </w:hyperlink>
      <w:r>
        <w:rPr>
          <w:sz w:val="20"/>
        </w:rPr>
        <w:t xml:space="preserve">)</w:t>
      </w:r>
    </w:p>
    <w:p>
      <w:pPr>
        <w:pStyle w:val="0"/>
        <w:spacing w:before="200" w:line-rule="auto"/>
        <w:ind w:firstLine="540"/>
        <w:jc w:val="both"/>
      </w:pPr>
      <w:r>
        <w:rPr>
          <w:sz w:val="20"/>
        </w:rPr>
        <w:t xml:space="preserve">Абзац утратил силу. - </w:t>
      </w:r>
      <w:hyperlink w:history="0" r:id="rId678"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sz w:val="20"/>
            <w:color w:val="0000ff"/>
          </w:rPr>
          <w:t xml:space="preserve">Постановление</w:t>
        </w:r>
      </w:hyperlink>
      <w:r>
        <w:rPr>
          <w:sz w:val="20"/>
        </w:rPr>
        <w:t xml:space="preserve"> Правительства РФ от 24.09.2010 N 759.</w:t>
      </w:r>
    </w:p>
    <w:p>
      <w:pPr>
        <w:pStyle w:val="0"/>
        <w:spacing w:before="200" w:line-rule="auto"/>
        <w:ind w:firstLine="540"/>
        <w:jc w:val="both"/>
      </w:pPr>
      <w:r>
        <w:rPr>
          <w:sz w:val="20"/>
        </w:rPr>
        <w:t xml:space="preserve">Сетевая организация в течение 3 рабочих дней рассматривает заявку, а также приложенные к ней документы и сведения и проверяет их на соответствие требованиям, указанным в </w:t>
      </w:r>
      <w:hyperlink w:history="0" w:anchor="P1001" w:tooltip="9. В заявке, направляемой заявителем (за исключением лиц, указанных в пунктах 12 - 14 настоящих Правил), должны быть в зависимости от конкретных условий указаны следующие сведения:">
        <w:r>
          <w:rPr>
            <w:sz w:val="20"/>
            <w:color w:val="0000ff"/>
          </w:rPr>
          <w:t xml:space="preserve">пунктах 9</w:t>
        </w:r>
      </w:hyperlink>
      <w:r>
        <w:rPr>
          <w:sz w:val="20"/>
        </w:rPr>
        <w:t xml:space="preserve">, </w:t>
      </w:r>
      <w:hyperlink w:history="0" w:anchor="P1040" w:tooltip="10. К заявке прилагаются следующие документы:">
        <w:r>
          <w:rPr>
            <w:sz w:val="20"/>
            <w:color w:val="0000ff"/>
          </w:rPr>
          <w:t xml:space="preserve">10</w:t>
        </w:r>
      </w:hyperlink>
      <w:r>
        <w:rPr>
          <w:sz w:val="20"/>
        </w:rPr>
        <w:t xml:space="preserve"> и </w:t>
      </w:r>
      <w:hyperlink w:history="0" w:anchor="P1081" w:tooltip="12. В заявке, направляемой заявителем - юридическим лицом или индивидуальным предпринимателем, максимальная мощность энергопринимающих устройств которых составляет свыше 150 кВт и менее 670 кВт, должны быть указаны:">
        <w:r>
          <w:rPr>
            <w:sz w:val="20"/>
            <w:color w:val="0000ff"/>
          </w:rPr>
          <w:t xml:space="preserve">12</w:t>
        </w:r>
      </w:hyperlink>
      <w:r>
        <w:rPr>
          <w:sz w:val="20"/>
        </w:rPr>
        <w:t xml:space="preserve"> -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При отсутствии сведений и документов, указанных в </w:t>
      </w:r>
      <w:hyperlink w:history="0" w:anchor="P1001" w:tooltip="9. В заявке, направляемой заявителем (за исключением лиц, указанных в пунктах 12 - 14 настоящих Правил), должны быть в зависимости от конкретных условий указаны следующие сведения:">
        <w:r>
          <w:rPr>
            <w:sz w:val="20"/>
            <w:color w:val="0000ff"/>
          </w:rPr>
          <w:t xml:space="preserve">пунктах 9</w:t>
        </w:r>
      </w:hyperlink>
      <w:r>
        <w:rPr>
          <w:sz w:val="20"/>
        </w:rPr>
        <w:t xml:space="preserve">, </w:t>
      </w:r>
      <w:hyperlink w:history="0" w:anchor="P1040" w:tooltip="10. К заявке прилагаются следующие документы:">
        <w:r>
          <w:rPr>
            <w:sz w:val="20"/>
            <w:color w:val="0000ff"/>
          </w:rPr>
          <w:t xml:space="preserve">10</w:t>
        </w:r>
      </w:hyperlink>
      <w:r>
        <w:rPr>
          <w:sz w:val="20"/>
        </w:rPr>
        <w:t xml:space="preserve"> и </w:t>
      </w:r>
      <w:hyperlink w:history="0" w:anchor="P1081" w:tooltip="12. В заявке, направляемой заявителем - юридическим лицом или индивидуальным предпринимателем, максимальная мощность энергопринимающих устройств которых составляет свыше 150 кВт и менее 670 кВт, должны быть указаны:">
        <w:r>
          <w:rPr>
            <w:sz w:val="20"/>
            <w:color w:val="0000ff"/>
          </w:rPr>
          <w:t xml:space="preserve">12</w:t>
        </w:r>
      </w:hyperlink>
      <w:r>
        <w:rPr>
          <w:sz w:val="20"/>
        </w:rPr>
        <w:t xml:space="preserve"> -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сетевая организация не позднее 3 рабочих дней со дня получения заявки направляет заявителю уведомление, содержащее указание на сведения (документы), которые в соответствии с настоящими Правилами должны быть представлены заявителем в дополнение к представленным сведениям (документам), а также указание на необходимость их представления в течение 20 рабочих дней со дня получения указанного уведомления. При этом сетевая организация приостанавливает рассмотрение заявки до получения недостающих сведений и документов. В случае непредставления заявителем недостающих документов и сведений в течение 20 рабочих дней со дня получения указанного уведомления сетевая организация аннулирует заявку и уведомляет об этом заявителя в течение 3 рабочих дней со дня принятия решения об аннулировании заявки. После получения недостающих сведений от заявителя сетевая организация рассматривает заявку и направляет заявителю для подписания заполненный и подписанный ею проект договора в 2 экземплярах и технические условия (как неотъемлемое приложение к договору) в сроки, предусмотренные настоящим пунктом для соответствующей категории заявителя, исчисляемые со дня представления заявителем недостающих сведений.</w:t>
      </w:r>
    </w:p>
    <w:p>
      <w:pPr>
        <w:pStyle w:val="0"/>
        <w:jc w:val="both"/>
      </w:pPr>
      <w:r>
        <w:rPr>
          <w:sz w:val="20"/>
        </w:rPr>
        <w:t xml:space="preserve">(в ред. Постановлений Правительства РФ от 27.12.2017 </w:t>
      </w:r>
      <w:hyperlink w:history="0" r:id="rId679"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1661</w:t>
        </w:r>
      </w:hyperlink>
      <w:r>
        <w:rPr>
          <w:sz w:val="20"/>
        </w:rPr>
        <w:t xml:space="preserve">, от 01.04.2020 </w:t>
      </w:r>
      <w:hyperlink w:history="0" r:id="rId680"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N 403</w:t>
        </w:r>
      </w:hyperlink>
      <w:r>
        <w:rPr>
          <w:sz w:val="20"/>
        </w:rPr>
        <w:t xml:space="preserve">)</w:t>
      </w:r>
    </w:p>
    <w:p>
      <w:pPr>
        <w:pStyle w:val="0"/>
        <w:spacing w:before="200" w:line-rule="auto"/>
        <w:ind w:firstLine="540"/>
        <w:jc w:val="both"/>
      </w:pPr>
      <w:r>
        <w:rPr>
          <w:sz w:val="20"/>
        </w:rPr>
        <w:t xml:space="preserve">Заявитель подписывает оба экземпляра проекта договора в течение 10 рабочих дней с даты получения подписанного сетевой организацией проекта договора и направляет в указанный срок 1 экземпляр сетевой организации с приложением к нему документов, подтверждающих полномочия лица, подписавшего такой договор.</w:t>
      </w:r>
    </w:p>
    <w:p>
      <w:pPr>
        <w:pStyle w:val="0"/>
        <w:jc w:val="both"/>
      </w:pPr>
      <w:r>
        <w:rPr>
          <w:sz w:val="20"/>
        </w:rPr>
        <w:t xml:space="preserve">(в ред. Постановлений Правительства РФ от 24.09.2010 </w:t>
      </w:r>
      <w:hyperlink w:history="0" r:id="rId681"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sz w:val="20"/>
            <w:color w:val="0000ff"/>
          </w:rPr>
          <w:t xml:space="preserve">N 759</w:t>
        </w:r>
      </w:hyperlink>
      <w:r>
        <w:rPr>
          <w:sz w:val="20"/>
        </w:rPr>
        <w:t xml:space="preserve">, от 27.12.2017 </w:t>
      </w:r>
      <w:hyperlink w:history="0" r:id="rId682"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1661</w:t>
        </w:r>
      </w:hyperlink>
      <w:r>
        <w:rPr>
          <w:sz w:val="20"/>
        </w:rPr>
        <w:t xml:space="preserve">)</w:t>
      </w:r>
    </w:p>
    <w:p>
      <w:pPr>
        <w:pStyle w:val="0"/>
        <w:spacing w:before="200" w:line-rule="auto"/>
        <w:ind w:firstLine="540"/>
        <w:jc w:val="both"/>
      </w:pPr>
      <w:r>
        <w:rPr>
          <w:sz w:val="20"/>
        </w:rPr>
        <w:t xml:space="preserve">В случае несогласия с представленным сетевой организацией проектом договора и (или) несоответствия его настоящим Правилам заявитель вправе в течение 10 рабочих дней со дня получения подписанного сетевой организацией проекта договора и подписанных технических условий направить сетевой организации мотивированный отказ от подписания проекта договора с предложением об изменении представленного проекта договора и требованием о приведении его в соответствие с настоящими Правилами.</w:t>
      </w:r>
    </w:p>
    <w:p>
      <w:pPr>
        <w:pStyle w:val="0"/>
        <w:jc w:val="both"/>
      </w:pPr>
      <w:r>
        <w:rPr>
          <w:sz w:val="20"/>
        </w:rPr>
        <w:t xml:space="preserve">(в ред. Постановлений Правительства РФ от 24.09.2010 </w:t>
      </w:r>
      <w:hyperlink w:history="0" r:id="rId683"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sz w:val="20"/>
            <w:color w:val="0000ff"/>
          </w:rPr>
          <w:t xml:space="preserve">N 759</w:t>
        </w:r>
      </w:hyperlink>
      <w:r>
        <w:rPr>
          <w:sz w:val="20"/>
        </w:rPr>
        <w:t xml:space="preserve">, от 27.12.2017 </w:t>
      </w:r>
      <w:hyperlink w:history="0" r:id="rId684"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1661</w:t>
        </w:r>
      </w:hyperlink>
      <w:r>
        <w:rPr>
          <w:sz w:val="20"/>
        </w:rPr>
        <w:t xml:space="preserve">, от 01.04.2020 </w:t>
      </w:r>
      <w:hyperlink w:history="0" r:id="rId685"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N 403</w:t>
        </w:r>
      </w:hyperlink>
      <w:r>
        <w:rPr>
          <w:sz w:val="20"/>
        </w:rPr>
        <w:t xml:space="preserve">)</w:t>
      </w:r>
    </w:p>
    <w:p>
      <w:pPr>
        <w:pStyle w:val="0"/>
        <w:spacing w:before="200" w:line-rule="auto"/>
        <w:ind w:firstLine="540"/>
        <w:jc w:val="both"/>
      </w:pPr>
      <w:r>
        <w:rPr>
          <w:sz w:val="20"/>
        </w:rPr>
        <w:t xml:space="preserve">Указанный мотивированный отказ направляется заявителем в сетевую организацию заказным письмом с уведомлением о вручении.</w:t>
      </w:r>
    </w:p>
    <w:p>
      <w:pPr>
        <w:pStyle w:val="0"/>
        <w:spacing w:before="200" w:line-rule="auto"/>
        <w:ind w:firstLine="540"/>
        <w:jc w:val="both"/>
      </w:pPr>
      <w:r>
        <w:rPr>
          <w:sz w:val="20"/>
        </w:rPr>
        <w:t xml:space="preserve">В случае ненаправления заявителем подписанного проекта договора либо мотивированного отказа от его подписания, но не ранее чем через 30 рабочих дней со дня получения заявителем подписанного сетевой организацией проекта договора и подписанных технических условий, поданная этим заявителем заявка аннулируется.</w:t>
      </w:r>
    </w:p>
    <w:p>
      <w:pPr>
        <w:pStyle w:val="0"/>
        <w:jc w:val="both"/>
      </w:pPr>
      <w:r>
        <w:rPr>
          <w:sz w:val="20"/>
        </w:rPr>
        <w:t xml:space="preserve">(в ред. Постановлений Правительства РФ от 24.09.2010 </w:t>
      </w:r>
      <w:hyperlink w:history="0" r:id="rId686"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sz w:val="20"/>
            <w:color w:val="0000ff"/>
          </w:rPr>
          <w:t xml:space="preserve">N 759</w:t>
        </w:r>
      </w:hyperlink>
      <w:r>
        <w:rPr>
          <w:sz w:val="20"/>
        </w:rPr>
        <w:t xml:space="preserve">, от 27.12.2017 </w:t>
      </w:r>
      <w:hyperlink w:history="0" r:id="rId687"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1661</w:t>
        </w:r>
      </w:hyperlink>
      <w:r>
        <w:rPr>
          <w:sz w:val="20"/>
        </w:rPr>
        <w:t xml:space="preserve">, от 01.04.2020 </w:t>
      </w:r>
      <w:hyperlink w:history="0" r:id="rId688"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N 403</w:t>
        </w:r>
      </w:hyperlink>
      <w:r>
        <w:rPr>
          <w:sz w:val="20"/>
        </w:rPr>
        <w:t xml:space="preserve">)</w:t>
      </w:r>
    </w:p>
    <w:p>
      <w:pPr>
        <w:pStyle w:val="0"/>
        <w:spacing w:before="200" w:line-rule="auto"/>
        <w:ind w:firstLine="540"/>
        <w:jc w:val="both"/>
      </w:pPr>
      <w:r>
        <w:rPr>
          <w:sz w:val="20"/>
        </w:rPr>
        <w:t xml:space="preserve">В случае направления заявителем в течение 10 рабочих дней после получения от сетевой организации проекта договора мотивированного отказа от подписания этого проекта договора с требованием приведения его в соответствие с настоящими Правилами сетевая организация обязана привести проект договора в соответствие с настоящими Правилами в течение 10 рабочих дней со дня получения такого требования и представить заявителю новую редакцию проекта договора для подписания, а также технические условия (как неотъемлемое приложение к договору).</w:t>
      </w:r>
    </w:p>
    <w:p>
      <w:pPr>
        <w:pStyle w:val="0"/>
        <w:jc w:val="both"/>
      </w:pPr>
      <w:r>
        <w:rPr>
          <w:sz w:val="20"/>
        </w:rPr>
        <w:t xml:space="preserve">(в ред. </w:t>
      </w:r>
      <w:hyperlink w:history="0" r:id="rId689"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27.12.2017 N 1661)</w:t>
      </w:r>
    </w:p>
    <w:p>
      <w:pPr>
        <w:pStyle w:val="0"/>
        <w:spacing w:before="200" w:line-rule="auto"/>
        <w:ind w:firstLine="540"/>
        <w:jc w:val="both"/>
      </w:pPr>
      <w:r>
        <w:rPr>
          <w:sz w:val="20"/>
        </w:rPr>
        <w:t xml:space="preserve">Договор считается заключенным с даты поступления подписанного заявителем экземпляра договора в сетевую организацию.</w:t>
      </w:r>
    </w:p>
    <w:p>
      <w:pPr>
        <w:pStyle w:val="0"/>
        <w:spacing w:before="200" w:line-rule="auto"/>
        <w:ind w:firstLine="540"/>
        <w:jc w:val="both"/>
      </w:pPr>
      <w:r>
        <w:rPr>
          <w:sz w:val="20"/>
        </w:rPr>
        <w:t xml:space="preserve">При заключении договора в отношении энергопринимающих устройств, в отношении которых ранее заключенный договор с заявителем расторгнут по решению суда по основанию, предусмотренному </w:t>
      </w:r>
      <w:hyperlink w:history="0" w:anchor="P1329" w:tooltip="16(5). 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
        <w:r>
          <w:rPr>
            <w:sz w:val="20"/>
            <w:color w:val="0000ff"/>
          </w:rPr>
          <w:t xml:space="preserve">пунктом 16(5)</w:t>
        </w:r>
      </w:hyperlink>
      <w:r>
        <w:rPr>
          <w:sz w:val="20"/>
        </w:rPr>
        <w:t xml:space="preserve"> настоящих Правил, исполнение сетевой организацией обязательств по вновь заключенному с таким заявителем договору начинается не ранее даты и времени уплаты заявителем сетевой организации неустойки по предыдущему договору.</w:t>
      </w:r>
    </w:p>
    <w:p>
      <w:pPr>
        <w:pStyle w:val="0"/>
        <w:jc w:val="both"/>
      </w:pPr>
      <w:r>
        <w:rPr>
          <w:sz w:val="20"/>
        </w:rPr>
        <w:t xml:space="preserve">(абзац введен </w:t>
      </w:r>
      <w:hyperlink w:history="0" r:id="rId690" w:tooltip="Постановление Правительства РФ от 05.10.2016 N 999 (с изм. от 30.06.2022) &quot;О внесении изменений в акты Правительства Российской Федерации по вопросам формирования мер ответственности за несоблюдение сроков осуществления мероприятий по технологическому присоединению&quot; {КонсультантПлюс}">
        <w:r>
          <w:rPr>
            <w:sz w:val="20"/>
            <w:color w:val="0000ff"/>
          </w:rPr>
          <w:t xml:space="preserve">Постановлением</w:t>
        </w:r>
      </w:hyperlink>
      <w:r>
        <w:rPr>
          <w:sz w:val="20"/>
        </w:rPr>
        <w:t xml:space="preserve"> Правительства РФ от 05.10.2016 N 999)</w:t>
      </w:r>
    </w:p>
    <w:p>
      <w:pPr>
        <w:pStyle w:val="0"/>
        <w:spacing w:before="200" w:line-rule="auto"/>
        <w:ind w:firstLine="540"/>
        <w:jc w:val="both"/>
      </w:pPr>
      <w:r>
        <w:rPr>
          <w:sz w:val="20"/>
        </w:rPr>
        <w:t xml:space="preserve">В случае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указан договор купли-продажи (поставки) электрической энергии (мощности), заявитель (за исключением заявителей, указанных в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пунктах 13(2)</w:t>
        </w:r>
      </w:hyperlink>
      <w:r>
        <w:rPr>
          <w:sz w:val="20"/>
        </w:rPr>
        <w:t xml:space="preserve"> и </w:t>
      </w:r>
      <w:hyperlink w:history="0" w:anchor="P1139" w:tooltip="13(4). В заявке, направляемой заявителем - физическим лицом в целях технологического присоединения объекта микрогенерации к объектам электросетевого хозяйства с уровнем напряжения до 1000 В, должны быть указаны:">
        <w:r>
          <w:rPr>
            <w:sz w:val="20"/>
            <w:color w:val="0000ff"/>
          </w:rPr>
          <w:t xml:space="preserve">13(4)</w:t>
        </w:r>
      </w:hyperlink>
      <w:r>
        <w:rPr>
          <w:sz w:val="20"/>
        </w:rPr>
        <w:t xml:space="preserve"> настоящих Правил) в течение 10 рабочих дней с даты получения от сетевой организации заполняет и подписывает проект договора на оказание услуг по передаче электрической энергии в отношении энергопринимающих устройств, технологическое присоединение которых осуществляется,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на оказание услуг по передаче электрической энергии, определенных в </w:t>
      </w:r>
      <w:hyperlink w:history="0" w:anchor="P218" w:tooltip="13. Договор должен содержать следующие существенные условия:">
        <w:r>
          <w:rPr>
            <w:sz w:val="20"/>
            <w:color w:val="0000ff"/>
          </w:rPr>
          <w:t xml:space="preserve">Правилах</w:t>
        </w:r>
      </w:hyperlink>
      <w:r>
        <w:rPr>
          <w:sz w:val="20"/>
        </w:rPr>
        <w:t xml:space="preserve"> недискриминационного доступа к услугам по передаче электрической энергии и оказания этих услуг, и направляет в указанный срок этот подписанный проект договора на оказание услуг по передаче электрической энергии сетевой организации с приложением к нему документов, подтверждающих полномочия лица, подписавшего такой проект договора. При этом заявитель в части тех условий, которые включены в проект договора на оказание услуг по передаче электрической энергии в виде описания исчерпывающего перечня вариантов применения этих условий, вправе выбрать тот вариант из числа относящихся к этому заявителю, который он считает для себя наиболее приемлемым. При несогласии заявителя с каким-либо условием проекта договора на оказание услуг по передаче электрической энергии, содержание которого установлено </w:t>
      </w:r>
      <w:hyperlink w:history="0" w:anchor="P86" w:tooltip="ПРАВИЛА">
        <w:r>
          <w:rPr>
            <w:sz w:val="20"/>
            <w:color w:val="0000ff"/>
          </w:rPr>
          <w:t xml:space="preserve">Правилами</w:t>
        </w:r>
      </w:hyperlink>
      <w:r>
        <w:rPr>
          <w:sz w:val="20"/>
        </w:rPr>
        <w:t xml:space="preserve"> недискриминационного доступа к услугам по передаче электрической энергии и оказания этих услуг, по причине несоответствия формулировки такого условия формулировке, предусмотренной указанными Правилами, либо при его несогласии с каким-либо условием договора на оказание услуг по передаче электрической энергии, содержание которого в соответствии с указанными Правилами может быть определено по усмотрению сторон, он вправе направить в сетевую организацию предложение о заключении договора на оказание услуг по передаче электрической энергии на иных условиях.</w:t>
      </w:r>
    </w:p>
    <w:p>
      <w:pPr>
        <w:pStyle w:val="0"/>
        <w:jc w:val="both"/>
      </w:pPr>
      <w:r>
        <w:rPr>
          <w:sz w:val="20"/>
        </w:rPr>
        <w:t xml:space="preserve">(абзац введен </w:t>
      </w:r>
      <w:hyperlink w:history="0" r:id="rId691" w:tooltip="Постановление Правительства РФ от 10.02.2014 N 95 &quot;О внесении изменений в акты Правительства Российской Федерации в части обязанности гарантирующих поставщиков заключить договор энергоснабжения (купли-продажи (поставки) электрической энергии (мощности)) с потребителям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Постановлением</w:t>
        </w:r>
      </w:hyperlink>
      <w:r>
        <w:rPr>
          <w:sz w:val="20"/>
        </w:rPr>
        <w:t xml:space="preserve"> Правительства РФ от 10.02.2014 N 95; в ред. Постановлений Правительства РФ от 27.12.2017 </w:t>
      </w:r>
      <w:hyperlink w:history="0" r:id="rId692"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1661</w:t>
        </w:r>
      </w:hyperlink>
      <w:r>
        <w:rPr>
          <w:sz w:val="20"/>
        </w:rPr>
        <w:t xml:space="preserve">, от 02.03.2021 </w:t>
      </w:r>
      <w:hyperlink w:history="0" r:id="rId693"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N 299</w:t>
        </w:r>
      </w:hyperlink>
      <w:r>
        <w:rPr>
          <w:sz w:val="20"/>
        </w:rPr>
        <w:t xml:space="preserve">)</w:t>
      </w:r>
    </w:p>
    <w:p>
      <w:pPr>
        <w:pStyle w:val="0"/>
        <w:spacing w:before="200" w:line-rule="auto"/>
        <w:ind w:firstLine="540"/>
        <w:jc w:val="both"/>
      </w:pPr>
      <w:r>
        <w:rPr>
          <w:sz w:val="20"/>
        </w:rPr>
        <w:t xml:space="preserve">Договор на оказание услуг по передаче электрической энергии в отношении энергопринимающих устройств, технологическое присоединение которых осуществляется, считается заключенным с сетевой организацией с даты поступления подписанного заявителем экземпляра такого договора в сетевую организацию, но не ранее даты заключения договора об осуществлении технологического присоединения к электрическим сетям указанных энергопринимающих устройств.</w:t>
      </w:r>
    </w:p>
    <w:p>
      <w:pPr>
        <w:pStyle w:val="0"/>
        <w:jc w:val="both"/>
      </w:pPr>
      <w:r>
        <w:rPr>
          <w:sz w:val="20"/>
        </w:rPr>
        <w:t xml:space="preserve">(абзац введен </w:t>
      </w:r>
      <w:hyperlink w:history="0" r:id="rId694" w:tooltip="Постановление Правительства РФ от 10.02.2014 N 95 &quot;О внесении изменений в акты Правительства Российской Федерации в части обязанности гарантирующих поставщиков заключить договор энергоснабжения (купли-продажи (поставки) электрической энергии (мощности)) с потребителям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Постановлением</w:t>
        </w:r>
      </w:hyperlink>
      <w:r>
        <w:rPr>
          <w:sz w:val="20"/>
        </w:rPr>
        <w:t xml:space="preserve"> Правительства РФ от 10.02.2014 N 95)</w:t>
      </w:r>
    </w:p>
    <w:p>
      <w:pPr>
        <w:pStyle w:val="0"/>
        <w:jc w:val="both"/>
      </w:pPr>
      <w:r>
        <w:rPr>
          <w:sz w:val="20"/>
        </w:rPr>
        <w:t xml:space="preserve">(п. 15 в ред. </w:t>
      </w:r>
      <w:hyperlink w:history="0" r:id="rId695"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антПлюс}">
        <w:r>
          <w:rPr>
            <w:sz w:val="20"/>
            <w:color w:val="0000ff"/>
          </w:rPr>
          <w:t xml:space="preserve">Постановления</w:t>
        </w:r>
      </w:hyperlink>
      <w:r>
        <w:rPr>
          <w:sz w:val="20"/>
        </w:rPr>
        <w:t xml:space="preserve"> Правительства РФ от 21.04.2009 N 334)</w:t>
      </w:r>
    </w:p>
    <w:p>
      <w:pPr>
        <w:pStyle w:val="0"/>
        <w:spacing w:before="200" w:line-rule="auto"/>
        <w:ind w:firstLine="540"/>
        <w:jc w:val="both"/>
      </w:pPr>
      <w:r>
        <w:rPr>
          <w:sz w:val="20"/>
        </w:rPr>
        <w:t xml:space="preserve">15(1). Сетевая организация в срок не позднее 2 рабочих дней с даты заключения договора с заявителем обязана направить в письменном или электронном виде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гарантирующего поставщика, с которым заявителем планируется к заключению договор купли-продажи электрической энергии, произведенной на объектах микрогенерации заявителя, копию подписанного с заявителем договора и копии документов заявителя, предусмотренных </w:t>
      </w:r>
      <w:hyperlink w:history="0" w:anchor="P1040" w:tooltip="10. К заявке прилагаются следующие документы:">
        <w:r>
          <w:rPr>
            <w:sz w:val="20"/>
            <w:color w:val="0000ff"/>
          </w:rPr>
          <w:t xml:space="preserve">пунктом 10</w:t>
        </w:r>
      </w:hyperlink>
      <w:r>
        <w:rPr>
          <w:sz w:val="20"/>
        </w:rPr>
        <w:t xml:space="preserve"> настоящих Правил, а также копию заявки о технологическом присоединении соответствующих энергопринимающих устройств, в которой указан гарантирующий поставщик или энергосбытовая (энергоснабжающая) организация в качестве субъекта розничного рынка, с которым заявитель намеревается заключить соответствующий договор.</w:t>
      </w:r>
    </w:p>
    <w:p>
      <w:pPr>
        <w:pStyle w:val="0"/>
        <w:jc w:val="both"/>
      </w:pPr>
      <w:r>
        <w:rPr>
          <w:sz w:val="20"/>
        </w:rPr>
        <w:t xml:space="preserve">(в ред. Постановлений Правительства РФ от 11.05.2017 </w:t>
      </w:r>
      <w:hyperlink w:history="0" r:id="rId696"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N 557</w:t>
        </w:r>
      </w:hyperlink>
      <w:r>
        <w:rPr>
          <w:sz w:val="20"/>
        </w:rPr>
        <w:t xml:space="preserve">, от 01.04.2020 </w:t>
      </w:r>
      <w:hyperlink w:history="0" r:id="rId697"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N 403</w:t>
        </w:r>
      </w:hyperlink>
      <w:r>
        <w:rPr>
          <w:sz w:val="20"/>
        </w:rPr>
        <w:t xml:space="preserve">, от 30.06.2022 </w:t>
      </w:r>
      <w:hyperlink w:history="0" r:id="rId698"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1178</w:t>
        </w:r>
      </w:hyperlink>
      <w:r>
        <w:rPr>
          <w:sz w:val="20"/>
        </w:rPr>
        <w:t xml:space="preserve">)</w:t>
      </w:r>
    </w:p>
    <w:p>
      <w:pPr>
        <w:pStyle w:val="0"/>
        <w:spacing w:before="200" w:line-rule="auto"/>
        <w:ind w:firstLine="540"/>
        <w:jc w:val="both"/>
      </w:pPr>
      <w:r>
        <w:rPr>
          <w:sz w:val="20"/>
        </w:rPr>
        <w:t xml:space="preserve">В случае если по основаниям, предусмотренным настоящими Правилами, договор расторгнут, сетевая организация не позднее 2 рабочих дней со дня расторжения договора обязана уведомить о расторжении договора субъекта розничного рынка, указанного в заявке в соответствии с </w:t>
      </w:r>
      <w:hyperlink w:history="0" w:anchor="P1024"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
        <w:r>
          <w:rPr>
            <w:sz w:val="20"/>
            <w:color w:val="0000ff"/>
          </w:rPr>
          <w:t xml:space="preserve">подпунктом "л" пункта 9</w:t>
        </w:r>
      </w:hyperlink>
      <w:r>
        <w:rPr>
          <w:sz w:val="20"/>
        </w:rPr>
        <w:t xml:space="preserve"> настоящих Правил, гарантирующего поставщика, с которым заявителем планировался к заключению договор купли-продажи электрической энергии, произведенной на объектах микрогенерации заявителя, и в случае наличия ранее полученных от указанных субъектов на бумажном носителе 2 экземпляров проекта договора, обеспечивающего продажу заявителю электрической энергии (мощности) на розничном рынке (проекта дополнительного соглашения к договору, обеспечивающему продажу заявителю электрической энергии (мощности) на розничном рынке), проекта договора купли-продажи электрической энергии, произведенной на объектах микрогенерации заявителя, - возвратить их субъекту розничного рынка, указанному в заявке в соответствии с </w:t>
      </w:r>
      <w:hyperlink w:history="0" w:anchor="P1024"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
        <w:r>
          <w:rPr>
            <w:sz w:val="20"/>
            <w:color w:val="0000ff"/>
          </w:rPr>
          <w:t xml:space="preserve">подпунктом "л" пункта 9</w:t>
        </w:r>
      </w:hyperlink>
      <w:r>
        <w:rPr>
          <w:sz w:val="20"/>
        </w:rPr>
        <w:t xml:space="preserve"> настоящих Правил, гарантирующему поставщику, с которым заявителем планируется к заключению договор купли-продажи электрической энергии, произведенной на объектах микрогенерации заявителя.</w:t>
      </w:r>
    </w:p>
    <w:p>
      <w:pPr>
        <w:pStyle w:val="0"/>
        <w:jc w:val="both"/>
      </w:pPr>
      <w:r>
        <w:rPr>
          <w:sz w:val="20"/>
        </w:rPr>
        <w:t xml:space="preserve">(в ред. </w:t>
      </w:r>
      <w:hyperlink w:history="0" r:id="rId699"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p>
      <w:pPr>
        <w:pStyle w:val="0"/>
        <w:jc w:val="both"/>
      </w:pPr>
      <w:r>
        <w:rPr>
          <w:sz w:val="20"/>
        </w:rPr>
        <w:t xml:space="preserve">(п. 15(1) введен </w:t>
      </w:r>
      <w:hyperlink w:history="0" r:id="rId700" w:tooltip="Постановление Правительства РФ от 10.02.2014 N 95 &quot;О внесении изменений в акты Правительства Российской Федерации в части обязанности гарантирующих поставщиков заключить договор энергоснабжения (купли-продажи (поставки) электрической энергии (мощности)) с потребителям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Постановлением</w:t>
        </w:r>
      </w:hyperlink>
      <w:r>
        <w:rPr>
          <w:sz w:val="20"/>
        </w:rPr>
        <w:t xml:space="preserve"> Правительства РФ от 10.02.2014 N 95)</w:t>
      </w:r>
    </w:p>
    <w:bookmarkStart w:id="1240" w:name="P1240"/>
    <w:bookmarkEnd w:id="1240"/>
    <w:p>
      <w:pPr>
        <w:pStyle w:val="0"/>
        <w:spacing w:before="200" w:line-rule="auto"/>
        <w:ind w:firstLine="540"/>
        <w:jc w:val="both"/>
      </w:pPr>
      <w:r>
        <w:rPr>
          <w:sz w:val="20"/>
        </w:rPr>
        <w:t xml:space="preserve">16. Договор должен содержать следующие существенные условия:</w:t>
      </w:r>
    </w:p>
    <w:p>
      <w:pPr>
        <w:pStyle w:val="0"/>
        <w:spacing w:before="200" w:line-rule="auto"/>
        <w:ind w:firstLine="540"/>
        <w:jc w:val="both"/>
      </w:pPr>
      <w:r>
        <w:rPr>
          <w:sz w:val="20"/>
        </w:rPr>
        <w:t xml:space="preserve">а) перечень мероприятий по технологическому присоединению (определяется в технических условиях, являющихся неотъемлемой частью договора) и обязательства сторон по их выполнению;</w:t>
      </w:r>
    </w:p>
    <w:bookmarkStart w:id="1242" w:name="P1242"/>
    <w:bookmarkEnd w:id="1242"/>
    <w:p>
      <w:pPr>
        <w:pStyle w:val="0"/>
        <w:spacing w:before="200" w:line-rule="auto"/>
        <w:ind w:firstLine="540"/>
        <w:jc w:val="both"/>
      </w:pPr>
      <w:r>
        <w:rPr>
          <w:sz w:val="20"/>
        </w:rPr>
        <w:t xml:space="preserve">б) срок осуществления мероприятий по технологическому присоединению, который исчисляется со дня заключения договора и не может превышать:</w:t>
      </w:r>
    </w:p>
    <w:bookmarkStart w:id="1243" w:name="P1243"/>
    <w:bookmarkEnd w:id="1243"/>
    <w:p>
      <w:pPr>
        <w:pStyle w:val="0"/>
        <w:spacing w:before="200" w:line-rule="auto"/>
        <w:ind w:firstLine="540"/>
        <w:jc w:val="both"/>
      </w:pPr>
      <w:r>
        <w:rPr>
          <w:sz w:val="20"/>
        </w:rPr>
        <w:t xml:space="preserve">30 рабочих дней - для заявителей,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при одновременном соблюдении следующих условий:</w:t>
      </w:r>
    </w:p>
    <w:p>
      <w:pPr>
        <w:pStyle w:val="0"/>
        <w:jc w:val="both"/>
      </w:pPr>
      <w:r>
        <w:rPr>
          <w:sz w:val="20"/>
        </w:rPr>
        <w:t xml:space="preserve">(абзац введен </w:t>
      </w:r>
      <w:hyperlink w:history="0" r:id="rId701" w:tooltip="Постановление Правительства РФ от 26.04.2021 N 639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26.04.2021 N 639)</w:t>
      </w:r>
    </w:p>
    <w:p>
      <w:pPr>
        <w:pStyle w:val="0"/>
        <w:spacing w:before="200" w:line-rule="auto"/>
        <w:ind w:firstLine="540"/>
        <w:jc w:val="both"/>
      </w:pPr>
      <w:r>
        <w:rPr>
          <w:sz w:val="20"/>
        </w:rPr>
        <w:t xml:space="preserve">технологическое присоединение энергопринимающих устройств заявителя осуществляется к электрическим сетям классом напряжения 0,4 кВ и ниже;</w:t>
      </w:r>
    </w:p>
    <w:p>
      <w:pPr>
        <w:pStyle w:val="0"/>
        <w:jc w:val="both"/>
      </w:pPr>
      <w:r>
        <w:rPr>
          <w:sz w:val="20"/>
        </w:rPr>
        <w:t xml:space="preserve">(абзац введен </w:t>
      </w:r>
      <w:hyperlink w:history="0" r:id="rId702" w:tooltip="Постановление Правительства РФ от 26.04.2021 N 639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26.04.2021 N 639)</w:t>
      </w:r>
    </w:p>
    <w:p>
      <w:pPr>
        <w:pStyle w:val="0"/>
        <w:spacing w:before="200" w:line-rule="auto"/>
        <w:ind w:firstLine="540"/>
        <w:jc w:val="both"/>
      </w:pPr>
      <w:r>
        <w:rPr>
          <w:sz w:val="20"/>
        </w:rPr>
        <w:t xml:space="preserve">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15 метров;</w:t>
      </w:r>
    </w:p>
    <w:p>
      <w:pPr>
        <w:pStyle w:val="0"/>
        <w:jc w:val="both"/>
      </w:pPr>
      <w:r>
        <w:rPr>
          <w:sz w:val="20"/>
        </w:rPr>
        <w:t xml:space="preserve">(абзац введен </w:t>
      </w:r>
      <w:hyperlink w:history="0" r:id="rId703" w:tooltip="Постановление Правительства РФ от 26.04.2021 N 639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26.04.2021 N 639)</w:t>
      </w:r>
    </w:p>
    <w:p>
      <w:pPr>
        <w:pStyle w:val="0"/>
        <w:spacing w:before="200" w:line-rule="auto"/>
        <w:ind w:firstLine="540"/>
        <w:jc w:val="both"/>
      </w:pPr>
      <w:r>
        <w:rPr>
          <w:sz w:val="20"/>
        </w:rPr>
        <w:t xml:space="preserve">отсутствует необходимость урегулирования отношений с лицами, являющимися собственниками или иными законными владельцами земельных участков, расположенных полностью или частично между ближайшим объектом электрической сети, имеющим указанный в заявке класс напряжения и используемым сетевой организацией для осуществления технологического присоединения энергопринимающих устройств заявителя, и земельным участком заявителя;</w:t>
      </w:r>
    </w:p>
    <w:p>
      <w:pPr>
        <w:pStyle w:val="0"/>
        <w:jc w:val="both"/>
      </w:pPr>
      <w:r>
        <w:rPr>
          <w:sz w:val="20"/>
        </w:rPr>
        <w:t xml:space="preserve">(абзац введен </w:t>
      </w:r>
      <w:hyperlink w:history="0" r:id="rId704" w:tooltip="Постановление Правительства РФ от 26.04.2021 N 639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26.04.2021 N 639)</w:t>
      </w:r>
    </w:p>
    <w:bookmarkStart w:id="1251" w:name="P1251"/>
    <w:bookmarkEnd w:id="1251"/>
    <w:p>
      <w:pPr>
        <w:pStyle w:val="0"/>
        <w:spacing w:before="200" w:line-rule="auto"/>
        <w:ind w:firstLine="540"/>
        <w:jc w:val="both"/>
      </w:pPr>
      <w:r>
        <w:rPr>
          <w:sz w:val="20"/>
        </w:rPr>
        <w:t xml:space="preserve">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а также по обеспечению коммерческого учета электрической энергии (мощности);</w:t>
      </w:r>
    </w:p>
    <w:p>
      <w:pPr>
        <w:pStyle w:val="0"/>
        <w:jc w:val="both"/>
      </w:pPr>
      <w:r>
        <w:rPr>
          <w:sz w:val="20"/>
        </w:rPr>
        <w:t xml:space="preserve">(абзац введен </w:t>
      </w:r>
      <w:hyperlink w:history="0" r:id="rId705" w:tooltip="Постановление Правительства РФ от 26.04.2021 N 639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26.04.2021 N 639)</w:t>
      </w:r>
    </w:p>
    <w:p>
      <w:pPr>
        <w:pStyle w:val="0"/>
        <w:spacing w:before="200" w:line-rule="auto"/>
        <w:ind w:firstLine="540"/>
        <w:jc w:val="both"/>
      </w:pPr>
      <w:r>
        <w:rPr>
          <w:sz w:val="20"/>
        </w:rPr>
        <w:t xml:space="preserve">при несоблюдении любого из условий, предусмотренных </w:t>
      </w:r>
      <w:hyperlink w:history="0" w:anchor="P1243" w:tooltip="30 рабочих дней - для заявителей, указанных в пунктах 12(1) и 14 настоящих Правил, при одновременном соблюдении следующих условий:">
        <w:r>
          <w:rPr>
            <w:sz w:val="20"/>
            <w:color w:val="0000ff"/>
          </w:rPr>
          <w:t xml:space="preserve">абзацами вторым</w:t>
        </w:r>
      </w:hyperlink>
      <w:r>
        <w:rPr>
          <w:sz w:val="20"/>
        </w:rPr>
        <w:t xml:space="preserve"> - </w:t>
      </w:r>
      <w:hyperlink w:history="0" w:anchor="P1251" w:tooltip="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а также по обеспечению коммерческого...">
        <w:r>
          <w:rPr>
            <w:sz w:val="20"/>
            <w:color w:val="0000ff"/>
          </w:rPr>
          <w:t xml:space="preserve">шестым</w:t>
        </w:r>
      </w:hyperlink>
      <w:r>
        <w:rPr>
          <w:sz w:val="20"/>
        </w:rPr>
        <w:t xml:space="preserve"> настоящего подпункта, в случае осуществления технологического присоединения к электрическим сетям классом напряжения до 20 кВ включительно, при этом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pPr>
        <w:pStyle w:val="0"/>
        <w:jc w:val="both"/>
      </w:pPr>
      <w:r>
        <w:rPr>
          <w:sz w:val="20"/>
        </w:rPr>
        <w:t xml:space="preserve">(в ред. </w:t>
      </w:r>
      <w:hyperlink w:history="0" r:id="rId706" w:tooltip="Постановление Правительства РФ от 26.04.2021 N 639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26.04.2021 N 639)</w:t>
      </w:r>
    </w:p>
    <w:p>
      <w:pPr>
        <w:pStyle w:val="0"/>
        <w:spacing w:before="200" w:line-rule="auto"/>
        <w:ind w:firstLine="540"/>
        <w:jc w:val="both"/>
      </w:pPr>
      <w:r>
        <w:rPr>
          <w:sz w:val="20"/>
        </w:rPr>
        <w:t xml:space="preserve">15 рабочих дней (если в заявке не указан более продолжительный срок) для осуществления мероприятий по технологическому присоединению, отнесенных к обязанностям сетевой организации, - при временном технологическом присоединении;</w:t>
      </w:r>
    </w:p>
    <w:p>
      <w:pPr>
        <w:pStyle w:val="0"/>
        <w:spacing w:before="200" w:line-rule="auto"/>
        <w:ind w:firstLine="540"/>
        <w:jc w:val="both"/>
      </w:pPr>
      <w:r>
        <w:rPr>
          <w:sz w:val="20"/>
        </w:rPr>
        <w:t xml:space="preserve">4 месяца - для заявителей (в том числе указанных в </w:t>
      </w:r>
      <w:hyperlink w:history="0" w:anchor="P1132" w:tooltip="13(3).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электроснабжение которых предусматривается по одному источнику, и объектов микрогенерации, должны быть ука...">
        <w:r>
          <w:rPr>
            <w:sz w:val="20"/>
            <w:color w:val="0000ff"/>
          </w:rPr>
          <w:t xml:space="preserve">пунктах 13(3)</w:t>
        </w:r>
      </w:hyperlink>
      <w:r>
        <w:rPr>
          <w:sz w:val="20"/>
        </w:rPr>
        <w:t xml:space="preserve">,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57" w:tooltip="13(6).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свыше 150 кВт (с учетом ранее присоединенных в данной точке присоединения энергопринимающих устройств), и объектов микрогенерации, должны быть указаны:">
        <w:r>
          <w:rPr>
            <w:sz w:val="20"/>
            <w:color w:val="0000ff"/>
          </w:rPr>
          <w:t xml:space="preserve">13(6)</w:t>
        </w:r>
      </w:hyperlink>
      <w:r>
        <w:rPr>
          <w:sz w:val="20"/>
        </w:rPr>
        <w:t xml:space="preserve"> настоящих Правил), максимальная мощность энергопринимающих устройств которых составляет до 670 кВт включительно;</w:t>
      </w:r>
    </w:p>
    <w:p>
      <w:pPr>
        <w:pStyle w:val="0"/>
        <w:jc w:val="both"/>
      </w:pPr>
      <w:r>
        <w:rPr>
          <w:sz w:val="20"/>
        </w:rPr>
        <w:t xml:space="preserve">(в ред. </w:t>
      </w:r>
      <w:hyperlink w:history="0" r:id="rId707"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Постановления</w:t>
        </w:r>
      </w:hyperlink>
      <w:r>
        <w:rPr>
          <w:sz w:val="20"/>
        </w:rPr>
        <w:t xml:space="preserve"> Правительства РФ от 02.03.2021 N 299)</w:t>
      </w:r>
    </w:p>
    <w:bookmarkStart w:id="1258" w:name="P1258"/>
    <w:bookmarkEnd w:id="1258"/>
    <w:p>
      <w:pPr>
        <w:pStyle w:val="0"/>
        <w:spacing w:before="200" w:line-rule="auto"/>
        <w:ind w:firstLine="540"/>
        <w:jc w:val="both"/>
      </w:pPr>
      <w:r>
        <w:rPr>
          <w:sz w:val="20"/>
        </w:rPr>
        <w:t xml:space="preserve">1 год - для заявителей, максимальная мощность энергопринимающих устройств которых составляет свыше 670 кВт;</w:t>
      </w:r>
    </w:p>
    <w:p>
      <w:pPr>
        <w:pStyle w:val="0"/>
        <w:spacing w:before="200" w:line-rule="auto"/>
        <w:ind w:firstLine="540"/>
        <w:jc w:val="both"/>
      </w:pPr>
      <w:r>
        <w:rPr>
          <w:sz w:val="20"/>
        </w:rPr>
        <w:t xml:space="preserve">в случаях, не предусмотренных </w:t>
      </w:r>
      <w:hyperlink w:history="0" w:anchor="P1243" w:tooltip="30 рабочих дней - для заявителей, указанных в пунктах 12(1) и 14 настоящих Правил, при одновременном соблюдении следующих условий:">
        <w:r>
          <w:rPr>
            <w:sz w:val="20"/>
            <w:color w:val="0000ff"/>
          </w:rPr>
          <w:t xml:space="preserve">абзацами вторым</w:t>
        </w:r>
      </w:hyperlink>
      <w:r>
        <w:rPr>
          <w:sz w:val="20"/>
        </w:rPr>
        <w:t xml:space="preserve"> - </w:t>
      </w:r>
      <w:hyperlink w:history="0" w:anchor="P1258" w:tooltip="1 год - для заявителей, максимальная мощность энергопринимающих устройств которых составляет свыше 670 кВт;">
        <w:r>
          <w:rPr>
            <w:sz w:val="20"/>
            <w:color w:val="0000ff"/>
          </w:rPr>
          <w:t xml:space="preserve">десятым</w:t>
        </w:r>
      </w:hyperlink>
      <w:r>
        <w:rPr>
          <w:sz w:val="20"/>
        </w:rPr>
        <w:t xml:space="preserve"> настоящего подпункта:</w:t>
      </w:r>
    </w:p>
    <w:p>
      <w:pPr>
        <w:pStyle w:val="0"/>
        <w:jc w:val="both"/>
      </w:pPr>
      <w:r>
        <w:rPr>
          <w:sz w:val="20"/>
        </w:rPr>
        <w:t xml:space="preserve">(в ред. </w:t>
      </w:r>
      <w:hyperlink w:history="0" r:id="rId708" w:tooltip="Постановление Правительства РФ от 26.04.2021 N 639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26.04.2021 N 639)</w:t>
      </w:r>
    </w:p>
    <w:p>
      <w:pPr>
        <w:pStyle w:val="0"/>
        <w:spacing w:before="200" w:line-rule="auto"/>
        <w:ind w:firstLine="540"/>
        <w:jc w:val="both"/>
      </w:pPr>
      <w:r>
        <w:rPr>
          <w:sz w:val="20"/>
        </w:rPr>
        <w:t xml:space="preserve">15 рабочих дней (если в заявке не указан более продолжительный срок) - при временном технологическом присоединении заявителей, энергопринимающие устройства которых являются передвижными и имеют максимальную мощность до 150 кВт включительно, если расстояние от энергопринимающего устройства заявителя до существующих электрических сетей необходимого класса напряжения составляет не более 300 метров;</w:t>
      </w:r>
    </w:p>
    <w:p>
      <w:pPr>
        <w:pStyle w:val="0"/>
        <w:spacing w:before="200" w:line-rule="auto"/>
        <w:ind w:firstLine="540"/>
        <w:jc w:val="both"/>
      </w:pPr>
      <w:r>
        <w:rPr>
          <w:sz w:val="20"/>
        </w:rPr>
        <w:t xml:space="preserve">6 месяцев - для заявителей,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32" w:tooltip="13(3).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электроснабжение которых предусматривается по одному источнику, и объектов микрогенерации, должны быть ука...">
        <w:r>
          <w:rPr>
            <w:sz w:val="20"/>
            <w:color w:val="0000ff"/>
          </w:rPr>
          <w:t xml:space="preserve">13(3)</w:t>
        </w:r>
      </w:hyperlink>
      <w:r>
        <w:rPr>
          <w:sz w:val="20"/>
        </w:rPr>
        <w:t xml:space="preserve">,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и </w:t>
      </w:r>
      <w:hyperlink w:history="0" w:anchor="P1686" w:tooltip="34. Лица, имеющие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технологическое присоединение к электрическим сетям, вправе по соглашению с иными владельцами энергопринимающих устройств снизить объем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
        <w:r>
          <w:rPr>
            <w:sz w:val="20"/>
            <w:color w:val="0000ff"/>
          </w:rPr>
          <w:t xml:space="preserve">34</w:t>
        </w:r>
      </w:hyperlink>
      <w:r>
        <w:rPr>
          <w:sz w:val="20"/>
        </w:rPr>
        <w:t xml:space="preserve"> настоящих Правил, если технологическое присоединение осуществляется к электрическим сетям, уровень напряжения которых составляет до 20 кВ включительно, и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
    <w:p>
      <w:pPr>
        <w:pStyle w:val="0"/>
        <w:jc w:val="both"/>
      </w:pPr>
      <w:r>
        <w:rPr>
          <w:sz w:val="20"/>
        </w:rPr>
        <w:t xml:space="preserve">(в ред. </w:t>
      </w:r>
      <w:hyperlink w:history="0" r:id="rId709"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Постановления</w:t>
        </w:r>
      </w:hyperlink>
      <w:r>
        <w:rPr>
          <w:sz w:val="20"/>
        </w:rPr>
        <w:t xml:space="preserve"> Правительства РФ от 02.03.2021 N 299)</w:t>
      </w:r>
    </w:p>
    <w:p>
      <w:pPr>
        <w:pStyle w:val="0"/>
        <w:spacing w:before="200" w:line-rule="auto"/>
        <w:ind w:firstLine="540"/>
        <w:jc w:val="both"/>
      </w:pPr>
      <w:r>
        <w:rPr>
          <w:sz w:val="20"/>
        </w:rPr>
        <w:t xml:space="preserve">1 год - для заявителей, максимальная мощность энергопринимающих устройств которых составляет менее 670 кВт, а также для заявителей, максимальная мощность энергопринимающих устройств которых составляет не менее 670 кВт, при технологическом присоединении к объектам электросетевого хозяйства организации по управлению единой национальной (общероссийской) электрической сетью;</w:t>
      </w:r>
    </w:p>
    <w:p>
      <w:pPr>
        <w:pStyle w:val="0"/>
        <w:jc w:val="both"/>
      </w:pPr>
      <w:r>
        <w:rPr>
          <w:sz w:val="20"/>
        </w:rPr>
        <w:t xml:space="preserve">(в ред. </w:t>
      </w:r>
      <w:hyperlink w:history="0" r:id="rId710" w:tooltip="Постановление Правительства РФ от 18.04.2018 N 463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18.04.2018 N 463)</w:t>
      </w:r>
    </w:p>
    <w:p>
      <w:pPr>
        <w:pStyle w:val="0"/>
        <w:spacing w:before="200" w:line-rule="auto"/>
        <w:ind w:firstLine="540"/>
        <w:jc w:val="both"/>
      </w:pPr>
      <w:r>
        <w:rPr>
          <w:sz w:val="20"/>
        </w:rPr>
        <w:t xml:space="preserve">2 года - для заявителей, максимальная мощность энергопринимающих устройств которых составляет не менее 670 кВт, в том числе при технологическом присоединении к объектам электросетевого хозяйства организации по управлению единой национальной (общероссийской) электрической сетью, если для осуществления технологического присоединения энергопринимающих устройств или объектов электроэнергетики заявителя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смежных сетевых организаций, и (или) объектов по производству электрической энергии;</w:t>
      </w:r>
    </w:p>
    <w:p>
      <w:pPr>
        <w:pStyle w:val="0"/>
        <w:jc w:val="both"/>
      </w:pPr>
      <w:r>
        <w:rPr>
          <w:sz w:val="20"/>
        </w:rPr>
        <w:t xml:space="preserve">(в ред. </w:t>
      </w:r>
      <w:hyperlink w:history="0" r:id="rId711" w:tooltip="Постановление Правительства РФ от 18.04.2018 N 463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18.04.2018 N 463)</w:t>
      </w:r>
    </w:p>
    <w:p>
      <w:pPr>
        <w:pStyle w:val="0"/>
        <w:spacing w:before="200" w:line-rule="auto"/>
        <w:ind w:firstLine="540"/>
        <w:jc w:val="both"/>
      </w:pPr>
      <w:r>
        <w:rPr>
          <w:sz w:val="20"/>
        </w:rPr>
        <w:t xml:space="preserve">1 месяц (если в заявке не указан более продолжительный срок) - для заявителей, указанных в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пунктах 13(2)</w:t>
        </w:r>
      </w:hyperlink>
      <w:r>
        <w:rPr>
          <w:sz w:val="20"/>
        </w:rPr>
        <w:t xml:space="preserve"> и </w:t>
      </w:r>
      <w:hyperlink w:history="0" w:anchor="P1139" w:tooltip="13(4). В заявке, направляемой заявителем - физическим лицом в целях технологического присоединения объекта микрогенерации к объектам электросетевого хозяйства с уровнем напряжения до 1000 В, должны быть указаны:">
        <w:r>
          <w:rPr>
            <w:sz w:val="20"/>
            <w:color w:val="0000ff"/>
          </w:rPr>
          <w:t xml:space="preserve">13(4)</w:t>
        </w:r>
      </w:hyperlink>
      <w:r>
        <w:rPr>
          <w:sz w:val="20"/>
        </w:rPr>
        <w:t xml:space="preserve"> настоящих Правил, энергопринимающие устройства которых ранее присоединены в данной точке присоединения к объектам электросетевого хозяйства сетевой организации.</w:t>
      </w:r>
    </w:p>
    <w:p>
      <w:pPr>
        <w:pStyle w:val="0"/>
        <w:jc w:val="both"/>
      </w:pPr>
      <w:r>
        <w:rPr>
          <w:sz w:val="20"/>
        </w:rPr>
        <w:t xml:space="preserve">(абзац введен </w:t>
      </w:r>
      <w:hyperlink w:history="0" r:id="rId712"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Постановлением</w:t>
        </w:r>
      </w:hyperlink>
      <w:r>
        <w:rPr>
          <w:sz w:val="20"/>
        </w:rPr>
        <w:t xml:space="preserve"> Правительства РФ от 02.03.2021 N 299)</w:t>
      </w:r>
    </w:p>
    <w:p>
      <w:pPr>
        <w:pStyle w:val="0"/>
        <w:spacing w:before="200" w:line-rule="auto"/>
        <w:ind w:firstLine="540"/>
        <w:jc w:val="both"/>
      </w:pPr>
      <w:r>
        <w:rPr>
          <w:sz w:val="20"/>
        </w:rPr>
        <w:t xml:space="preserve">Для заявителей, максимальная мощность энергопринимающих устройств которых составляет не менее 670 кВт, по инициативе (обращению) заявителя договором могут быть установлены иные сроки (но не более 4 лет). В случае заключения сетевой организацией договора со смежной сетевой организацией в соответствии с требованиями </w:t>
      </w:r>
      <w:hyperlink w:history="0" w:anchor="P1842" w:tooltip="41. Сетевая организация обязана подать заявку на технологическое присоединение к сетям смежной сетевой организации в следующих случаях:">
        <w:r>
          <w:rPr>
            <w:sz w:val="20"/>
            <w:color w:val="0000ff"/>
          </w:rPr>
          <w:t xml:space="preserve">пункта 41</w:t>
        </w:r>
      </w:hyperlink>
      <w:r>
        <w:rPr>
          <w:sz w:val="20"/>
        </w:rPr>
        <w:t xml:space="preserve"> настоящих Правил срок осуществления мероприятий по технологическому присоединению определяется в порядке, установленном настоящими Правилами.</w:t>
      </w:r>
    </w:p>
    <w:p>
      <w:pPr>
        <w:pStyle w:val="0"/>
        <w:jc w:val="both"/>
      </w:pPr>
      <w:r>
        <w:rPr>
          <w:sz w:val="20"/>
        </w:rPr>
        <w:t xml:space="preserve">(абзац введен </w:t>
      </w:r>
      <w:hyperlink w:history="0" r:id="rId713" w:tooltip="Постановление Правительства РФ от 18.04.2018 N 463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18.04.2018 N 463; в ред. </w:t>
      </w:r>
      <w:hyperlink w:history="0" r:id="rId714" w:tooltip="Постановление Правительства РФ от 29.05.2019 N 682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технологического присоединения к электрическим сетям&quot; {КонсультантПлюс}">
        <w:r>
          <w:rPr>
            <w:sz w:val="20"/>
            <w:color w:val="0000ff"/>
          </w:rPr>
          <w:t xml:space="preserve">Постановления</w:t>
        </w:r>
      </w:hyperlink>
      <w:r>
        <w:rPr>
          <w:sz w:val="20"/>
        </w:rPr>
        <w:t xml:space="preserve"> Правительства РФ от 29.05.2019 N 682)</w:t>
      </w:r>
    </w:p>
    <w:bookmarkStart w:id="1272" w:name="P1272"/>
    <w:bookmarkEnd w:id="1272"/>
    <w:p>
      <w:pPr>
        <w:pStyle w:val="0"/>
        <w:spacing w:before="200" w:line-rule="auto"/>
        <w:ind w:firstLine="540"/>
        <w:jc w:val="both"/>
      </w:pPr>
      <w:r>
        <w:rPr>
          <w:sz w:val="20"/>
        </w:rPr>
        <w:t xml:space="preserve">Договором, заключенным на основании заявки, поданной в соответствии с </w:t>
      </w:r>
      <w:hyperlink w:history="0" w:anchor="P987" w:tooltip="8(7). В целях технологического присоединения энергопринимающих устройств, которые находятся или будут находиться в объектах капитального строительства, подлежащих строительству или реконструкции при комплексном развитии территории, лицом, с которым в соответствии с Градостроительным кодексом Российской Федерации заключен договор о комплексном развитии соответствующей территории, подается единая заявка на технологическое присоединение (в отношении всех указанных энергопринимающих устройств) в соответствии...">
        <w:r>
          <w:rPr>
            <w:sz w:val="20"/>
            <w:color w:val="0000ff"/>
          </w:rPr>
          <w:t xml:space="preserve">пунктом 8(7)</w:t>
        </w:r>
      </w:hyperlink>
      <w:r>
        <w:rPr>
          <w:sz w:val="20"/>
        </w:rPr>
        <w:t xml:space="preserve"> настоящих Правил, на основании определенных в договоре о комплексном развитии территории этапов и максимальных сроков осуществления строительства, реконструкции объектов капитального строительства могут быть установлены сроки осуществления мероприятий по технологическому присоединению, превышающие те, которые предусмотрены настоящим подпунктом.</w:t>
      </w:r>
    </w:p>
    <w:p>
      <w:pPr>
        <w:pStyle w:val="0"/>
        <w:jc w:val="both"/>
      </w:pPr>
      <w:r>
        <w:rPr>
          <w:sz w:val="20"/>
        </w:rPr>
        <w:t xml:space="preserve">(абзац введен </w:t>
      </w:r>
      <w:hyperlink w:history="0" r:id="rId715"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29.12.2021 N 2566)</w:t>
      </w:r>
    </w:p>
    <w:bookmarkStart w:id="1274" w:name="P1274"/>
    <w:bookmarkEnd w:id="1274"/>
    <w:p>
      <w:pPr>
        <w:pStyle w:val="0"/>
        <w:spacing w:before="200" w:line-rule="auto"/>
        <w:ind w:firstLine="540"/>
        <w:jc w:val="both"/>
      </w:pPr>
      <w:r>
        <w:rPr>
          <w:sz w:val="20"/>
        </w:rPr>
        <w:t xml:space="preserve">Договором, предусматривающим поэтапное осуществление мероприятий по технологическому присоединению, заключенным на основании заявки, содержащей сведения, предусмотренные </w:t>
      </w:r>
      <w:hyperlink w:history="0" w:anchor="P1018" w:tooltip="и(1)) этапы введения в эксплуатацию энергопринимающих устройств в случаях, если их технологическое присоединение осуществляется при строительстве, реконструкции объектов капитального строительства жилого, общественно-делового назначения и необходимых для их функционирования объектов коммунальной, транспортной, социальной инфраструктур в соответствии с утвержденным проектом планировки территории (указываются при наличии такого проекта);">
        <w:r>
          <w:rPr>
            <w:sz w:val="20"/>
            <w:color w:val="0000ff"/>
          </w:rPr>
          <w:t xml:space="preserve">подпунктом "и(1)"</w:t>
        </w:r>
      </w:hyperlink>
      <w:r>
        <w:rPr>
          <w:sz w:val="20"/>
        </w:rPr>
        <w:t xml:space="preserve"> или </w:t>
      </w:r>
      <w:hyperlink w:history="0" w:anchor="P1020" w:tooltip="и(2)) этапы строительства, реконструкции объектов капитального строительства (в которых расположены или будут располагаться присоединяемые энергопринимающие устройства), предусмотренных проектной документацией, проектом планировки территории, разрешением на строительство (указываются при наличии таких документации, проекта или разрешения, которые утверждены, получены в установленном порядке);">
        <w:r>
          <w:rPr>
            <w:sz w:val="20"/>
            <w:color w:val="0000ff"/>
          </w:rPr>
          <w:t xml:space="preserve">"и(2)" пункта 9</w:t>
        </w:r>
      </w:hyperlink>
      <w:r>
        <w:rPr>
          <w:sz w:val="20"/>
        </w:rPr>
        <w:t xml:space="preserve"> настоящих Правил, могут быть установлены сроки осуществления мероприятий по технологическому присоединению, превышающие сроки, которые предусмотрены настоящим подпунктом, и учитывающие соответствующие этапы и их продолжительность, которые определяются на основании документов, указанных в </w:t>
      </w:r>
      <w:hyperlink w:history="0" w:anchor="P1071" w:tooltip="п) при наличии в заявке сведений, предусмотренных подпунктом &quot;и(1)&quot; пункта 9 настоящих Правил, - копия утвержденного в установленном порядке проекта планировки территории;">
        <w:r>
          <w:rPr>
            <w:sz w:val="20"/>
            <w:color w:val="0000ff"/>
          </w:rPr>
          <w:t xml:space="preserve">подпунктах "п"</w:t>
        </w:r>
      </w:hyperlink>
      <w:r>
        <w:rPr>
          <w:sz w:val="20"/>
        </w:rPr>
        <w:t xml:space="preserve"> и </w:t>
      </w:r>
      <w:hyperlink w:history="0" w:anchor="P1073" w:tooltip="р) при наличии в заявке сведений, предусмотренных подпунктом &quot;и(2)&quot; пункта 9 настоящих Правил, - копии проектной документации, либо проекта планировки территории, либо разрешения на строительство, предусматривающих этапы строительства, реконструкции объектов капитального строительства;">
        <w:r>
          <w:rPr>
            <w:sz w:val="20"/>
            <w:color w:val="0000ff"/>
          </w:rPr>
          <w:t xml:space="preserve">"р" пункта 10</w:t>
        </w:r>
      </w:hyperlink>
      <w:r>
        <w:rPr>
          <w:sz w:val="20"/>
        </w:rPr>
        <w:t xml:space="preserve"> настоящих Правил;</w:t>
      </w:r>
    </w:p>
    <w:p>
      <w:pPr>
        <w:pStyle w:val="0"/>
        <w:jc w:val="both"/>
      </w:pPr>
      <w:r>
        <w:rPr>
          <w:sz w:val="20"/>
        </w:rPr>
        <w:t xml:space="preserve">(абзац введен </w:t>
      </w:r>
      <w:hyperlink w:history="0" r:id="rId716"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29.12.2021 N 2566)</w:t>
      </w:r>
    </w:p>
    <w:p>
      <w:pPr>
        <w:pStyle w:val="0"/>
        <w:jc w:val="both"/>
      </w:pPr>
      <w:r>
        <w:rPr>
          <w:sz w:val="20"/>
        </w:rPr>
        <w:t xml:space="preserve">(пп. "б" в ред. </w:t>
      </w:r>
      <w:hyperlink w:history="0" r:id="rId717" w:tooltip="Постановление Правительства РФ от 26.08.2013 N 737 (ред. от 10.03.2020) &quot;О внесении изменений в некоторые акты Правительства Российской Федерации по вопросу осуществления временного технологического присоединения к электрическим сетям&quot; {КонсультантПлюс}">
        <w:r>
          <w:rPr>
            <w:sz w:val="20"/>
            <w:color w:val="0000ff"/>
          </w:rPr>
          <w:t xml:space="preserve">Постановления</w:t>
        </w:r>
      </w:hyperlink>
      <w:r>
        <w:rPr>
          <w:sz w:val="20"/>
        </w:rPr>
        <w:t xml:space="preserve"> Правительства РФ от 26.08.2013 N 737)</w:t>
      </w:r>
    </w:p>
    <w:p>
      <w:pPr>
        <w:pStyle w:val="0"/>
        <w:spacing w:before="200" w:line-rule="auto"/>
        <w:ind w:firstLine="540"/>
        <w:jc w:val="both"/>
      </w:pPr>
      <w:r>
        <w:rPr>
          <w:sz w:val="20"/>
        </w:rPr>
        <w:t xml:space="preserve">в) положение об ответственности сторон за несоблюдение установленных договором и настоящими Правилами сроков исполнения своих обязательств, в том числе:</w:t>
      </w:r>
    </w:p>
    <w:p>
      <w:pPr>
        <w:pStyle w:val="0"/>
        <w:spacing w:before="200" w:line-rule="auto"/>
        <w:ind w:firstLine="540"/>
        <w:jc w:val="both"/>
      </w:pPr>
      <w:r>
        <w:rPr>
          <w:sz w:val="20"/>
        </w:rPr>
        <w:t xml:space="preserve">право заявителя в одностороннем порядке расторгнуть договор при нарушении сетевой организацией сроков технологического присоединения, указанных в договоре;</w:t>
      </w:r>
    </w:p>
    <w:bookmarkStart w:id="1279" w:name="P1279"/>
    <w:bookmarkEnd w:id="1279"/>
    <w:p>
      <w:pPr>
        <w:pStyle w:val="0"/>
        <w:spacing w:before="200" w:line-rule="auto"/>
        <w:ind w:firstLine="540"/>
        <w:jc w:val="both"/>
      </w:pPr>
      <w:r>
        <w:rPr>
          <w:sz w:val="20"/>
        </w:rPr>
        <w:t xml:space="preserve">обязанность сторон договора при нарушении срока осуществления мероприятий по технологическому присоединению, предусмотренного договором (за исключением случаев нарушения выполнения технических условий заявителями, указанными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технологическое присоединение энергопринимающих устройств которых осуществляется на уровне напряжения 0,4 кВ и ниже), уплатить другой стороне договора неустойку, равную 0,25 процента общего размера платы за технологическое присоединение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pPr>
        <w:pStyle w:val="0"/>
        <w:jc w:val="both"/>
      </w:pPr>
      <w:r>
        <w:rPr>
          <w:sz w:val="20"/>
        </w:rPr>
        <w:t xml:space="preserve">(в ред. </w:t>
      </w:r>
      <w:hyperlink w:history="0" r:id="rId718"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p>
      <w:pPr>
        <w:pStyle w:val="0"/>
        <w:spacing w:before="200" w:line-rule="auto"/>
        <w:ind w:firstLine="540"/>
        <w:jc w:val="both"/>
      </w:pPr>
      <w:r>
        <w:rPr>
          <w:sz w:val="20"/>
        </w:rPr>
        <w:t xml:space="preserve">обязанность сторон договора при нарушении срока осуществления мероприятий по технологическому присоединению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history="0" w:anchor="P1279" w:tooltip="обязанность сторон договора при нарушении срока осуществления мероприятий по технологическому присоединению, предусмотренного договором (за исключением случаев нарушения выполнения технических условий заявителями, указанными в пунктах 12(1), 13(2) - 13(5) и 14 настоящих Правил, технологическое присоединение энергопринимающих устройств которых осуществляется на уровне напряжения 0,4 кВ и ниже), уплатить другой стороне договора неустойку, равную 0,25 процента общего размера платы за технологическое присоед...">
        <w:r>
          <w:rPr>
            <w:sz w:val="20"/>
            <w:color w:val="0000ff"/>
          </w:rPr>
          <w:t xml:space="preserve">абзацем третьим</w:t>
        </w:r>
      </w:hyperlink>
      <w:r>
        <w:rPr>
          <w:sz w:val="20"/>
        </w:rPr>
        <w:t xml:space="preserve"> настоящего подпункта, в случае необоснованного уклонения либо отказа от ее уплаты;</w:t>
      </w:r>
    </w:p>
    <w:p>
      <w:pPr>
        <w:pStyle w:val="0"/>
        <w:jc w:val="both"/>
      </w:pPr>
      <w:r>
        <w:rPr>
          <w:sz w:val="20"/>
        </w:rPr>
        <w:t xml:space="preserve">(абзац введен </w:t>
      </w:r>
      <w:hyperlink w:history="0" r:id="rId719" w:tooltip="Постановление Правительства РФ от 05.10.2016 N 999 (с изм. от 30.06.2022) &quot;О внесении изменений в акты Правительства Российской Федерации по вопросам формирования мер ответственности за несоблюдение сроков осуществления мероприятий по технологическому присоединению&quot; {КонсультантПлюс}">
        <w:r>
          <w:rPr>
            <w:sz w:val="20"/>
            <w:color w:val="0000ff"/>
          </w:rPr>
          <w:t xml:space="preserve">Постановлением</w:t>
        </w:r>
      </w:hyperlink>
      <w:r>
        <w:rPr>
          <w:sz w:val="20"/>
        </w:rPr>
        <w:t xml:space="preserve"> Правительства РФ от 05.10.2016 N 999)</w:t>
      </w:r>
    </w:p>
    <w:p>
      <w:pPr>
        <w:pStyle w:val="0"/>
        <w:spacing w:before="200" w:line-rule="auto"/>
        <w:ind w:firstLine="540"/>
        <w:jc w:val="both"/>
      </w:pPr>
      <w:r>
        <w:rPr>
          <w:sz w:val="20"/>
        </w:rPr>
        <w:t xml:space="preserve">право сетевой организации обратиться в суд с иском о расторжении договора в случае, предусмотренном </w:t>
      </w:r>
      <w:hyperlink w:history="0" w:anchor="P1329" w:tooltip="16(5). 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
        <w:r>
          <w:rPr>
            <w:sz w:val="20"/>
            <w:color w:val="0000ff"/>
          </w:rPr>
          <w:t xml:space="preserve">пунктом 16(5)</w:t>
        </w:r>
      </w:hyperlink>
      <w:r>
        <w:rPr>
          <w:sz w:val="20"/>
        </w:rPr>
        <w:t xml:space="preserve"> настоящих Правил;</w:t>
      </w:r>
    </w:p>
    <w:p>
      <w:pPr>
        <w:pStyle w:val="0"/>
        <w:jc w:val="both"/>
      </w:pPr>
      <w:r>
        <w:rPr>
          <w:sz w:val="20"/>
        </w:rPr>
        <w:t xml:space="preserve">(абзац введен </w:t>
      </w:r>
      <w:hyperlink w:history="0" r:id="rId720" w:tooltip="Постановление Правительства РФ от 05.10.2016 N 999 (с изм. от 30.06.2022) &quot;О внесении изменений в акты Правительства Российской Федерации по вопросам формирования мер ответственности за несоблюдение сроков осуществления мероприятий по технологическому присоединению&quot; {КонсультантПлюс}">
        <w:r>
          <w:rPr>
            <w:sz w:val="20"/>
            <w:color w:val="0000ff"/>
          </w:rPr>
          <w:t xml:space="preserve">Постановлением</w:t>
        </w:r>
      </w:hyperlink>
      <w:r>
        <w:rPr>
          <w:sz w:val="20"/>
        </w:rPr>
        <w:t xml:space="preserve"> Правительства РФ от 05.10.2016 N 999)</w:t>
      </w:r>
    </w:p>
    <w:p>
      <w:pPr>
        <w:pStyle w:val="0"/>
        <w:spacing w:before="200" w:line-rule="auto"/>
        <w:ind w:firstLine="540"/>
        <w:jc w:val="both"/>
      </w:pPr>
      <w:r>
        <w:rPr>
          <w:sz w:val="20"/>
        </w:rPr>
        <w:t xml:space="preserve">г) порядок разграничения балансовой принадлежности электрических сетей и эксплуатационной ответственности сторон;</w:t>
      </w:r>
    </w:p>
    <w:p>
      <w:pPr>
        <w:pStyle w:val="0"/>
        <w:spacing w:before="200" w:line-rule="auto"/>
        <w:ind w:firstLine="540"/>
        <w:jc w:val="both"/>
      </w:pPr>
      <w:r>
        <w:rPr>
          <w:sz w:val="20"/>
        </w:rPr>
        <w:t xml:space="preserve">д) размер платы за технологическое присоединение, определяемый в соответствии с </w:t>
      </w:r>
      <w:hyperlink w:history="0" r:id="rId721" w:tooltip="Приказ ФАС России от 29.08.2017 N 1135/17 (ред. от 01.12.2021) &quot;Об утверждении методических указаний по определению размера платы за технологическое присоединение к электрическим сетям&quot; (Зарегистрировано в Минюсте России 19.10.2017 N 48609) {КонсультантПлюс}">
        <w:r>
          <w:rPr>
            <w:sz w:val="20"/>
            <w:color w:val="0000ff"/>
          </w:rPr>
          <w:t xml:space="preserve">законодательством</w:t>
        </w:r>
      </w:hyperlink>
      <w:r>
        <w:rPr>
          <w:sz w:val="20"/>
        </w:rPr>
        <w:t xml:space="preserve"> Российской Федерации в сфере электроэнергетики (при осуществлении технологического присоединения по индивидуальному проекту размер платы за технологическое присоединение определяется с учетом особенностей, установленных </w:t>
      </w:r>
      <w:hyperlink w:history="0" w:anchor="P1577" w:tooltip="III. Критерии наличия (отсутствия)">
        <w:r>
          <w:rPr>
            <w:sz w:val="20"/>
            <w:color w:val="0000ff"/>
          </w:rPr>
          <w:t xml:space="preserve">разделом III</w:t>
        </w:r>
      </w:hyperlink>
      <w:r>
        <w:rPr>
          <w:sz w:val="20"/>
        </w:rPr>
        <w:t xml:space="preserve"> настоящих Правил), за исключением случаев поэтапного технологического присоединения и оплаты, предусмотренных </w:t>
      </w:r>
      <w:hyperlink w:history="0" w:anchor="P1381" w:tooltip="17(1). При поэтапном технологическом присоединении применительно к каждому из этапов осуществляются мероприятия по технологическому присоединению, предусмотренные подпунктами &quot;б&quot; - &quot;д(1)&quot; пункта 18 настоящих Правил, а плата за технологическое присоединение рассчитывается (утверждается уполномоченным органом в случае технологического присоединения по индивидуальному проекту с учетом особенностей, установленных разделом III настоящих Правил) в целом на реализацию всех мероприятий по технологическому присое...">
        <w:r>
          <w:rPr>
            <w:sz w:val="20"/>
            <w:color w:val="0000ff"/>
          </w:rPr>
          <w:t xml:space="preserve">пунктом 17(1)</w:t>
        </w:r>
      </w:hyperlink>
      <w:r>
        <w:rPr>
          <w:sz w:val="20"/>
        </w:rPr>
        <w:t xml:space="preserve"> настоящих Правил;</w:t>
      </w:r>
    </w:p>
    <w:p>
      <w:pPr>
        <w:pStyle w:val="0"/>
        <w:jc w:val="both"/>
      </w:pPr>
      <w:r>
        <w:rPr>
          <w:sz w:val="20"/>
        </w:rPr>
        <w:t xml:space="preserve">(в ред. Постановлений Правительства РФ от 24.09.2010 </w:t>
      </w:r>
      <w:hyperlink w:history="0" r:id="rId722"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sz w:val="20"/>
            <w:color w:val="0000ff"/>
          </w:rPr>
          <w:t xml:space="preserve">N 759</w:t>
        </w:r>
      </w:hyperlink>
      <w:r>
        <w:rPr>
          <w:sz w:val="20"/>
        </w:rPr>
        <w:t xml:space="preserve">, от 29.12.2021 </w:t>
      </w:r>
      <w:hyperlink w:history="0" r:id="rId723"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2566</w:t>
        </w:r>
      </w:hyperlink>
      <w:r>
        <w:rPr>
          <w:sz w:val="20"/>
        </w:rPr>
        <w:t xml:space="preserve">)</w:t>
      </w:r>
    </w:p>
    <w:p>
      <w:pPr>
        <w:pStyle w:val="0"/>
        <w:spacing w:before="200" w:line-rule="auto"/>
        <w:ind w:firstLine="540"/>
        <w:jc w:val="both"/>
      </w:pPr>
      <w:r>
        <w:rPr>
          <w:sz w:val="20"/>
        </w:rPr>
        <w:t xml:space="preserve">д(1)) порядок определения размера платы при поэтапном технологическом присоединении и оплате в случаях, предусмотренных </w:t>
      </w:r>
      <w:hyperlink w:history="0" w:anchor="P1381" w:tooltip="17(1). При поэтапном технологическом присоединении применительно к каждому из этапов осуществляются мероприятия по технологическому присоединению, предусмотренные подпунктами &quot;б&quot; - &quot;д(1)&quot; пункта 18 настоящих Правил, а плата за технологическое присоединение рассчитывается (утверждается уполномоченным органом в случае технологического присоединения по индивидуальному проекту с учетом особенностей, установленных разделом III настоящих Правил) в целом на реализацию всех мероприятий по технологическому присое...">
        <w:r>
          <w:rPr>
            <w:sz w:val="20"/>
            <w:color w:val="0000ff"/>
          </w:rPr>
          <w:t xml:space="preserve">пунктом 17(1)</w:t>
        </w:r>
      </w:hyperlink>
      <w:r>
        <w:rPr>
          <w:sz w:val="20"/>
        </w:rPr>
        <w:t xml:space="preserve"> настоящих Правил (размер платы за технологическое присоединение определяется с учетом предусмотренных </w:t>
      </w:r>
      <w:hyperlink w:history="0" w:anchor="P1381" w:tooltip="17(1). При поэтапном технологическом присоединении применительно к каждому из этапов осуществляются мероприятия по технологическому присоединению, предусмотренные подпунктами &quot;б&quot; - &quot;д(1)&quot; пункта 18 настоящих Правил, а плата за технологическое присоединение рассчитывается (утверждается уполномоченным органом в случае технологического присоединения по индивидуальному проекту с учетом особенностей, установленных разделом III настоящих Правил) в целом на реализацию всех мероприятий по технологическому присое...">
        <w:r>
          <w:rPr>
            <w:sz w:val="20"/>
            <w:color w:val="0000ff"/>
          </w:rPr>
          <w:t xml:space="preserve">пунктом 17(1)</w:t>
        </w:r>
      </w:hyperlink>
      <w:r>
        <w:rPr>
          <w:sz w:val="20"/>
        </w:rPr>
        <w:t xml:space="preserve"> настоящих Правил особенностей, при этом в случае заключения договора на основании заявки, содержащей сведения, предусмотренные </w:t>
      </w:r>
      <w:hyperlink w:history="0" w:anchor="P1020" w:tooltip="и(2)) этапы строительства, реконструкции объектов капитального строительства (в которых расположены или будут располагаться присоединяемые энергопринимающие устройства), предусмотренных проектной документацией, проектом планировки территории, разрешением на строительство (указываются при наличии таких документации, проекта или разрешения, которые утверждены, получены в установленном порядке);">
        <w:r>
          <w:rPr>
            <w:sz w:val="20"/>
            <w:color w:val="0000ff"/>
          </w:rPr>
          <w:t xml:space="preserve">подпунктом "и(2)" пункта 9</w:t>
        </w:r>
      </w:hyperlink>
      <w:r>
        <w:rPr>
          <w:sz w:val="20"/>
        </w:rPr>
        <w:t xml:space="preserve"> настоящих Правил, условия о поэтапной оплате с учетом требований </w:t>
      </w:r>
      <w:hyperlink w:history="0" w:anchor="P1381" w:tooltip="17(1). При поэтапном технологическом присоединении применительно к каждому из этапов осуществляются мероприятия по технологическому присоединению, предусмотренные подпунктами &quot;б&quot; - &quot;д(1)&quot; пункта 18 настоящих Правил, а плата за технологическое присоединение рассчитывается (утверждается уполномоченным органом в случае технологического присоединения по индивидуальному проекту с учетом особенностей, установленных разделом III настоящих Правил) в целом на реализацию всех мероприятий по технологическому присое...">
        <w:r>
          <w:rPr>
            <w:sz w:val="20"/>
            <w:color w:val="0000ff"/>
          </w:rPr>
          <w:t xml:space="preserve">пункта 17(1)</w:t>
        </w:r>
      </w:hyperlink>
      <w:r>
        <w:rPr>
          <w:sz w:val="20"/>
        </w:rPr>
        <w:t xml:space="preserve"> настоящих Правил включаются в договор по согласованию с сетевой организацией);</w:t>
      </w:r>
    </w:p>
    <w:p>
      <w:pPr>
        <w:pStyle w:val="0"/>
        <w:jc w:val="both"/>
      </w:pPr>
      <w:r>
        <w:rPr>
          <w:sz w:val="20"/>
        </w:rPr>
        <w:t xml:space="preserve">(пп. "д(1)" введен </w:t>
      </w:r>
      <w:hyperlink w:history="0" r:id="rId724"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29.12.2021 N 2566)</w:t>
      </w:r>
    </w:p>
    <w:p>
      <w:pPr>
        <w:pStyle w:val="0"/>
        <w:spacing w:before="200" w:line-rule="auto"/>
        <w:ind w:firstLine="540"/>
        <w:jc w:val="both"/>
      </w:pPr>
      <w:r>
        <w:rPr>
          <w:sz w:val="20"/>
        </w:rPr>
        <w:t xml:space="preserve">е) порядок и сроки внесения заявителем платы за технологическое присоединение (в случаях, предусмотренных </w:t>
      </w:r>
      <w:hyperlink w:history="0" w:anchor="P1381" w:tooltip="17(1). При поэтапном технологическом присоединении применительно к каждому из этапов осуществляются мероприятия по технологическому присоединению, предусмотренные подпунктами &quot;б&quot; - &quot;д(1)&quot; пункта 18 настоящих Правил, а плата за технологическое присоединение рассчитывается (утверждается уполномоченным органом в случае технологического присоединения по индивидуальному проекту с учетом особенностей, установленных разделом III настоящих Правил) в целом на реализацию всех мероприятий по технологическому присое...">
        <w:r>
          <w:rPr>
            <w:sz w:val="20"/>
            <w:color w:val="0000ff"/>
          </w:rPr>
          <w:t xml:space="preserve">пунктом 17(1)</w:t>
        </w:r>
      </w:hyperlink>
      <w:r>
        <w:rPr>
          <w:sz w:val="20"/>
        </w:rPr>
        <w:t xml:space="preserve"> настоящих Правил, договором предусматривается определяемый по соглашению сторон график поэтапного внесения платы, который должен обеспечивать предварительное финансирование экономически обоснованных затрат сетевой организации на реализацию мероприятий по технологическому присоединению на каждом из этапов осуществления таких мероприятий);</w:t>
      </w:r>
    </w:p>
    <w:p>
      <w:pPr>
        <w:pStyle w:val="0"/>
        <w:jc w:val="both"/>
      </w:pPr>
      <w:r>
        <w:rPr>
          <w:sz w:val="20"/>
        </w:rPr>
        <w:t xml:space="preserve">(в ред. </w:t>
      </w:r>
      <w:hyperlink w:history="0" r:id="rId725"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29.12.2021 N 2566)</w:t>
      </w:r>
    </w:p>
    <w:p>
      <w:pPr>
        <w:pStyle w:val="0"/>
        <w:spacing w:before="200" w:line-rule="auto"/>
        <w:ind w:firstLine="540"/>
        <w:jc w:val="both"/>
      </w:pPr>
      <w:r>
        <w:rPr>
          <w:sz w:val="20"/>
        </w:rPr>
        <w:t xml:space="preserve">ж) утратил силу. - </w:t>
      </w:r>
      <w:hyperlink w:history="0" r:id="rId726"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Постановление</w:t>
        </w:r>
      </w:hyperlink>
      <w:r>
        <w:rPr>
          <w:sz w:val="20"/>
        </w:rPr>
        <w:t xml:space="preserve"> Правительства РФ от 04.05.2012 N 442.</w:t>
      </w:r>
    </w:p>
    <w:bookmarkStart w:id="1293" w:name="P1293"/>
    <w:bookmarkEnd w:id="1293"/>
    <w:p>
      <w:pPr>
        <w:pStyle w:val="0"/>
        <w:spacing w:before="200" w:line-rule="auto"/>
        <w:ind w:firstLine="540"/>
        <w:jc w:val="both"/>
      </w:pPr>
      <w:r>
        <w:rPr>
          <w:sz w:val="20"/>
        </w:rPr>
        <w:t xml:space="preserve">16(1). Заявители несут балансовую и эксплуатационную ответственность в границах своего участка, до границ участка заявителя балансовую и эксплуатационную ответственность несет сетевая организация, если иное не установлено соглашением между сетевой организацией и заявителем, заключенным на основании его обращения в сетевую организацию, а также </w:t>
      </w:r>
      <w:hyperlink w:history="0" w:anchor="P1305" w:tooltip="В отношении заявителей, указанных в пунктах 12(1), 13(2) - 13(5) и 14 настоящих Правил, границей балансовой принадлежности энергопринимающих устройств и эксплуатационной ответственности сторон является точка присоединения энергопринимающих устройств, если иное не установлено соглашением между сетевой организацией и заявителем, заключенным на основании его обращения в сетевую организацию. В случае заключения такого соглашения сетевая организация обязана в срок не позднее 2 рабочих дней со дня его заключен...">
        <w:r>
          <w:rPr>
            <w:sz w:val="20"/>
            <w:color w:val="0000ff"/>
          </w:rPr>
          <w:t xml:space="preserve">абзацем пятым</w:t>
        </w:r>
      </w:hyperlink>
      <w:r>
        <w:rPr>
          <w:sz w:val="20"/>
        </w:rPr>
        <w:t xml:space="preserve"> настоящего пункта, или </w:t>
      </w:r>
      <w:hyperlink w:history="0" w:anchor="P1337" w:tooltip="16(7). В случае подачи до 31 декабря 2023 г. заявки заявителем, границы участка которого подлежат определению в соответствии с абзацем третьим или четвертым пункта 16(1) настоящих Правил, заявителем по его выбору может самостоятельно обеспечиваться реализация мероприятий (части мероприятий), предусмотренных техническими условиями для осуществления:">
        <w:r>
          <w:rPr>
            <w:sz w:val="20"/>
            <w:color w:val="0000ff"/>
          </w:rPr>
          <w:t xml:space="preserve">пунктом 16(7)</w:t>
        </w:r>
      </w:hyperlink>
      <w:r>
        <w:rPr>
          <w:sz w:val="20"/>
        </w:rPr>
        <w:t xml:space="preserve"> настоящих Правил.</w:t>
      </w:r>
    </w:p>
    <w:p>
      <w:pPr>
        <w:pStyle w:val="0"/>
        <w:jc w:val="both"/>
      </w:pPr>
      <w:r>
        <w:rPr>
          <w:sz w:val="20"/>
        </w:rPr>
        <w:t xml:space="preserve">(в ред. Постановлений Правительства РФ от 24.09.2010 </w:t>
      </w:r>
      <w:hyperlink w:history="0" r:id="rId727"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sz w:val="20"/>
            <w:color w:val="0000ff"/>
          </w:rPr>
          <w:t xml:space="preserve">N 759</w:t>
        </w:r>
      </w:hyperlink>
      <w:r>
        <w:rPr>
          <w:sz w:val="20"/>
        </w:rPr>
        <w:t xml:space="preserve">, от 01.04.2020 </w:t>
      </w:r>
      <w:hyperlink w:history="0" r:id="rId728"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N 403</w:t>
        </w:r>
      </w:hyperlink>
      <w:r>
        <w:rPr>
          <w:sz w:val="20"/>
        </w:rPr>
        <w:t xml:space="preserve">, от 29.12.2021 </w:t>
      </w:r>
      <w:hyperlink w:history="0" r:id="rId729"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2566</w:t>
        </w:r>
      </w:hyperlink>
      <w:r>
        <w:rPr>
          <w:sz w:val="20"/>
        </w:rPr>
        <w:t xml:space="preserve">)</w:t>
      </w:r>
    </w:p>
    <w:p>
      <w:pPr>
        <w:pStyle w:val="0"/>
        <w:spacing w:before="200" w:line-rule="auto"/>
        <w:ind w:firstLine="540"/>
        <w:jc w:val="both"/>
      </w:pPr>
      <w:r>
        <w:rPr>
          <w:sz w:val="20"/>
        </w:rPr>
        <w:t xml:space="preserve">Для целей настоящих Правил под границей участка заявителя понимаются подтвержденные правоустанавливающими документами (документами, предоставляемыми в соответствии с </w:t>
      </w:r>
      <w:hyperlink w:history="0" w:anchor="P1067" w:tooltip="н) в случае подачи заявки на основании пункта 8(7) настоящих Правил - копия договора о комплексном развитии территории, а также копии утвержденных в установленных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го участка или земельных участков на кадастровом плане территории, градостроительного плана земельного участка;">
        <w:r>
          <w:rPr>
            <w:sz w:val="20"/>
            <w:color w:val="0000ff"/>
          </w:rPr>
          <w:t xml:space="preserve">подпунктами "н"</w:t>
        </w:r>
      </w:hyperlink>
      <w:r>
        <w:rPr>
          <w:sz w:val="20"/>
        </w:rPr>
        <w:t xml:space="preserve"> и </w:t>
      </w:r>
      <w:hyperlink w:history="0" w:anchor="P1069" w:tooltip="о) в случае подачи заявки на основании пункта 8(8) настоящих Правил - копии решения о предварительном согласовании предоставления земельного участка, утвержденного проекта межевания территории и (или) выданного в соответствии с частью 1.1 статьи 57.3 Градостроительного кодекса Российской Федерации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случае под...">
        <w:r>
          <w:rPr>
            <w:sz w:val="20"/>
            <w:color w:val="0000ff"/>
          </w:rPr>
          <w:t xml:space="preserve">"о" пункта 10</w:t>
        </w:r>
      </w:hyperlink>
      <w:r>
        <w:rPr>
          <w:sz w:val="20"/>
        </w:rPr>
        <w:t xml:space="preserve"> и </w:t>
      </w:r>
      <w:hyperlink w:history="0" w:anchor="P1077" w:tooltip="10(1). В случае если с заявкой для целей реализации программы реновации жилищного фонда в городе Москве обратился Московский фонд реновации жилой застройки, к заявке при отсутствии документа, подтверждающего права на земельный участок, предусмотренного подпунктом &quot;г&quot; пункта 10 настоящих Правил, прилагается копия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
        <w:r>
          <w:rPr>
            <w:sz w:val="20"/>
            <w:color w:val="0000ff"/>
          </w:rPr>
          <w:t xml:space="preserve">пунктом 10(1)</w:t>
        </w:r>
      </w:hyperlink>
      <w:r>
        <w:rPr>
          <w:sz w:val="20"/>
        </w:rPr>
        <w:t xml:space="preserve"> настоящих Правил, в случае, если допускается подача заявки при отсутствии правоустанавливающих документов) границы земельного участка либо границы иного недвижимого объекта, на котором (в котором) находятся принадлежащие потребителю на праве собственности или на ином законном основании энергопринимающие устройства либо передвижные объекты заявителей, указанные в </w:t>
      </w:r>
      <w:hyperlink w:history="0" w:anchor="P1101" w:tooltip="13. В заявке, направляемой заявителем в целях временного технологического присоединения, предусмотренного разделом VII настоящих Правил, указывается:">
        <w:r>
          <w:rPr>
            <w:sz w:val="20"/>
            <w:color w:val="0000ff"/>
          </w:rPr>
          <w:t xml:space="preserve">пункте 13</w:t>
        </w:r>
      </w:hyperlink>
      <w:r>
        <w:rPr>
          <w:sz w:val="20"/>
        </w:rPr>
        <w:t xml:space="preserve"> настоящих Правил, в отношении которых предполагается осуществление мероприятий по технологическому присоединению, а также границы участка заявителя, установленные </w:t>
      </w:r>
      <w:hyperlink w:history="0" w:anchor="P1297" w:tooltip="При осуществлении технологического присоединения планируемого к строительству и (или) первичному вводу в эксплуатацию многоквартирного дома под границей участка заявителя понимается предусмотренное проектом на такой дом вводное устройство (вводно-распределительное устройство, главный распределительный щит).">
        <w:r>
          <w:rPr>
            <w:sz w:val="20"/>
            <w:color w:val="0000ff"/>
          </w:rPr>
          <w:t xml:space="preserve">абзацами третьим</w:t>
        </w:r>
      </w:hyperlink>
      <w:r>
        <w:rPr>
          <w:sz w:val="20"/>
        </w:rPr>
        <w:t xml:space="preserve"> - </w:t>
      </w:r>
      <w:hyperlink w:history="0" w:anchor="P1303" w:tooltip="При осуществлении технологического присоединения энергопринимающих устройств заявителя, находящихся в нежилых помещениях, расположенных в объектах капитального строительства, не относящихся к многоквартирным домам, под границей участка заявителя понимается подтверждаемая правоустанавливающими документами граница земельного участка, на котором расположен объект капитального строительства, в составе которого находятся принадлежащие на праве собственности или на ином законном основании энергопринимающие уст...">
        <w:r>
          <w:rPr>
            <w:sz w:val="20"/>
            <w:color w:val="0000ff"/>
          </w:rPr>
          <w:t xml:space="preserve">шестым</w:t>
        </w:r>
      </w:hyperlink>
      <w:r>
        <w:rPr>
          <w:sz w:val="20"/>
        </w:rPr>
        <w:t xml:space="preserve"> настоящего пункта.</w:t>
      </w:r>
    </w:p>
    <w:p>
      <w:pPr>
        <w:pStyle w:val="0"/>
        <w:jc w:val="both"/>
      </w:pPr>
      <w:r>
        <w:rPr>
          <w:sz w:val="20"/>
        </w:rPr>
        <w:t xml:space="preserve">(в ред. Постановлений Правительства РФ от 11.08.2021 </w:t>
      </w:r>
      <w:hyperlink w:history="0" r:id="rId730" w:tooltip="Постановление Правительства РФ от 11.08.2021 N 1332 &quot;О внесении изменений в пункт 16(1)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1332</w:t>
        </w:r>
      </w:hyperlink>
      <w:r>
        <w:rPr>
          <w:sz w:val="20"/>
        </w:rPr>
        <w:t xml:space="preserve">, от 29.12.2021 </w:t>
      </w:r>
      <w:hyperlink w:history="0" r:id="rId731"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2566</w:t>
        </w:r>
      </w:hyperlink>
      <w:r>
        <w:rPr>
          <w:sz w:val="20"/>
        </w:rPr>
        <w:t xml:space="preserve">)</w:t>
      </w:r>
    </w:p>
    <w:bookmarkStart w:id="1297" w:name="P1297"/>
    <w:bookmarkEnd w:id="1297"/>
    <w:p>
      <w:pPr>
        <w:pStyle w:val="0"/>
        <w:spacing w:before="200" w:line-rule="auto"/>
        <w:ind w:firstLine="540"/>
        <w:jc w:val="both"/>
      </w:pPr>
      <w:r>
        <w:rPr>
          <w:sz w:val="20"/>
        </w:rPr>
        <w:t xml:space="preserve">При осуществлении технологического присоединения планируемого к строительству и (или) первичному вводу в эксплуатацию многоквартирного дома под границей участка заявителя понимается предусмотренное проектом на такой дом вводное устройство (вводно-распределительное устройство, главный распределительный щит).</w:t>
      </w:r>
    </w:p>
    <w:p>
      <w:pPr>
        <w:pStyle w:val="0"/>
        <w:jc w:val="both"/>
      </w:pPr>
      <w:r>
        <w:rPr>
          <w:sz w:val="20"/>
        </w:rPr>
        <w:t xml:space="preserve">(абзац введен </w:t>
      </w:r>
      <w:hyperlink w:history="0" r:id="rId732" w:tooltip="Постановление Правительства РФ от 11.08.2021 N 1332 &quot;О внесении изменений в пункт 16(1)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11.08.2021 N 1332)</w:t>
      </w:r>
    </w:p>
    <w:bookmarkStart w:id="1299" w:name="P1299"/>
    <w:bookmarkEnd w:id="1299"/>
    <w:p>
      <w:pPr>
        <w:pStyle w:val="0"/>
        <w:spacing w:before="200" w:line-rule="auto"/>
        <w:ind w:firstLine="540"/>
        <w:jc w:val="both"/>
      </w:pPr>
      <w:r>
        <w:rPr>
          <w:sz w:val="20"/>
        </w:rPr>
        <w:t xml:space="preserve">При осуществлении технологического присоединения энергопринимающих устройств заявителя, находящихся в объектах капитального строительства, расположенных на земельном участке в границах территории, в отношении которой заключен договор о комплексном развитии территории в соответствии с Градостроительным </w:t>
      </w:r>
      <w:hyperlink w:history="0" r:id="rId733" w:tooltip="&quot;Градостроительный кодекс Российской Федерации&quot; от 29.12.2004 N 190-ФЗ (ред. от 01.05.2022) {КонсультантПлюс}">
        <w:r>
          <w:rPr>
            <w:sz w:val="20"/>
            <w:color w:val="0000ff"/>
          </w:rPr>
          <w:t xml:space="preserve">кодексом</w:t>
        </w:r>
      </w:hyperlink>
      <w:r>
        <w:rPr>
          <w:sz w:val="20"/>
        </w:rPr>
        <w:t xml:space="preserve"> Российской Федерации, или на земельных участках, образованных из такого земельного участка в соответствии с утвержденным проектом межевания территории, под границей участка заявителя понимается вводное устройство (вводно-распределительное устройство, главный распределительный щит) каждого объекта капитального строительства, на котором (в котором) находятся энергопринимающие устройства заявителя, в отношении которых предполагается осуществление мероприятий по технологическому присоединению. Положения настоящего абзаца не применяются в отношении объектов капитального строительства, расположенных в границах территории, в отношении которой заключен договор о комплексном развитии территории, если такие объекты находятся в определенных правилами землепользования и застройки производственных зонах, а также зонах инженерной и транспортной инфраструктуры.</w:t>
      </w:r>
    </w:p>
    <w:p>
      <w:pPr>
        <w:pStyle w:val="0"/>
        <w:jc w:val="both"/>
      </w:pPr>
      <w:r>
        <w:rPr>
          <w:sz w:val="20"/>
        </w:rPr>
        <w:t xml:space="preserve">(абзац введен </w:t>
      </w:r>
      <w:hyperlink w:history="0" r:id="rId734" w:tooltip="Постановление Правительства РФ от 11.08.2021 N 1332 &quot;О внесении изменений в пункт 16(1)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11.08.2021 N 1332)</w:t>
      </w:r>
    </w:p>
    <w:p>
      <w:pPr>
        <w:pStyle w:val="0"/>
        <w:spacing w:before="200" w:line-rule="auto"/>
        <w:ind w:firstLine="540"/>
        <w:jc w:val="both"/>
      </w:pPr>
      <w:r>
        <w:rPr>
          <w:sz w:val="20"/>
        </w:rPr>
        <w:t xml:space="preserve">При осуществлении технологического присоединения энергопринимающих устройств заявителя, находящихся в нежилых помещениях, расположенных в многоквартирных домах, под границей участка заявителя понимается граница балансовой принадлежности, определенная в документах о технологическом присоединении к электрической сети соответствующего многоквартирного дома, а при их отсутствии, если соглашением сторон не предусмотрено иное, границей участка заявителя является место соединения питающей линии сетевой организации с ближайшим к такому нежилому помещению предусмотренным проектом на многоквартирный дом вводным устройством (вводно-распределительным устройством, главным распределительным щитом), установленным на вводе питающей линии в соответствующее здание или его обособленную часть.</w:t>
      </w:r>
    </w:p>
    <w:p>
      <w:pPr>
        <w:pStyle w:val="0"/>
        <w:jc w:val="both"/>
      </w:pPr>
      <w:r>
        <w:rPr>
          <w:sz w:val="20"/>
        </w:rPr>
        <w:t xml:space="preserve">(абзац введен </w:t>
      </w:r>
      <w:hyperlink w:history="0" r:id="rId735" w:tooltip="Постановление Правительства РФ от 12.10.2013 N 915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12.10.2013 N 915; в ред. </w:t>
      </w:r>
      <w:hyperlink w:history="0" r:id="rId736"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Постановления</w:t>
        </w:r>
      </w:hyperlink>
      <w:r>
        <w:rPr>
          <w:sz w:val="20"/>
        </w:rPr>
        <w:t xml:space="preserve"> Правительства РФ от 07.05.2017 N 542)</w:t>
      </w:r>
    </w:p>
    <w:bookmarkStart w:id="1303" w:name="P1303"/>
    <w:bookmarkEnd w:id="1303"/>
    <w:p>
      <w:pPr>
        <w:pStyle w:val="0"/>
        <w:spacing w:before="200" w:line-rule="auto"/>
        <w:ind w:firstLine="540"/>
        <w:jc w:val="both"/>
      </w:pPr>
      <w:r>
        <w:rPr>
          <w:sz w:val="20"/>
        </w:rPr>
        <w:t xml:space="preserve">При осуществлении технологического присоединения энергопринимающих устройств заявителя, находящихся в нежилых помещениях, расположенных в объектах капитального строительства, не относящихся к многоквартирным домам, под границей участка заявителя понимается подтверждаемая правоустанавливающими документами граница земельного участка, на котором расположен объект капитального строительства, в составе которого находятся принадлежащие на праве собственности или на ином законном основании энергопринимающие устройства заявителя.</w:t>
      </w:r>
    </w:p>
    <w:p>
      <w:pPr>
        <w:pStyle w:val="0"/>
        <w:jc w:val="both"/>
      </w:pPr>
      <w:r>
        <w:rPr>
          <w:sz w:val="20"/>
        </w:rPr>
        <w:t xml:space="preserve">(абзац введен </w:t>
      </w:r>
      <w:hyperlink w:history="0" r:id="rId737" w:tooltip="Постановление Правительства РФ от 12.10.2013 N 915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12.10.2013 N 915)</w:t>
      </w:r>
    </w:p>
    <w:bookmarkStart w:id="1305" w:name="P1305"/>
    <w:bookmarkEnd w:id="1305"/>
    <w:p>
      <w:pPr>
        <w:pStyle w:val="0"/>
        <w:spacing w:before="200" w:line-rule="auto"/>
        <w:ind w:firstLine="540"/>
        <w:jc w:val="both"/>
      </w:pPr>
      <w:r>
        <w:rPr>
          <w:sz w:val="20"/>
        </w:rPr>
        <w:t xml:space="preserve">В отношении заявителей,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границей балансовой принадлежности энергопринимающих устройств и эксплуатационной ответственности сторон является точка присоединения энергопринимающих устройств, если иное не установлено соглашением между сетевой организацией и заявителем, заключенным на основании его обращения в сетевую организацию. В случае заключения такого соглашения сетевая организация обязана в срок не позднее 2 рабочих дней со дня его заключения направить его копию в адрес субъекта розничного рынка, указанного в заявке в соответствии с </w:t>
      </w:r>
      <w:hyperlink w:history="0" w:anchor="P1024"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
        <w:r>
          <w:rPr>
            <w:sz w:val="20"/>
            <w:color w:val="0000ff"/>
          </w:rPr>
          <w:t xml:space="preserve">подпунктом "л" пункта 9</w:t>
        </w:r>
      </w:hyperlink>
      <w:r>
        <w:rPr>
          <w:sz w:val="20"/>
        </w:rPr>
        <w:t xml:space="preserve"> настоящих Правил, а также в адрес субъекта розничного рынка, указанного в </w:t>
      </w:r>
      <w:hyperlink w:history="0" w:anchor="P1127" w:tooltip="б)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
        <w:r>
          <w:rPr>
            <w:sz w:val="20"/>
            <w:color w:val="0000ff"/>
          </w:rPr>
          <w:t xml:space="preserve">подпункте "б" пунктов 13(2)</w:t>
        </w:r>
      </w:hyperlink>
      <w:r>
        <w:rPr>
          <w:sz w:val="20"/>
        </w:rPr>
        <w:t xml:space="preserve"> и </w:t>
      </w:r>
      <w:hyperlink w:history="0" w:anchor="P1134" w:tooltip="б)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
        <w:r>
          <w:rPr>
            <w:sz w:val="20"/>
            <w:color w:val="0000ff"/>
          </w:rPr>
          <w:t xml:space="preserve">13(3)</w:t>
        </w:r>
      </w:hyperlink>
      <w:r>
        <w:rPr>
          <w:sz w:val="20"/>
        </w:rPr>
        <w:t xml:space="preserve">, </w:t>
      </w:r>
      <w:hyperlink w:history="0" w:anchor="P1144" w:tooltip="г)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
        <w:r>
          <w:rPr>
            <w:sz w:val="20"/>
            <w:color w:val="0000ff"/>
          </w:rPr>
          <w:t xml:space="preserve">подпункте "г" пунктов 13(4)</w:t>
        </w:r>
      </w:hyperlink>
      <w:r>
        <w:rPr>
          <w:sz w:val="20"/>
        </w:rPr>
        <w:t xml:space="preserve"> и </w:t>
      </w:r>
      <w:hyperlink w:history="0" w:anchor="P1153" w:tooltip="г)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
        <w:r>
          <w:rPr>
            <w:sz w:val="20"/>
            <w:color w:val="0000ff"/>
          </w:rPr>
          <w:t xml:space="preserve">13(5)</w:t>
        </w:r>
      </w:hyperlink>
      <w:r>
        <w:rPr>
          <w:sz w:val="20"/>
        </w:rPr>
        <w:t xml:space="preserve"> настоящих Правил.</w:t>
      </w:r>
    </w:p>
    <w:p>
      <w:pPr>
        <w:pStyle w:val="0"/>
        <w:jc w:val="both"/>
      </w:pPr>
      <w:r>
        <w:rPr>
          <w:sz w:val="20"/>
        </w:rPr>
        <w:t xml:space="preserve">(абзац введен </w:t>
      </w:r>
      <w:hyperlink w:history="0" r:id="rId738"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Постановлением</w:t>
        </w:r>
      </w:hyperlink>
      <w:r>
        <w:rPr>
          <w:sz w:val="20"/>
        </w:rPr>
        <w:t xml:space="preserve"> Правительства РФ от 01.04.2020 N 403; в ред. </w:t>
      </w:r>
      <w:hyperlink w:history="0" r:id="rId739"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Постановления</w:t>
        </w:r>
      </w:hyperlink>
      <w:r>
        <w:rPr>
          <w:sz w:val="20"/>
        </w:rPr>
        <w:t xml:space="preserve"> Правительства РФ от 02.03.2021 N 299)</w:t>
      </w:r>
    </w:p>
    <w:p>
      <w:pPr>
        <w:pStyle w:val="0"/>
        <w:jc w:val="both"/>
      </w:pPr>
      <w:r>
        <w:rPr>
          <w:sz w:val="20"/>
        </w:rPr>
        <w:t xml:space="preserve">(п. 16.1 введен </w:t>
      </w:r>
      <w:hyperlink w:history="0" r:id="rId740"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антПлюс}">
        <w:r>
          <w:rPr>
            <w:sz w:val="20"/>
            <w:color w:val="0000ff"/>
          </w:rPr>
          <w:t xml:space="preserve">Постановлением</w:t>
        </w:r>
      </w:hyperlink>
      <w:r>
        <w:rPr>
          <w:sz w:val="20"/>
        </w:rPr>
        <w:t xml:space="preserve"> Правительства РФ от 21.04.2009 N 334)</w:t>
      </w:r>
    </w:p>
    <w:bookmarkStart w:id="1308" w:name="P1308"/>
    <w:bookmarkEnd w:id="1308"/>
    <w:p>
      <w:pPr>
        <w:pStyle w:val="0"/>
        <w:spacing w:before="200" w:line-rule="auto"/>
        <w:ind w:firstLine="540"/>
        <w:jc w:val="both"/>
      </w:pPr>
      <w:r>
        <w:rPr>
          <w:sz w:val="20"/>
        </w:rPr>
        <w:t xml:space="preserve">16(2). Внесение платы заявителями, указанными в </w:t>
      </w:r>
      <w:hyperlink w:history="0" w:anchor="P1686" w:tooltip="34. Лица, имеющие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технологическое присоединение к электрическим сетям, вправе по соглашению с иными владельцами энергопринимающих устройств снизить объем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
        <w:r>
          <w:rPr>
            <w:sz w:val="20"/>
            <w:color w:val="0000ff"/>
          </w:rPr>
          <w:t xml:space="preserve">пункте 34</w:t>
        </w:r>
      </w:hyperlink>
      <w:r>
        <w:rPr>
          <w:sz w:val="20"/>
        </w:rPr>
        <w:t xml:space="preserve"> настоящих Правил, осуществляется в следующем порядке:</w:t>
      </w:r>
    </w:p>
    <w:p>
      <w:pPr>
        <w:pStyle w:val="0"/>
        <w:jc w:val="both"/>
      </w:pPr>
      <w:r>
        <w:rPr>
          <w:sz w:val="20"/>
        </w:rPr>
        <w:t xml:space="preserve">(в ред. Постановлений Правительства РФ от 04.05.2012 </w:t>
      </w:r>
      <w:hyperlink w:history="0" r:id="rId741"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N 442</w:t>
        </w:r>
      </w:hyperlink>
      <w:r>
        <w:rPr>
          <w:sz w:val="20"/>
        </w:rPr>
        <w:t xml:space="preserve">, от 05.10.2012 </w:t>
      </w:r>
      <w:hyperlink w:history="0" r:id="rId742" w:tooltip="Постановление Правительства РФ от 05.10.2012 N 1015 (ред. от 10.03.2020) &quot;О внесении изменений в некоторые акты Правительства Российской Федерации в целях повышения доступности энергетической инфраструктуры&quot; {КонсультантПлюс}">
        <w:r>
          <w:rPr>
            <w:sz w:val="20"/>
            <w:color w:val="0000ff"/>
          </w:rPr>
          <w:t xml:space="preserve">N 1015</w:t>
        </w:r>
      </w:hyperlink>
      <w:r>
        <w:rPr>
          <w:sz w:val="20"/>
        </w:rPr>
        <w:t xml:space="preserve">, от 02.03.2021 </w:t>
      </w:r>
      <w:hyperlink w:history="0" r:id="rId743"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N 299</w:t>
        </w:r>
      </w:hyperlink>
      <w:r>
        <w:rPr>
          <w:sz w:val="20"/>
        </w:rPr>
        <w:t xml:space="preserve">, от 30.06.2022 </w:t>
      </w:r>
      <w:hyperlink w:history="0" r:id="rId744"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1178</w:t>
        </w:r>
      </w:hyperlink>
      <w:r>
        <w:rPr>
          <w:sz w:val="20"/>
        </w:rPr>
        <w:t xml:space="preserve">)</w:t>
      </w:r>
    </w:p>
    <w:p>
      <w:pPr>
        <w:pStyle w:val="0"/>
        <w:spacing w:before="200" w:line-rule="auto"/>
        <w:ind w:firstLine="540"/>
        <w:jc w:val="both"/>
      </w:pPr>
      <w:r>
        <w:rPr>
          <w:sz w:val="20"/>
        </w:rPr>
        <w:t xml:space="preserve">а) 15 процентов платы за технологическое присоединение вносятся в течение 15 дней с даты заключения договора;</w:t>
      </w:r>
    </w:p>
    <w:p>
      <w:pPr>
        <w:pStyle w:val="0"/>
        <w:spacing w:before="200" w:line-rule="auto"/>
        <w:ind w:firstLine="540"/>
        <w:jc w:val="both"/>
      </w:pPr>
      <w:r>
        <w:rPr>
          <w:sz w:val="20"/>
        </w:rPr>
        <w:t xml:space="preserve">б) 30 процентов платы за технологическое присоединение вносятся в течение 60 дней с даты заключения договора, но не позже даты фактического присоединения;</w:t>
      </w:r>
    </w:p>
    <w:p>
      <w:pPr>
        <w:pStyle w:val="0"/>
        <w:spacing w:before="200" w:line-rule="auto"/>
        <w:ind w:firstLine="540"/>
        <w:jc w:val="both"/>
      </w:pPr>
      <w:r>
        <w:rPr>
          <w:sz w:val="20"/>
        </w:rPr>
        <w:t xml:space="preserve">в) 45 процентов платы за технологическое присоединение вносятся в течение 15 дней со дня фактического присоединения;</w:t>
      </w:r>
    </w:p>
    <w:p>
      <w:pPr>
        <w:pStyle w:val="0"/>
        <w:jc w:val="both"/>
      </w:pPr>
      <w:r>
        <w:rPr>
          <w:sz w:val="20"/>
        </w:rPr>
        <w:t xml:space="preserve">(пп. </w:t>
      </w:r>
      <w:hyperlink w:history="0" w:anchor="P1006" w:tooltip="в) место нахождения (место жительства) заявителя">
        <w:r>
          <w:rPr>
            <w:sz w:val="20"/>
            <w:color w:val="0000ff"/>
          </w:rPr>
          <w:t xml:space="preserve">"в"</w:t>
        </w:r>
      </w:hyperlink>
      <w:r>
        <w:rPr>
          <w:sz w:val="20"/>
        </w:rPr>
        <w:t xml:space="preserve"> в ред. </w:t>
      </w:r>
      <w:hyperlink w:history="0" r:id="rId745"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sz w:val="20"/>
            <w:color w:val="0000ff"/>
          </w:rPr>
          <w:t xml:space="preserve">Постановления</w:t>
        </w:r>
      </w:hyperlink>
      <w:r>
        <w:rPr>
          <w:sz w:val="20"/>
        </w:rPr>
        <w:t xml:space="preserve"> Правительства РФ от 20.02.2014 N 130)</w:t>
      </w:r>
    </w:p>
    <w:p>
      <w:pPr>
        <w:pStyle w:val="0"/>
        <w:spacing w:before="200" w:line-rule="auto"/>
        <w:ind w:firstLine="540"/>
        <w:jc w:val="both"/>
      </w:pPr>
      <w:r>
        <w:rPr>
          <w:sz w:val="20"/>
        </w:rPr>
        <w:t xml:space="preserve">г) 10 процентов платы за технологическое присоединение вносятся в течение 15 дней со дня подписания акта об осуществлении технологического присоединения.</w:t>
      </w:r>
    </w:p>
    <w:p>
      <w:pPr>
        <w:pStyle w:val="0"/>
        <w:jc w:val="both"/>
      </w:pPr>
      <w:r>
        <w:rPr>
          <w:sz w:val="20"/>
        </w:rPr>
        <w:t xml:space="preserve">(пп. "г" в ред. </w:t>
      </w:r>
      <w:hyperlink w:history="0" r:id="rId746"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sz w:val="20"/>
            <w:color w:val="0000ff"/>
          </w:rPr>
          <w:t xml:space="preserve">Постановления</w:t>
        </w:r>
      </w:hyperlink>
      <w:r>
        <w:rPr>
          <w:sz w:val="20"/>
        </w:rPr>
        <w:t xml:space="preserve"> Правительства РФ от 20.02.2014 N 130)</w:t>
      </w:r>
    </w:p>
    <w:p>
      <w:pPr>
        <w:pStyle w:val="0"/>
        <w:jc w:val="both"/>
      </w:pPr>
      <w:r>
        <w:rPr>
          <w:sz w:val="20"/>
        </w:rPr>
        <w:t xml:space="preserve">(п. 16.2 введен </w:t>
      </w:r>
      <w:hyperlink w:history="0" r:id="rId747"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антПлюс}">
        <w:r>
          <w:rPr>
            <w:sz w:val="20"/>
            <w:color w:val="0000ff"/>
          </w:rPr>
          <w:t xml:space="preserve">Постановлением</w:t>
        </w:r>
      </w:hyperlink>
      <w:r>
        <w:rPr>
          <w:sz w:val="20"/>
        </w:rPr>
        <w:t xml:space="preserve"> Правительства РФ от 21.04.2009 N 334)</w:t>
      </w:r>
    </w:p>
    <w:p>
      <w:pPr>
        <w:pStyle w:val="0"/>
        <w:spacing w:before="200" w:line-rule="auto"/>
        <w:ind w:firstLine="540"/>
        <w:jc w:val="both"/>
      </w:pPr>
      <w:r>
        <w:rPr>
          <w:sz w:val="20"/>
        </w:rPr>
        <w:t xml:space="preserve">16(3). В случае заключения договора с лицами, указанными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стороны выполняют мероприятия по технологическому присоединению до точки присоединения энергопринимающих устройств.</w:t>
      </w:r>
    </w:p>
    <w:p>
      <w:pPr>
        <w:pStyle w:val="0"/>
        <w:jc w:val="both"/>
      </w:pPr>
      <w:r>
        <w:rPr>
          <w:sz w:val="20"/>
        </w:rPr>
        <w:t xml:space="preserve">(в ред. Постановлений Правительства РФ от 01.04.2020 </w:t>
      </w:r>
      <w:hyperlink w:history="0" r:id="rId748"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N 403</w:t>
        </w:r>
      </w:hyperlink>
      <w:r>
        <w:rPr>
          <w:sz w:val="20"/>
        </w:rPr>
        <w:t xml:space="preserve">, от 02.03.2021 </w:t>
      </w:r>
      <w:hyperlink w:history="0" r:id="rId749"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N 299</w:t>
        </w:r>
      </w:hyperlink>
      <w:r>
        <w:rPr>
          <w:sz w:val="20"/>
        </w:rPr>
        <w:t xml:space="preserve">)</w:t>
      </w:r>
    </w:p>
    <w:p>
      <w:pPr>
        <w:pStyle w:val="0"/>
        <w:spacing w:before="200" w:line-rule="auto"/>
        <w:ind w:firstLine="540"/>
        <w:jc w:val="both"/>
      </w:pPr>
      <w:r>
        <w:rPr>
          <w:sz w:val="20"/>
        </w:rPr>
        <w:t xml:space="preserve">16(4). Для заявителей, максимальная мощность энергопринимающих устройств которых составляет менее 670 кВт, внесение платы за технологическое присоединение (за исключением случаев, урегулированных </w:t>
      </w:r>
      <w:hyperlink w:history="0" w:anchor="P1308" w:tooltip="16(2). Внесение платы заявителями, указанными в пункте 34 настоящих Правил, осуществляется в следующем порядке:">
        <w:r>
          <w:rPr>
            <w:sz w:val="20"/>
            <w:color w:val="0000ff"/>
          </w:rPr>
          <w:t xml:space="preserve">пунктом 16.2</w:t>
        </w:r>
      </w:hyperlink>
      <w:r>
        <w:rPr>
          <w:sz w:val="20"/>
        </w:rPr>
        <w:t xml:space="preserve"> настоящих Правил) осуществляется в следующем порядке:</w:t>
      </w:r>
    </w:p>
    <w:p>
      <w:pPr>
        <w:pStyle w:val="0"/>
        <w:jc w:val="both"/>
      </w:pPr>
      <w:r>
        <w:rPr>
          <w:sz w:val="20"/>
        </w:rPr>
        <w:t xml:space="preserve">(в ред. </w:t>
      </w:r>
      <w:hyperlink w:history="0" r:id="rId750"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spacing w:before="200" w:line-rule="auto"/>
        <w:ind w:firstLine="540"/>
        <w:jc w:val="both"/>
      </w:pPr>
      <w:r>
        <w:rPr>
          <w:sz w:val="20"/>
        </w:rPr>
        <w:t xml:space="preserve">а) 10 процентов платы за технологическое присоединение вносятся в течение 15 дней со дня заключения договора;</w:t>
      </w:r>
    </w:p>
    <w:p>
      <w:pPr>
        <w:pStyle w:val="0"/>
        <w:spacing w:before="200" w:line-rule="auto"/>
        <w:ind w:firstLine="540"/>
        <w:jc w:val="both"/>
      </w:pPr>
      <w:r>
        <w:rPr>
          <w:sz w:val="20"/>
        </w:rPr>
        <w:t xml:space="preserve">б) 30 процентов платы за технологическое присоединение вносятся в течение 60 дней со дня заключения договора;</w:t>
      </w:r>
    </w:p>
    <w:p>
      <w:pPr>
        <w:pStyle w:val="0"/>
        <w:spacing w:before="200" w:line-rule="auto"/>
        <w:ind w:firstLine="540"/>
        <w:jc w:val="both"/>
      </w:pPr>
      <w:r>
        <w:rPr>
          <w:sz w:val="20"/>
        </w:rPr>
        <w:t xml:space="preserve">в) 20 процентов платы за технологическое присоединение вносятся в течение 180 дней со дня заключения договора;</w:t>
      </w:r>
    </w:p>
    <w:p>
      <w:pPr>
        <w:pStyle w:val="0"/>
        <w:spacing w:before="200" w:line-rule="auto"/>
        <w:ind w:firstLine="540"/>
        <w:jc w:val="both"/>
      </w:pPr>
      <w:r>
        <w:rPr>
          <w:sz w:val="20"/>
        </w:rPr>
        <w:t xml:space="preserve">г) 30 процентов платы за технологическое присоединение вносятся в течение 15 дней со дня фактического присоединения;</w:t>
      </w:r>
    </w:p>
    <w:p>
      <w:pPr>
        <w:pStyle w:val="0"/>
        <w:jc w:val="both"/>
      </w:pPr>
      <w:r>
        <w:rPr>
          <w:sz w:val="20"/>
        </w:rPr>
        <w:t xml:space="preserve">(пп. "г" в ред. </w:t>
      </w:r>
      <w:hyperlink w:history="0" r:id="rId751"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sz w:val="20"/>
            <w:color w:val="0000ff"/>
          </w:rPr>
          <w:t xml:space="preserve">Постановления</w:t>
        </w:r>
      </w:hyperlink>
      <w:r>
        <w:rPr>
          <w:sz w:val="20"/>
        </w:rPr>
        <w:t xml:space="preserve"> Правительства РФ от 20.02.2014 N 130)</w:t>
      </w:r>
    </w:p>
    <w:p>
      <w:pPr>
        <w:pStyle w:val="0"/>
        <w:spacing w:before="200" w:line-rule="auto"/>
        <w:ind w:firstLine="540"/>
        <w:jc w:val="both"/>
      </w:pPr>
      <w:r>
        <w:rPr>
          <w:sz w:val="20"/>
        </w:rPr>
        <w:t xml:space="preserve">д) 10 процентов платы за технологическое присоединение вносятся в течение 10 дней со дня подписания акта об осуществлении технологического присоединения.</w:t>
      </w:r>
    </w:p>
    <w:p>
      <w:pPr>
        <w:pStyle w:val="0"/>
        <w:jc w:val="both"/>
      </w:pPr>
      <w:r>
        <w:rPr>
          <w:sz w:val="20"/>
        </w:rPr>
        <w:t xml:space="preserve">(пп. "д" в ред. </w:t>
      </w:r>
      <w:hyperlink w:history="0" r:id="rId752"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sz w:val="20"/>
            <w:color w:val="0000ff"/>
          </w:rPr>
          <w:t xml:space="preserve">Постановления</w:t>
        </w:r>
      </w:hyperlink>
      <w:r>
        <w:rPr>
          <w:sz w:val="20"/>
        </w:rPr>
        <w:t xml:space="preserve"> Правительства РФ от 20.02.2014 N 130)</w:t>
      </w:r>
    </w:p>
    <w:p>
      <w:pPr>
        <w:pStyle w:val="0"/>
        <w:jc w:val="both"/>
      </w:pPr>
      <w:r>
        <w:rPr>
          <w:sz w:val="20"/>
        </w:rPr>
        <w:t xml:space="preserve">(п. 16.4 введен </w:t>
      </w:r>
      <w:hyperlink w:history="0" r:id="rId753"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sz w:val="20"/>
            <w:color w:val="0000ff"/>
          </w:rPr>
          <w:t xml:space="preserve">Постановлением</w:t>
        </w:r>
      </w:hyperlink>
      <w:r>
        <w:rPr>
          <w:sz w:val="20"/>
        </w:rPr>
        <w:t xml:space="preserve"> Правительства РФ от 24.09.2010 N 759)</w:t>
      </w:r>
    </w:p>
    <w:bookmarkStart w:id="1329" w:name="P1329"/>
    <w:bookmarkEnd w:id="1329"/>
    <w:p>
      <w:pPr>
        <w:pStyle w:val="0"/>
        <w:spacing w:before="200" w:line-rule="auto"/>
        <w:ind w:firstLine="540"/>
        <w:jc w:val="both"/>
      </w:pPr>
      <w:r>
        <w:rPr>
          <w:sz w:val="20"/>
        </w:rPr>
        <w:t xml:space="preserve">16(5). 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pPr>
        <w:pStyle w:val="0"/>
        <w:jc w:val="both"/>
      </w:pPr>
      <w:r>
        <w:rPr>
          <w:sz w:val="20"/>
        </w:rPr>
        <w:t xml:space="preserve">(п. 16(5) введен </w:t>
      </w:r>
      <w:hyperlink w:history="0" r:id="rId754" w:tooltip="Постановление Правительства РФ от 05.10.2016 N 999 (с изм. от 30.06.2022) &quot;О внесении изменений в акты Правительства Российской Федерации по вопросам формирования мер ответственности за несоблюдение сроков осуществления мероприятий по технологическому присоединению&quot; {КонсультантПлюс}">
        <w:r>
          <w:rPr>
            <w:sz w:val="20"/>
            <w:color w:val="0000ff"/>
          </w:rPr>
          <w:t xml:space="preserve">Постановлением</w:t>
        </w:r>
      </w:hyperlink>
      <w:r>
        <w:rPr>
          <w:sz w:val="20"/>
        </w:rPr>
        <w:t xml:space="preserve"> Правительства РФ от 05.10.2016 N 999)</w:t>
      </w:r>
    </w:p>
    <w:p>
      <w:pPr>
        <w:pStyle w:val="0"/>
        <w:spacing w:before="200" w:line-rule="auto"/>
        <w:ind w:firstLine="540"/>
        <w:jc w:val="both"/>
      </w:pPr>
      <w:r>
        <w:rPr>
          <w:sz w:val="20"/>
        </w:rPr>
        <w:t xml:space="preserve">16(6). Срок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считается нарушенным заявителем при наступлении хотя бы одного из следующих обстоятельств:</w:t>
      </w:r>
    </w:p>
    <w:p>
      <w:pPr>
        <w:pStyle w:val="0"/>
        <w:spacing w:before="200" w:line-rule="auto"/>
        <w:ind w:firstLine="540"/>
        <w:jc w:val="both"/>
      </w:pPr>
      <w:r>
        <w:rPr>
          <w:sz w:val="20"/>
        </w:rPr>
        <w:t xml:space="preserve">а) заявитель не направил в адрес сетевой организации уведомление о выполнении им мероприятий, предусмотренных техническими условиями, в том числе уведомление об устранении замечаний, полученных по результатам проверки выполнения технических условий;</w:t>
      </w:r>
    </w:p>
    <w:p>
      <w:pPr>
        <w:pStyle w:val="0"/>
        <w:spacing w:before="200" w:line-rule="auto"/>
        <w:ind w:firstLine="540"/>
        <w:jc w:val="both"/>
      </w:pPr>
      <w:r>
        <w:rPr>
          <w:sz w:val="20"/>
        </w:rPr>
        <w:t xml:space="preserve">б) заявитель уклоняется от проведения проверки выполнения технических условий, в том числе от проведения повторного осмотра энергопринимающего устройства после доставки сетевой организации направленного заявителем уведомления об устранении замечаний, выявленных в результате проверки выполнения технических условий;</w:t>
      </w:r>
    </w:p>
    <w:p>
      <w:pPr>
        <w:pStyle w:val="0"/>
        <w:spacing w:before="200" w:line-rule="auto"/>
        <w:ind w:firstLine="540"/>
        <w:jc w:val="both"/>
      </w:pPr>
      <w:r>
        <w:rPr>
          <w:sz w:val="20"/>
        </w:rPr>
        <w:t xml:space="preserve">в) заявитель не устранил замечания, выявленные в результате проведения проверки выполнения технических условий;</w:t>
      </w:r>
    </w:p>
    <w:p>
      <w:pPr>
        <w:pStyle w:val="0"/>
        <w:spacing w:before="200" w:line-rule="auto"/>
        <w:ind w:firstLine="540"/>
        <w:jc w:val="both"/>
      </w:pPr>
      <w:r>
        <w:rPr>
          <w:sz w:val="20"/>
        </w:rPr>
        <w:t xml:space="preserve">г) заявитель ненадлежащим образом исполнил обязательства по внесению платы за технологическое присоединение.</w:t>
      </w:r>
    </w:p>
    <w:p>
      <w:pPr>
        <w:pStyle w:val="0"/>
        <w:jc w:val="both"/>
      </w:pPr>
      <w:r>
        <w:rPr>
          <w:sz w:val="20"/>
        </w:rPr>
        <w:t xml:space="preserve">(п. 16(6) введен </w:t>
      </w:r>
      <w:hyperlink w:history="0" r:id="rId755" w:tooltip="Постановление Правительства РФ от 05.10.2016 N 999 (с изм. от 30.06.2022) &quot;О внесении изменений в акты Правительства Российской Федерации по вопросам формирования мер ответственности за несоблюдение сроков осуществления мероприятий по технологическому присоединению&quot; {КонсультантПлюс}">
        <w:r>
          <w:rPr>
            <w:sz w:val="20"/>
            <w:color w:val="0000ff"/>
          </w:rPr>
          <w:t xml:space="preserve">Постановлением</w:t>
        </w:r>
      </w:hyperlink>
      <w:r>
        <w:rPr>
          <w:sz w:val="20"/>
        </w:rPr>
        <w:t xml:space="preserve"> Правительства РФ от 05.10.2016 N 999)</w:t>
      </w:r>
    </w:p>
    <w:bookmarkStart w:id="1337" w:name="P1337"/>
    <w:bookmarkEnd w:id="1337"/>
    <w:p>
      <w:pPr>
        <w:pStyle w:val="0"/>
        <w:spacing w:before="200" w:line-rule="auto"/>
        <w:ind w:firstLine="540"/>
        <w:jc w:val="both"/>
      </w:pPr>
      <w:r>
        <w:rPr>
          <w:sz w:val="20"/>
        </w:rPr>
        <w:t xml:space="preserve">16(7). В случае подачи до 31 декабря 2023 г. заявки заявителем, границы участка которого подлежат определению в соответствии с </w:t>
      </w:r>
      <w:hyperlink w:history="0" w:anchor="P1297" w:tooltip="При осуществлении технологического присоединения планируемого к строительству и (или) первичному вводу в эксплуатацию многоквартирного дома под границей участка заявителя понимается предусмотренное проектом на такой дом вводное устройство (вводно-распределительное устройство, главный распределительный щит).">
        <w:r>
          <w:rPr>
            <w:sz w:val="20"/>
            <w:color w:val="0000ff"/>
          </w:rPr>
          <w:t xml:space="preserve">абзацем третьим</w:t>
        </w:r>
      </w:hyperlink>
      <w:r>
        <w:rPr>
          <w:sz w:val="20"/>
        </w:rPr>
        <w:t xml:space="preserve"> или </w:t>
      </w:r>
      <w:hyperlink w:history="0" w:anchor="P1299" w:tooltip="При осуществлении технологического присоединения энергопринимающих устройств заявителя, находящихся в объектах капитального строительства, расположенных на земельном участке в границах территории, в отношении которой заключен договор о комплексном развитии территории в соответствии с Градостроительным кодексом Российской Федерации, или на земельных участках, образованных из такого земельного участка в соответствии с утвержденным проектом межевания территории, под границей участка заявителя понимается вво...">
        <w:r>
          <w:rPr>
            <w:sz w:val="20"/>
            <w:color w:val="0000ff"/>
          </w:rPr>
          <w:t xml:space="preserve">четвертым пункта 16(1)</w:t>
        </w:r>
      </w:hyperlink>
      <w:r>
        <w:rPr>
          <w:sz w:val="20"/>
        </w:rPr>
        <w:t xml:space="preserve"> настоящих Правил, заявителем по его выбору может самостоятельно обеспечиваться реализация мероприятий (части мероприятий), предусмотренных техническими условиями для осуществления:</w:t>
      </w:r>
    </w:p>
    <w:p>
      <w:pPr>
        <w:pStyle w:val="0"/>
        <w:spacing w:before="200" w:line-rule="auto"/>
        <w:ind w:firstLine="540"/>
        <w:jc w:val="both"/>
      </w:pPr>
      <w:r>
        <w:rPr>
          <w:sz w:val="20"/>
        </w:rPr>
        <w:t xml:space="preserve">в границах земельного участка заявителя, определяемых в соответствии с правоустанавливающими документами (документами, предоставляемыми в соответствии с </w:t>
      </w:r>
      <w:hyperlink w:history="0" w:anchor="P1067" w:tooltip="н) в случае подачи заявки на основании пункта 8(7) настоящих Правил - копия договора о комплексном развитии территории, а также копии утвержденных в установленных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го участка или земельных участков на кадастровом плане территории, градостроительного плана земельного участка;">
        <w:r>
          <w:rPr>
            <w:sz w:val="20"/>
            <w:color w:val="0000ff"/>
          </w:rPr>
          <w:t xml:space="preserve">подпунктами "н"</w:t>
        </w:r>
      </w:hyperlink>
      <w:r>
        <w:rPr>
          <w:sz w:val="20"/>
        </w:rPr>
        <w:t xml:space="preserve"> и </w:t>
      </w:r>
      <w:hyperlink w:history="0" w:anchor="P1069" w:tooltip="о) в случае подачи заявки на основании пункта 8(8) настоящих Правил - копии решения о предварительном согласовании предоставления земельного участка, утвержденного проекта межевания территории и (или) выданного в соответствии с частью 1.1 статьи 57.3 Градостроительного кодекса Российской Федерации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случае под...">
        <w:r>
          <w:rPr>
            <w:sz w:val="20"/>
            <w:color w:val="0000ff"/>
          </w:rPr>
          <w:t xml:space="preserve">"о" пункта 10</w:t>
        </w:r>
      </w:hyperlink>
      <w:r>
        <w:rPr>
          <w:sz w:val="20"/>
        </w:rPr>
        <w:t xml:space="preserve"> и </w:t>
      </w:r>
      <w:hyperlink w:history="0" w:anchor="P1077" w:tooltip="10(1). В случае если с заявкой для целей реализации программы реновации жилищного фонда в городе Москве обратился Московский фонд реновации жилой застройки, к заявке при отсутствии документа, подтверждающего права на земельный участок, предусмотренного подпунктом &quot;г&quot; пункта 10 настоящих Правил, прилагается копия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
        <w:r>
          <w:rPr>
            <w:sz w:val="20"/>
            <w:color w:val="0000ff"/>
          </w:rPr>
          <w:t xml:space="preserve">пунктом 10(1)</w:t>
        </w:r>
      </w:hyperlink>
      <w:r>
        <w:rPr>
          <w:sz w:val="20"/>
        </w:rPr>
        <w:t xml:space="preserve"> настоящих Правил, в случае, если допускается подача заявки при отсутствии правоустанавливающих документов), прилагаемыми к заявке;</w:t>
      </w:r>
    </w:p>
    <w:p>
      <w:pPr>
        <w:pStyle w:val="0"/>
        <w:spacing w:before="200" w:line-rule="auto"/>
        <w:ind w:firstLine="540"/>
        <w:jc w:val="both"/>
      </w:pPr>
      <w:r>
        <w:rPr>
          <w:sz w:val="20"/>
        </w:rPr>
        <w:t xml:space="preserve">за границами указанного земельного участка (если в его границах по выбору заявителя все мероприятия осуществляются им самостоятельно), при условии согласия на это сетевой организации.</w:t>
      </w:r>
    </w:p>
    <w:p>
      <w:pPr>
        <w:pStyle w:val="0"/>
        <w:spacing w:before="200" w:line-rule="auto"/>
        <w:ind w:firstLine="540"/>
        <w:jc w:val="both"/>
      </w:pPr>
      <w:r>
        <w:rPr>
          <w:sz w:val="20"/>
        </w:rPr>
        <w:t xml:space="preserve">При этом с сетевой организацией должно быть согласовано разрабатываемое заявителем техническое задание на подготовку проектной документации (в части мероприятий, предусмотренных техническими условиями для реализации в границах земельного участка заявителя).</w:t>
      </w:r>
    </w:p>
    <w:p>
      <w:pPr>
        <w:pStyle w:val="0"/>
        <w:spacing w:before="200" w:line-rule="auto"/>
        <w:ind w:firstLine="540"/>
        <w:jc w:val="both"/>
      </w:pPr>
      <w:r>
        <w:rPr>
          <w:sz w:val="20"/>
        </w:rPr>
        <w:t xml:space="preserve">В случае если мероприятия (часть мероприятий) по технологическому присоединению, подлежащие осуществлению сетевой организацией, осуществляются заявителем самостоятельно, в договоре указываются такие конкретные мероприятия, при этом размер платы за технологическое присоединение для заявителя уменьшается на стоимость реализуемых им мероприятий, указанную в решении уполномоченного органа исполнительной власти в области государственного регулирования тарифов (при технологическом присоединении по индивидуальному проекту), либо на стоимость таких мероприятий, рассчитанную сетевой организацией с применением стандартизированных тарифных ставок.</w:t>
      </w:r>
    </w:p>
    <w:p>
      <w:pPr>
        <w:pStyle w:val="0"/>
        <w:spacing w:before="200" w:line-rule="auto"/>
        <w:ind w:firstLine="540"/>
        <w:jc w:val="both"/>
      </w:pPr>
      <w:r>
        <w:rPr>
          <w:sz w:val="20"/>
        </w:rPr>
        <w:t xml:space="preserve">При самостоятельной реализации мероприятий (части мероприятий), предусмотренных техническими условиями, заявитель за счет собственных средств обязан обеспечивать соблюдение требований законодательства Российской Федерации, связанных со строительством (в том числе урегулирование отношений с третьими лицами, оформление правоустанавливающих документов на земельные участки, а также на объекты электросетевого хозяйства после завершения их строительства, установление, изменение, прекращение зон с особыми условиями использования территорий в соответствии с земельным законодательством Российской Федерации и иные) и дальнейшей эксплуатацией объектов электросетевого хозяйства (включая обеспечение соблюдения требований к надежности электроснабжения и качеству электрической энергии, поставляемой потребителям, а также приобретение электрической энергии в целях компенсации потерь, возникающих в таких объектах электросетевого хозяйства).</w:t>
      </w:r>
    </w:p>
    <w:p>
      <w:pPr>
        <w:pStyle w:val="0"/>
        <w:spacing w:before="200" w:line-rule="auto"/>
        <w:ind w:firstLine="540"/>
        <w:jc w:val="both"/>
      </w:pPr>
      <w:r>
        <w:rPr>
          <w:sz w:val="20"/>
        </w:rPr>
        <w:t xml:space="preserve">При самостоятельной реализации заявителем в соответствии с положениями настоящего пункта мероприятий (части мероприятий), предусмотренных техническими условиями, разграничение балансовой и эксплуатационной ответственности осуществляется исходя из распределения между сетевой организацией и заявителем обязанностей по исполнению технических условий (в зависимости от того, в чьем владении будут находиться созданные при реализации мероприятий по технологическому присоединению объекты электросетевого хозяйства).</w:t>
      </w:r>
    </w:p>
    <w:p>
      <w:pPr>
        <w:pStyle w:val="0"/>
        <w:jc w:val="both"/>
      </w:pPr>
      <w:r>
        <w:rPr>
          <w:sz w:val="20"/>
        </w:rPr>
        <w:t xml:space="preserve">(п. 16(7) введен </w:t>
      </w:r>
      <w:hyperlink w:history="0" r:id="rId756"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29.12.2021 N 2566)</w:t>
      </w:r>
    </w:p>
    <w:bookmarkStart w:id="1345" w:name="P1345"/>
    <w:bookmarkEnd w:id="1345"/>
    <w:p>
      <w:pPr>
        <w:pStyle w:val="0"/>
        <w:spacing w:before="200" w:line-rule="auto"/>
        <w:ind w:firstLine="540"/>
        <w:jc w:val="both"/>
      </w:pPr>
      <w:r>
        <w:rPr>
          <w:sz w:val="20"/>
        </w:rPr>
        <w:t xml:space="preserve">17. В случае технологического присоединения объектов, указанных в </w:t>
      </w:r>
      <w:hyperlink w:history="0" w:anchor="P1348" w:tooltip="С соблюдением требований абзацев первого - третьего настоящего пункта определяется плата за технологическое присоединение объектов микрогенерации заявителей - физических лиц, в том числе за одновременное технологическое присоединени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и объектов микрогенерации.">
        <w:r>
          <w:rPr>
            <w:sz w:val="20"/>
            <w:color w:val="0000ff"/>
          </w:rPr>
          <w:t xml:space="preserve">абзацах четвертом</w:t>
        </w:r>
      </w:hyperlink>
      <w:r>
        <w:rPr>
          <w:sz w:val="20"/>
        </w:rPr>
        <w:t xml:space="preserve"> и </w:t>
      </w:r>
      <w:hyperlink w:history="0" w:anchor="P1349" w:tooltip="С соблюдением требований абзацев первого - третьего настоящего пункта определяется плата за технологическое присоединени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w:r>
          <w:rPr>
            <w:sz w:val="20"/>
            <w:color w:val="0000ff"/>
          </w:rPr>
          <w:t xml:space="preserve">пятом</w:t>
        </w:r>
      </w:hyperlink>
      <w:r>
        <w:rPr>
          <w:sz w:val="20"/>
        </w:rPr>
        <w:t xml:space="preserve"> настоящего пункта и отнесенных к третьей категории надежности (по одному источнику электроснабжения), присоединяемых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плата за технологическое присоединение определяется в размере минимального из следующих значений:</w:t>
      </w:r>
    </w:p>
    <w:p>
      <w:pPr>
        <w:pStyle w:val="0"/>
        <w:spacing w:before="200" w:line-rule="auto"/>
        <w:ind w:firstLine="540"/>
        <w:jc w:val="both"/>
      </w:pPr>
      <w:r>
        <w:rPr>
          <w:sz w:val="20"/>
        </w:rPr>
        <w:t xml:space="preserve">стоимость мероприятий по технологическому присоединению, рассчитанная с применением стандартизированных тарифных ставок;</w:t>
      </w:r>
    </w:p>
    <w:bookmarkStart w:id="1347" w:name="P1347"/>
    <w:bookmarkEnd w:id="1347"/>
    <w:p>
      <w:pPr>
        <w:pStyle w:val="0"/>
        <w:spacing w:before="200" w:line-rule="auto"/>
        <w:ind w:firstLine="540"/>
        <w:jc w:val="both"/>
      </w:pPr>
      <w:r>
        <w:rPr>
          <w:sz w:val="20"/>
        </w:rPr>
        <w:t xml:space="preserve">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уполномоченным органом исполнительной власти субъекта Российской Федерации в области государственного регулирования тарифов для соответствующих случаев технологического присоединения в размере не более 10000 рублей за кВт (превышение указанного значения допускается по согласованию с федеральным органом исполнительной власти в области государственного регулирования тарифов) и не менее 3000 рублей за кВт - с 1 июля 2022 г., 4000 рублей за кВт - с 1 июля 2023 г. и 5000 рублей за кВт - с 1 июля 2024 г.</w:t>
      </w:r>
    </w:p>
    <w:bookmarkStart w:id="1348" w:name="P1348"/>
    <w:bookmarkEnd w:id="1348"/>
    <w:p>
      <w:pPr>
        <w:pStyle w:val="0"/>
        <w:spacing w:before="200" w:line-rule="auto"/>
        <w:ind w:firstLine="540"/>
        <w:jc w:val="both"/>
      </w:pPr>
      <w:r>
        <w:rPr>
          <w:sz w:val="20"/>
        </w:rPr>
        <w:t xml:space="preserve">С соблюдением требований </w:t>
      </w:r>
      <w:hyperlink w:history="0" w:anchor="P1345" w:tooltip="17. В случае технологического присоединения объектов, указанных в абзацах четвертом и пятом настоящего пункта и отнесенных к третьей категории надежности (по одному источнику электроснабжения), присоединяемых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сетевой организации, в которую подана заявка, составляет не более 300...">
        <w:r>
          <w:rPr>
            <w:sz w:val="20"/>
            <w:color w:val="0000ff"/>
          </w:rPr>
          <w:t xml:space="preserve">абзацев первого</w:t>
        </w:r>
      </w:hyperlink>
      <w:r>
        <w:rPr>
          <w:sz w:val="20"/>
        </w:rPr>
        <w:t xml:space="preserve"> - </w:t>
      </w:r>
      <w:hyperlink w:history="0" w:anchor="P1347" w:tooltip="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уполномоченным органом исполнительной власти субъекта Российской Федерации в области государственного регулирования тарифов для соответствующих случаев технологического присоединения в размере не более 10000 рублей за кВт (превышение указанного значения допускается по согласованию с федеральны...">
        <w:r>
          <w:rPr>
            <w:sz w:val="20"/>
            <w:color w:val="0000ff"/>
          </w:rPr>
          <w:t xml:space="preserve">третьего</w:t>
        </w:r>
      </w:hyperlink>
      <w:r>
        <w:rPr>
          <w:sz w:val="20"/>
        </w:rPr>
        <w:t xml:space="preserve"> настоящего пункта определяется плата за технологическое присоединение объектов микрогенерации заявителей - физических лиц, в том числе за одновременное технологическое присоединение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и объектов микрогенерации.</w:t>
      </w:r>
    </w:p>
    <w:bookmarkStart w:id="1349" w:name="P1349"/>
    <w:bookmarkEnd w:id="1349"/>
    <w:p>
      <w:pPr>
        <w:pStyle w:val="0"/>
        <w:spacing w:before="200" w:line-rule="auto"/>
        <w:ind w:firstLine="540"/>
        <w:jc w:val="both"/>
      </w:pPr>
      <w:r>
        <w:rPr>
          <w:sz w:val="20"/>
        </w:rPr>
        <w:t xml:space="preserve">С соблюдением требований </w:t>
      </w:r>
      <w:hyperlink w:history="0" w:anchor="P1345" w:tooltip="17. В случае технологического присоединения объектов, указанных в абзацах четвертом и пятом настоящего пункта и отнесенных к третьей категории надежности (по одному источнику электроснабжения), присоединяемых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сетевой организации, в которую подана заявка, составляет не более 300...">
        <w:r>
          <w:rPr>
            <w:sz w:val="20"/>
            <w:color w:val="0000ff"/>
          </w:rPr>
          <w:t xml:space="preserve">абзацев первого</w:t>
        </w:r>
      </w:hyperlink>
      <w:r>
        <w:rPr>
          <w:sz w:val="20"/>
        </w:rPr>
        <w:t xml:space="preserve"> - </w:t>
      </w:r>
      <w:hyperlink w:history="0" w:anchor="P1347" w:tooltip="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уполномоченным органом исполнительной власти субъекта Российской Федерации в области государственного регулирования тарифов для соответствующих случаев технологического присоединения в размере не более 10000 рублей за кВт (превышение указанного значения допускается по согласованию с федеральны...">
        <w:r>
          <w:rPr>
            <w:sz w:val="20"/>
            <w:color w:val="0000ff"/>
          </w:rPr>
          <w:t xml:space="preserve">третьего</w:t>
        </w:r>
      </w:hyperlink>
      <w:r>
        <w:rPr>
          <w:sz w:val="20"/>
        </w:rPr>
        <w:t xml:space="preserve"> настоящего пункта определяется плата за технологическое присоединение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w:t>
      </w:r>
    </w:p>
    <w:p>
      <w:pPr>
        <w:pStyle w:val="0"/>
        <w:spacing w:before="200" w:line-rule="auto"/>
        <w:ind w:firstLine="540"/>
        <w:jc w:val="both"/>
      </w:pPr>
      <w:r>
        <w:rPr>
          <w:sz w:val="20"/>
        </w:rPr>
        <w:t xml:space="preserve">При осуществлении присоединения энергопринимающих устройств максимальной мощностью не более 150 кВт, в том числе одновременного присоединения энергопринимающих устройств максимальной мощностью 150 кВт и объекта микрогенерации, в случае подачи заявки начиная с 1 января 2023 г. заявителем - юридическим лицом или индивидуальным предпринимателем в целях одновременного присоединения энергопринимающих устройств и объектов микрогенерации в плату за технологическое присоединение включается инвестиционная составляющая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объектов электроэнергетики.</w:t>
      </w:r>
    </w:p>
    <w:p>
      <w:pPr>
        <w:pStyle w:val="0"/>
        <w:spacing w:before="200" w:line-rule="auto"/>
        <w:ind w:firstLine="540"/>
        <w:jc w:val="both"/>
      </w:pPr>
      <w:r>
        <w:rPr>
          <w:sz w:val="20"/>
        </w:rPr>
        <w:t xml:space="preserve">При осуществлении присоединения энергопринимающих устройств максимальной мощностью не более 150 кВт, в том числе одновременного присоединения энергопринимающих устройств максимальной мощностью не более 150 кВт и объекта микрогенерации, в случае подачи заявки с 1 июля 2022 г. по 31 декабря 2022 г. в плату за технологическое присоединение включается инвестиционная составляющая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объектов электроэнергетики в размере не более 50 процентов величины указанной инвестиционной составляющей.</w:t>
      </w:r>
    </w:p>
    <w:p>
      <w:pPr>
        <w:pStyle w:val="0"/>
        <w:spacing w:before="200" w:line-rule="auto"/>
        <w:ind w:firstLine="540"/>
        <w:jc w:val="both"/>
      </w:pPr>
      <w:r>
        <w:rPr>
          <w:sz w:val="20"/>
        </w:rPr>
        <w:t xml:space="preserve">В случае подачи заявки юридическим лицом или индивидуальным предпринимателем в целях технологического присоединения объектов микрогенерации, а также одновременного технологического присоединения объектов микрогенерации и энергопринимающих устройств максимальной мощностью не более 150 кВт (с учетом ранее присоединенных в данной точке присоединения энергопринимающих устройств),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и (или) объектов микрогенерации до существующих объектов электросетевого хозяйства сетевых организаций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энергопринимающих устройств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а стоимость мероприятий по технологическому присоединению объектов микрогенерации определяется в размере минимального из следующих значений:</w:t>
      </w:r>
    </w:p>
    <w:p>
      <w:pPr>
        <w:pStyle w:val="0"/>
        <w:spacing w:before="200" w:line-rule="auto"/>
        <w:ind w:firstLine="540"/>
        <w:jc w:val="both"/>
      </w:pPr>
      <w:r>
        <w:rPr>
          <w:sz w:val="20"/>
        </w:rPr>
        <w:t xml:space="preserve">стоимость мероприятий по технологическому присоединению, рассчитанная с применением стандартизированных тарифных ставок;</w:t>
      </w:r>
    </w:p>
    <w:p>
      <w:pPr>
        <w:pStyle w:val="0"/>
        <w:spacing w:before="200" w:line-rule="auto"/>
        <w:ind w:firstLine="540"/>
        <w:jc w:val="both"/>
      </w:pPr>
      <w:r>
        <w:rPr>
          <w:sz w:val="20"/>
        </w:rPr>
        <w:t xml:space="preserve">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уполномоченным органом исполнительной власти субъекта Российской Федерации в области государственного регулирования тарифов для соответствующих случаев технологического присоединения в размере не более 10000 рублей за кВт (превышение указанного значения допускается по согласованию с федеральным органом исполнительной власти в области государственного регулирования тарифов) и не менее 3000 рублей за кВт - с 1 июля 2022 г., 4000 рублей за кВт - с 1 июля 2023 г. и 5000 рублей за кВт - с 1 июля 2024 г.</w:t>
      </w:r>
    </w:p>
    <w:bookmarkStart w:id="1355" w:name="P1355"/>
    <w:bookmarkEnd w:id="1355"/>
    <w:p>
      <w:pPr>
        <w:pStyle w:val="0"/>
        <w:spacing w:before="200" w:line-rule="auto"/>
        <w:ind w:firstLine="540"/>
        <w:jc w:val="both"/>
      </w:pPr>
      <w:r>
        <w:rPr>
          <w:sz w:val="20"/>
        </w:rPr>
        <w:t xml:space="preserve">Положения </w:t>
      </w:r>
      <w:hyperlink w:history="0" w:anchor="P1345" w:tooltip="17. В случае технологического присоединения объектов, указанных в абзацах четвертом и пятом настоящего пункта и отнесенных к третьей категории надежности (по одному источнику электроснабжения), присоединяемых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сетевой организации, в которую подана заявка, составляет не более 300...">
        <w:r>
          <w:rPr>
            <w:sz w:val="20"/>
            <w:color w:val="0000ff"/>
          </w:rPr>
          <w:t xml:space="preserve">абзацев первого</w:t>
        </w:r>
      </w:hyperlink>
      <w:r>
        <w:rPr>
          <w:sz w:val="20"/>
        </w:rPr>
        <w:t xml:space="preserve"> - </w:t>
      </w:r>
      <w:hyperlink w:history="0" w:anchor="P1349" w:tooltip="С соблюдением требований абзацев первого - третьего настоящего пункта определяется плата за технологическое присоединени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w:r>
          <w:rPr>
            <w:sz w:val="20"/>
            <w:color w:val="0000ff"/>
          </w:rPr>
          <w:t xml:space="preserve">пятого</w:t>
        </w:r>
      </w:hyperlink>
      <w:r>
        <w:rPr>
          <w:sz w:val="20"/>
        </w:rPr>
        <w:t xml:space="preserve"> настоящего пункта не применяются для случаев заключения договора членом малоимущей семьи (одиноко проживающим гражданином), среднедушевой доход которого ниже величины прожиточного минимума, установленного в соответствующем субъекте Российской Федерации, определенным в соответствии с Федеральным </w:t>
      </w:r>
      <w:hyperlink w:history="0" r:id="rId757" w:tooltip="Федеральный закон от 24.10.1997 N 134-ФЗ (ред. от 29.12.2020, с изм. от 06.12.2021) &quot;О прожиточном минимуме в Российской Федерации&quot; {КонсультантПлюс}">
        <w:r>
          <w:rPr>
            <w:sz w:val="20"/>
            <w:color w:val="0000ff"/>
          </w:rPr>
          <w:t xml:space="preserve">законом</w:t>
        </w:r>
      </w:hyperlink>
      <w:r>
        <w:rPr>
          <w:sz w:val="20"/>
        </w:rPr>
        <w:t xml:space="preserve"> "О прожиточном минимуме в Российской Федерации", а также лицами, указанными:</w:t>
      </w:r>
    </w:p>
    <w:p>
      <w:pPr>
        <w:pStyle w:val="0"/>
        <w:spacing w:before="200" w:line-rule="auto"/>
        <w:ind w:firstLine="540"/>
        <w:jc w:val="both"/>
      </w:pPr>
      <w:r>
        <w:rPr>
          <w:sz w:val="20"/>
        </w:rPr>
        <w:t xml:space="preserve">в </w:t>
      </w:r>
      <w:hyperlink w:history="0" r:id="rId758" w:tooltip="Федеральный закон от 12.01.1995 N 5-ФЗ (ред. от 26.03.2022) &quot;О ветеранах&quot; {КонсультантПлюс}">
        <w:r>
          <w:rPr>
            <w:sz w:val="20"/>
            <w:color w:val="0000ff"/>
          </w:rPr>
          <w:t xml:space="preserve">статьях 14</w:t>
        </w:r>
      </w:hyperlink>
      <w:r>
        <w:rPr>
          <w:sz w:val="20"/>
        </w:rPr>
        <w:t xml:space="preserve"> - </w:t>
      </w:r>
      <w:hyperlink w:history="0" r:id="rId759" w:tooltip="Федеральный закон от 12.01.1995 N 5-ФЗ (ред. от 26.03.2022) &quot;О ветеранах&quot; {КонсультантПлюс}">
        <w:r>
          <w:rPr>
            <w:sz w:val="20"/>
            <w:color w:val="0000ff"/>
          </w:rPr>
          <w:t xml:space="preserve">16</w:t>
        </w:r>
      </w:hyperlink>
      <w:r>
        <w:rPr>
          <w:sz w:val="20"/>
        </w:rPr>
        <w:t xml:space="preserve">, </w:t>
      </w:r>
      <w:hyperlink w:history="0" r:id="rId760" w:tooltip="Федеральный закон от 12.01.1995 N 5-ФЗ (ред. от 26.03.2022) &quot;О ветеранах&quot; {КонсультантПлюс}">
        <w:r>
          <w:rPr>
            <w:sz w:val="20"/>
            <w:color w:val="0000ff"/>
          </w:rPr>
          <w:t xml:space="preserve">18</w:t>
        </w:r>
      </w:hyperlink>
      <w:r>
        <w:rPr>
          <w:sz w:val="20"/>
        </w:rPr>
        <w:t xml:space="preserve"> и </w:t>
      </w:r>
      <w:hyperlink w:history="0" r:id="rId761" w:tooltip="Федеральный закон от 12.01.1995 N 5-ФЗ (ред. от 26.03.2022) &quot;О ветеранах&quot; {КонсультантПлюс}">
        <w:r>
          <w:rPr>
            <w:sz w:val="20"/>
            <w:color w:val="0000ff"/>
          </w:rPr>
          <w:t xml:space="preserve">21</w:t>
        </w:r>
      </w:hyperlink>
      <w:r>
        <w:rPr>
          <w:sz w:val="20"/>
        </w:rPr>
        <w:t xml:space="preserve"> Федерального закона "О ветеранах";</w:t>
      </w:r>
    </w:p>
    <w:p>
      <w:pPr>
        <w:pStyle w:val="0"/>
        <w:spacing w:before="200" w:line-rule="auto"/>
        <w:ind w:firstLine="540"/>
        <w:jc w:val="both"/>
      </w:pPr>
      <w:r>
        <w:rPr>
          <w:sz w:val="20"/>
        </w:rPr>
        <w:t xml:space="preserve">в </w:t>
      </w:r>
      <w:hyperlink w:history="0" r:id="rId762" w:tooltip="Федеральный закон от 24.11.1995 N 181-ФЗ (ред. от 28.06.2021) &quot;О социальной защите инвалидов в Российской Федерации&quot; {КонсультантПлюс}">
        <w:r>
          <w:rPr>
            <w:sz w:val="20"/>
            <w:color w:val="0000ff"/>
          </w:rPr>
          <w:t xml:space="preserve">статье 17</w:t>
        </w:r>
      </w:hyperlink>
      <w:r>
        <w:rPr>
          <w:sz w:val="20"/>
        </w:rPr>
        <w:t xml:space="preserve"> Федерального закона "О социальной защите инвалидов в Российской Федерации";</w:t>
      </w:r>
    </w:p>
    <w:p>
      <w:pPr>
        <w:pStyle w:val="0"/>
        <w:spacing w:before="200" w:line-rule="auto"/>
        <w:ind w:firstLine="540"/>
        <w:jc w:val="both"/>
      </w:pPr>
      <w:r>
        <w:rPr>
          <w:sz w:val="20"/>
        </w:rPr>
        <w:t xml:space="preserve">в </w:t>
      </w:r>
      <w:hyperlink w:history="0" r:id="rId763" w:tooltip="Закон РФ от 15.05.1991 N 1244-1 (ред. от 06.12.2021, с изм. от 23.12.2021) &quot;О социальной защите граждан, подвергшихся воздействию радиации вследствие катастрофы на Чернобыльской АЭС&quot; {КонсультантПлюс}">
        <w:r>
          <w:rPr>
            <w:sz w:val="20"/>
            <w:color w:val="0000ff"/>
          </w:rPr>
          <w:t xml:space="preserve">статье 14</w:t>
        </w:r>
      </w:hyperlink>
      <w:r>
        <w:rPr>
          <w:sz w:val="20"/>
        </w:rPr>
        <w:t xml:space="preserve"> Закона Российской Федерации "О социальной защите граждан, подвергшихся воздействию радиации вследствие катастрофы на Чернобыльской АЭС";</w:t>
      </w:r>
    </w:p>
    <w:p>
      <w:pPr>
        <w:pStyle w:val="0"/>
        <w:spacing w:before="200" w:line-rule="auto"/>
        <w:ind w:firstLine="540"/>
        <w:jc w:val="both"/>
      </w:pPr>
      <w:r>
        <w:rPr>
          <w:sz w:val="20"/>
        </w:rPr>
        <w:t xml:space="preserve">в </w:t>
      </w:r>
      <w:hyperlink w:history="0" r:id="rId764" w:tooltip="Федеральный закон от 10.01.2002 N 2-ФЗ (ред. от 06.12.2021) &quot;О социальных гарантиях гражданам, подвергшимся радиационному воздействию вследствие ядерных испытаний на Семипалатинском полигоне&quot; {КонсультантПлюс}">
        <w:r>
          <w:rPr>
            <w:sz w:val="20"/>
            <w:color w:val="0000ff"/>
          </w:rPr>
          <w:t xml:space="preserve">статье 2</w:t>
        </w:r>
      </w:hyperlink>
      <w:r>
        <w:rPr>
          <w:sz w:val="20"/>
        </w:rPr>
        <w:t xml:space="preserve"> Федерального закона "О социальных гарантиях гражданам, подвергшимся радиационному воздействию вследствие ядерных испытаний на Семипалатинском полигоне";</w:t>
      </w:r>
    </w:p>
    <w:p>
      <w:pPr>
        <w:pStyle w:val="0"/>
        <w:spacing w:before="200" w:line-rule="auto"/>
        <w:ind w:firstLine="540"/>
        <w:jc w:val="both"/>
      </w:pPr>
      <w:r>
        <w:rPr>
          <w:sz w:val="20"/>
        </w:rPr>
        <w:t xml:space="preserve">в </w:t>
      </w:r>
      <w:hyperlink w:history="0" r:id="rId765" w:tooltip="Федеральный закон от 22.08.2004 N 122-ФЗ (ред. от 28.06.2021)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части 8 статьи 154</w:t>
        </w:r>
      </w:hyperlink>
      <w:r>
        <w:rPr>
          <w:sz w:val="20"/>
        </w:rPr>
        <w:t xml:space="preserve"> Федерального закона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pPr>
        <w:pStyle w:val="0"/>
        <w:spacing w:before="200" w:line-rule="auto"/>
        <w:ind w:firstLine="540"/>
        <w:jc w:val="both"/>
      </w:pPr>
      <w:r>
        <w:rPr>
          <w:sz w:val="20"/>
        </w:rPr>
        <w:t xml:space="preserve">в </w:t>
      </w:r>
      <w:hyperlink w:history="0" r:id="rId766" w:tooltip="Федеральный закон от 26.11.1998 N 175-ФЗ (ред. от 06.12.2021) &quot;О социальной защите граждан Российской Федерации, подвергшихся воздействию радиации вследствие аварии в 1957 году на производственном объединении &quot;Маяк&quot; и сбросов радиоактивных отходов в реку Теча&quot; {КонсультантПлюс}">
        <w:r>
          <w:rPr>
            <w:sz w:val="20"/>
            <w:color w:val="0000ff"/>
          </w:rPr>
          <w:t xml:space="preserve">статье 1</w:t>
        </w:r>
      </w:hyperlink>
      <w:r>
        <w:rPr>
          <w:sz w:val="20"/>
        </w:rPr>
        <w:t xml:space="preserve"> Федерального закона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pPr>
        <w:pStyle w:val="0"/>
        <w:spacing w:before="200" w:line-rule="auto"/>
        <w:ind w:firstLine="540"/>
        <w:jc w:val="both"/>
      </w:pPr>
      <w:r>
        <w:rPr>
          <w:sz w:val="20"/>
        </w:rPr>
        <w:t xml:space="preserve">в </w:t>
      </w:r>
      <w:hyperlink w:history="0" r:id="rId767" w:tooltip="Постановление ВС РФ от 27.12.1991 N 2123-1 (ред. от 29.06.2015) &quot;О распространении действия Закона РСФСР &quot;О социальной защите граждан, подвергшихся воздействию радиации вследствие катастрофы на Чернобыльской АЭС&quot; на граждан из подразделений особого риска&quot; {КонсультантПлюс}">
        <w:r>
          <w:rPr>
            <w:sz w:val="20"/>
            <w:color w:val="0000ff"/>
          </w:rPr>
          <w:t xml:space="preserve">пункте 1</w:t>
        </w:r>
      </w:hyperlink>
      <w:r>
        <w:rPr>
          <w:sz w:val="20"/>
        </w:rPr>
        <w:t xml:space="preserve"> и </w:t>
      </w:r>
      <w:hyperlink w:history="0" r:id="rId768" w:tooltip="Постановление ВС РФ от 27.12.1991 N 2123-1 (ред. от 29.06.2015) &quot;О распространении действия Закона РСФСР &quot;О социальной защите граждан, подвергшихся воздействию радиации вследствие катастрофы на Чернобыльской АЭС&quot; на граждан из подразделений особого риска&quot; {КонсультантПлюс}">
        <w:r>
          <w:rPr>
            <w:sz w:val="20"/>
            <w:color w:val="0000ff"/>
          </w:rPr>
          <w:t xml:space="preserve">абзаце четвертом пункта 2</w:t>
        </w:r>
      </w:hyperlink>
      <w:r>
        <w:rPr>
          <w:sz w:val="20"/>
        </w:rPr>
        <w:t xml:space="preserve"> постановления Верховного Совета Российской Федерации от 27 декабря 1991 г.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bookmarkStart w:id="1363" w:name="P1363"/>
    <w:bookmarkEnd w:id="1363"/>
    <w:p>
      <w:pPr>
        <w:pStyle w:val="0"/>
        <w:spacing w:before="200" w:line-rule="auto"/>
        <w:ind w:firstLine="540"/>
        <w:jc w:val="both"/>
      </w:pPr>
      <w:r>
        <w:rPr>
          <w:sz w:val="20"/>
        </w:rPr>
        <w:t xml:space="preserve">в </w:t>
      </w:r>
      <w:hyperlink w:history="0" r:id="rId769" w:tooltip="Указ Президента РФ от 05.05.1992 N 431 (ред. от 25.02.2003) &quot;О мерах по социальной поддержке многодетных семей&quot; {КонсультантПлюс}">
        <w:r>
          <w:rPr>
            <w:sz w:val="20"/>
            <w:color w:val="0000ff"/>
          </w:rPr>
          <w:t xml:space="preserve">Указе</w:t>
        </w:r>
      </w:hyperlink>
      <w:r>
        <w:rPr>
          <w:sz w:val="20"/>
        </w:rPr>
        <w:t xml:space="preserve"> Президента Российской Федерации от 5 мая 1992 г. N 431 "О мерах по социальной поддержке многодетных семей".</w:t>
      </w:r>
    </w:p>
    <w:bookmarkStart w:id="1364" w:name="P1364"/>
    <w:bookmarkEnd w:id="1364"/>
    <w:p>
      <w:pPr>
        <w:pStyle w:val="0"/>
        <w:spacing w:before="200" w:line-rule="auto"/>
        <w:ind w:firstLine="540"/>
        <w:jc w:val="both"/>
      </w:pPr>
      <w:r>
        <w:rPr>
          <w:sz w:val="20"/>
        </w:rPr>
        <w:t xml:space="preserve">В отношении категорий заявителей, указанных в </w:t>
      </w:r>
      <w:hyperlink w:history="0" w:anchor="P1355" w:tooltip="Положения абзацев первого - пятого настоящего пункта не применяются для случаев заключения договора членом малоимущей семьи (одиноко проживающим гражданином), среднедушевой доход которого ниже величины прожиточного минимума, установленного в соответствующем субъекте Российской Федерации, определенным в соответствии с Федеральным законом &quot;О прожиточном минимуме в Российской Федерации&quot;, а также лицами, указанными:">
        <w:r>
          <w:rPr>
            <w:sz w:val="20"/>
            <w:color w:val="0000ff"/>
          </w:rPr>
          <w:t xml:space="preserve">абзацах одиннадцатом</w:t>
        </w:r>
      </w:hyperlink>
      <w:r>
        <w:rPr>
          <w:sz w:val="20"/>
        </w:rPr>
        <w:t xml:space="preserve"> - </w:t>
      </w:r>
      <w:hyperlink w:history="0" w:anchor="P1363" w:tooltip="в Указе Президента Российской Федерации от 5 мая 1992 г. N 431 &quot;О мерах по социальной поддержке многодетных семей&quot;.">
        <w:r>
          <w:rPr>
            <w:sz w:val="20"/>
            <w:color w:val="0000ff"/>
          </w:rPr>
          <w:t xml:space="preserve">девятнадцатом настоящего</w:t>
        </w:r>
      </w:hyperlink>
      <w:r>
        <w:rPr>
          <w:sz w:val="20"/>
        </w:rPr>
        <w:t xml:space="preserve"> пункта, в случае представления заявителем документов, оформленных уполномоченным федеральным органом исполнительной власти (органом исполнительной власти субъекта Российской Федерации, управомоченным им государственным учреждением, органом местного самоуправления), подтверждающих соответствие заявителя категории, установленной </w:t>
      </w:r>
      <w:hyperlink w:history="0" w:anchor="P1355" w:tooltip="Положения абзацев первого - пятого настоящего пункта не применяются для случаев заключения договора членом малоимущей семьи (одиноко проживающим гражданином), среднедушевой доход которого ниже величины прожиточного минимума, установленного в соответствующем субъекте Российской Федерации, определенным в соответствии с Федеральным законом &quot;О прожиточном минимуме в Российской Федерации&quot;, а также лицами, указанными:">
        <w:r>
          <w:rPr>
            <w:sz w:val="20"/>
            <w:color w:val="0000ff"/>
          </w:rPr>
          <w:t xml:space="preserve">абзацами одиннадцатым</w:t>
        </w:r>
      </w:hyperlink>
      <w:r>
        <w:rPr>
          <w:sz w:val="20"/>
        </w:rPr>
        <w:t xml:space="preserve"> - </w:t>
      </w:r>
      <w:hyperlink w:history="0" w:anchor="P1363" w:tooltip="в Указе Президента Российской Федерации от 5 мая 1992 г. N 431 &quot;О мерах по социальной поддержке многодетных семей&quot;.">
        <w:r>
          <w:rPr>
            <w:sz w:val="20"/>
            <w:color w:val="0000ff"/>
          </w:rPr>
          <w:t xml:space="preserve">девятнадцатым</w:t>
        </w:r>
      </w:hyperlink>
      <w:r>
        <w:rPr>
          <w:sz w:val="20"/>
        </w:rPr>
        <w:t xml:space="preserve"> настоящего пункта, при присоединении энергопринимающих устройств заявителя, владеющего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0,4 кВ и ниже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плата за технологическое присоединение объектов микрогенерации, в том числе за одновременное технологическое присоединение энергопринимающих устройств и объектов микрогенерации, и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определяется в размере минимального из следующих значений:</w:t>
      </w:r>
    </w:p>
    <w:bookmarkStart w:id="1365" w:name="P1365"/>
    <w:bookmarkEnd w:id="1365"/>
    <w:p>
      <w:pPr>
        <w:pStyle w:val="0"/>
        <w:spacing w:before="200" w:line-rule="auto"/>
        <w:ind w:firstLine="540"/>
        <w:jc w:val="both"/>
      </w:pPr>
      <w:r>
        <w:rPr>
          <w:sz w:val="20"/>
        </w:rPr>
        <w:t xml:space="preserve">стоимость мероприятий по технологическому присоединению, рассчитанная с применением стандартизированных тарифных ставок;</w:t>
      </w:r>
    </w:p>
    <w:bookmarkStart w:id="1366" w:name="P1366"/>
    <w:bookmarkEnd w:id="1366"/>
    <w:p>
      <w:pPr>
        <w:pStyle w:val="0"/>
        <w:spacing w:before="200" w:line-rule="auto"/>
        <w:ind w:firstLine="540"/>
        <w:jc w:val="both"/>
      </w:pPr>
      <w:r>
        <w:rPr>
          <w:sz w:val="20"/>
        </w:rPr>
        <w:t xml:space="preserve">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устанавливается в отношении всей совокупности таких мероприятий в размере 1000 рублей за кВт уполномоченным органом исполнительной власти в области государственного регулирования тарифов для соответствующих случаев технологического присоединения.</w:t>
      </w:r>
    </w:p>
    <w:bookmarkStart w:id="1367" w:name="P1367"/>
    <w:bookmarkEnd w:id="1367"/>
    <w:p>
      <w:pPr>
        <w:pStyle w:val="0"/>
        <w:spacing w:before="200" w:line-rule="auto"/>
        <w:ind w:firstLine="540"/>
        <w:jc w:val="both"/>
      </w:pPr>
      <w:r>
        <w:rPr>
          <w:sz w:val="20"/>
        </w:rPr>
        <w:t xml:space="preserve">В отношении заявителей, обратившихся в целях технологического присоединения объектов по производству электрической энергии атомных станций или гидроэлектростанций (в том числе гидроаккумулирующих электростанций) к объектам электросетевого хозяйства, соответствующим критериям отнесения к единой национальной (общероссийской) электрической сети, в договоре (по желанию таких заявителей) предусматривается рассрочка внесения платы за технологическое присоединение на период, равный 10 годам, исчисляемый со дня подписания сторонами акта об осуществлении технологического присоединения.</w:t>
      </w:r>
    </w:p>
    <w:p>
      <w:pPr>
        <w:pStyle w:val="0"/>
        <w:spacing w:before="200" w:line-rule="auto"/>
        <w:ind w:firstLine="540"/>
        <w:jc w:val="both"/>
      </w:pPr>
      <w:r>
        <w:rPr>
          <w:sz w:val="20"/>
        </w:rPr>
        <w:t xml:space="preserve">При предоставлении сетевой организацией по желанию заявителей, указанных в </w:t>
      </w:r>
      <w:hyperlink w:history="0" w:anchor="P1367" w:tooltip="В отношении заявителей, обратившихся в целях технологического присоединения объектов по производству электрической энергии атомных станций или гидроэлектростанций (в том числе гидроаккумулирующих электростанций) к объектам электросетевого хозяйства, соответствующим критериям отнесения к единой национальной (общероссийской) электрической сети, в договоре (по желанию таких заявителей) предусматривается рассрочка внесения платы за технологическое присоединение на период, равный 10 годам, исчисляемый со дня ...">
        <w:r>
          <w:rPr>
            <w:sz w:val="20"/>
            <w:color w:val="0000ff"/>
          </w:rPr>
          <w:t xml:space="preserve">абзаце двадцать третьем</w:t>
        </w:r>
      </w:hyperlink>
      <w:r>
        <w:rPr>
          <w:sz w:val="20"/>
        </w:rPr>
        <w:t xml:space="preserve"> настоящего пункта, рассрочки внесения платы за технологическое присоединение денежные средства, в том числе проценты в связи с предоставлением рассрочки, вносятся равными платежами не позднее последнего рабочего дня II и IV кварталов соответствующего года. Указанные платежи рассчитываются исходя из сроков предоставления рассрочки и процентов, определенных в договоре в размере 6 процентов годовых на остаток задолженности по плате за технологическое присоединение, установленной уполномоченным органом исполнительной власти субъекта Российской Федерации в области государственного регулирования тарифов.</w:t>
      </w:r>
    </w:p>
    <w:p>
      <w:pPr>
        <w:pStyle w:val="0"/>
        <w:spacing w:before="200" w:line-rule="auto"/>
        <w:ind w:firstLine="540"/>
        <w:jc w:val="both"/>
      </w:pPr>
      <w:r>
        <w:rPr>
          <w:sz w:val="20"/>
        </w:rPr>
        <w:t xml:space="preserve">С 1 июля 2022 г. по 31 декабря 2022 г. размер включаемой в состав платы за технологическое присоединение энергопринимающих устройств максимальной мощностью не более 150 кВт инвестиционной составляющей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не может составлять более 50 процентов величины указанных расходов с учетом особенностей, установленных </w:t>
      </w:r>
      <w:hyperlink w:history="0" w:anchor="P1365" w:tooltip="стоимость мероприятий по технологическому присоединению, рассчитанная с применением стандартизированных тарифных ставок;">
        <w:r>
          <w:rPr>
            <w:sz w:val="20"/>
            <w:color w:val="0000ff"/>
          </w:rPr>
          <w:t xml:space="preserve">абзацами первым</w:t>
        </w:r>
      </w:hyperlink>
      <w:r>
        <w:rPr>
          <w:sz w:val="20"/>
        </w:rPr>
        <w:t xml:space="preserve"> - </w:t>
      </w:r>
      <w:hyperlink w:history="0" w:anchor="P1366" w:tooltip="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станавливается в отношении всей совокупности таких мероприятий в размере 1000 рублей за кВт уполномоченным органом исполнительной власти в области государственного регулирования тарифов для соответствующих случаев технологического присоединения.">
        <w:r>
          <w:rPr>
            <w:sz w:val="20"/>
            <w:color w:val="0000ff"/>
          </w:rPr>
          <w:t xml:space="preserve">двадцать вторым</w:t>
        </w:r>
      </w:hyperlink>
      <w:r>
        <w:rPr>
          <w:sz w:val="20"/>
        </w:rPr>
        <w:t xml:space="preserve"> и </w:t>
      </w:r>
      <w:hyperlink w:history="0" w:anchor="P1370" w:tooltip="В отношении энергопринимающих устройств заявителей, указанных в пункте 12(1) настоящих Правил, присоединяемых по третьей категории надежности (по одному источнику электр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 типа и не более 300 метров...">
        <w:r>
          <w:rPr>
            <w:sz w:val="20"/>
            <w:color w:val="0000ff"/>
          </w:rPr>
          <w:t xml:space="preserve">двадцать шестым</w:t>
        </w:r>
      </w:hyperlink>
      <w:r>
        <w:rPr>
          <w:sz w:val="20"/>
        </w:rPr>
        <w:t xml:space="preserve"> настоящего пункта.</w:t>
      </w:r>
    </w:p>
    <w:bookmarkStart w:id="1370" w:name="P1370"/>
    <w:bookmarkEnd w:id="1370"/>
    <w:p>
      <w:pPr>
        <w:pStyle w:val="0"/>
        <w:spacing w:before="200" w:line-rule="auto"/>
        <w:ind w:firstLine="540"/>
        <w:jc w:val="both"/>
      </w:pPr>
      <w:r>
        <w:rPr>
          <w:sz w:val="20"/>
        </w:rPr>
        <w:t xml:space="preserve">В отношении энергопринимающих устройств заявителей,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пункте 12(1)</w:t>
        </w:r>
      </w:hyperlink>
      <w:r>
        <w:rPr>
          <w:sz w:val="20"/>
        </w:rPr>
        <w:t xml:space="preserve"> настоящих Правил, присоединяемых по третьей категории надежности (по одному источнику электроснабжения)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энергопринимающих устройств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pPr>
        <w:pStyle w:val="0"/>
        <w:spacing w:before="200" w:line-rule="auto"/>
        <w:ind w:firstLine="540"/>
        <w:jc w:val="both"/>
      </w:pPr>
      <w:r>
        <w:rPr>
          <w:sz w:val="20"/>
        </w:rPr>
        <w:t xml:space="preserve">Включение в состав платы за технологическое присоединение энергопринимающих устройств заявителей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за исключением расходов на строительство объектов электросетевого хозяйства - от существующих объектов электросетевого хозяйства до границы участка заявителя, не допускается, за исключением случаев технологического присоединения генерирующих объектов к объектам электросетевого хозяйства, соответствующим критериям отнесения к единой национальной (общероссийской) электрической сети.</w:t>
      </w:r>
    </w:p>
    <w:p>
      <w:pPr>
        <w:pStyle w:val="0"/>
        <w:spacing w:before="200" w:line-rule="auto"/>
        <w:ind w:firstLine="540"/>
        <w:jc w:val="both"/>
      </w:pPr>
      <w:r>
        <w:rPr>
          <w:sz w:val="20"/>
        </w:rPr>
        <w:t xml:space="preserve">Размер платы за технологическое присоединение устанавливается уполномоченным органом исполнительной власти субъекта Российской Федерации в области государственного регулирования тарифов.</w:t>
      </w:r>
    </w:p>
    <w:p>
      <w:pPr>
        <w:pStyle w:val="0"/>
        <w:spacing w:before="200" w:line-rule="auto"/>
        <w:ind w:firstLine="540"/>
        <w:jc w:val="both"/>
      </w:pPr>
      <w:r>
        <w:rPr>
          <w:sz w:val="20"/>
        </w:rPr>
        <w:t xml:space="preserve">Положения о размере платы за технологическое присоединение, указанные в </w:t>
      </w:r>
      <w:hyperlink w:history="0" w:anchor="P1345" w:tooltip="17. В случае технологического присоединения объектов, указанных в абзацах четвертом и пятом настоящего пункта и отнесенных к третьей категории надежности (по одному источнику электроснабжения), присоединяемых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сетевой организации, в которую подана заявка, составляет не более 300...">
        <w:r>
          <w:rPr>
            <w:sz w:val="20"/>
            <w:color w:val="0000ff"/>
          </w:rPr>
          <w:t xml:space="preserve">абзацах первом</w:t>
        </w:r>
      </w:hyperlink>
      <w:r>
        <w:rPr>
          <w:sz w:val="20"/>
        </w:rPr>
        <w:t xml:space="preserve"> - </w:t>
      </w:r>
      <w:hyperlink w:history="0" w:anchor="P1366" w:tooltip="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станавливается в отношении всей совокупности таких мероприятий в размере 1000 рублей за кВт уполномоченным органом исполнительной власти в области государственного регулирования тарифов для соответствующих случаев технологического присоединения.">
        <w:r>
          <w:rPr>
            <w:sz w:val="20"/>
            <w:color w:val="0000ff"/>
          </w:rPr>
          <w:t xml:space="preserve">двадцать втором</w:t>
        </w:r>
      </w:hyperlink>
      <w:r>
        <w:rPr>
          <w:sz w:val="20"/>
        </w:rPr>
        <w:t xml:space="preserve"> и </w:t>
      </w:r>
      <w:hyperlink w:history="0" w:anchor="P1370" w:tooltip="В отношении энергопринимающих устройств заявителей, указанных в пункте 12(1) настоящих Правил, присоединяемых по третьей категории надежности (по одному источнику электр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 типа и не более 300 метров...">
        <w:r>
          <w:rPr>
            <w:sz w:val="20"/>
            <w:color w:val="0000ff"/>
          </w:rPr>
          <w:t xml:space="preserve">двадцать шестом</w:t>
        </w:r>
      </w:hyperlink>
      <w:r>
        <w:rPr>
          <w:sz w:val="20"/>
        </w:rPr>
        <w:t xml:space="preserve"> настоящего пункта, не могут быть применены в следующих случаях:</w:t>
      </w:r>
    </w:p>
    <w:p>
      <w:pPr>
        <w:pStyle w:val="0"/>
        <w:spacing w:before="200" w:line-rule="auto"/>
        <w:ind w:firstLine="540"/>
        <w:jc w:val="both"/>
      </w:pPr>
      <w:r>
        <w:rPr>
          <w:sz w:val="20"/>
        </w:rPr>
        <w:t xml:space="preserve">при технологическом присоединении энергопринимающих устройств (объектов микрогенерации), принадлежащих лицам, которым права владения и (или) пользования земельным участком (в том числе при его использовании без предоставления на основании разрешения) и (или) объектом капитального строительства (нежилым помещением в объекте капитального строительства) предоставлены на срок не более одного года;</w:t>
      </w:r>
    </w:p>
    <w:p>
      <w:pPr>
        <w:pStyle w:val="0"/>
        <w:spacing w:before="200" w:line-rule="auto"/>
        <w:ind w:firstLine="540"/>
        <w:jc w:val="both"/>
      </w:pPr>
      <w:r>
        <w:rPr>
          <w:sz w:val="20"/>
        </w:rPr>
        <w:t xml:space="preserve">при технологическом присоединении энергопринимающих устройств (объектов микрогенерации), расположенных в жилых помещениях многоквартирных домов;</w:t>
      </w:r>
    </w:p>
    <w:p>
      <w:pPr>
        <w:pStyle w:val="0"/>
        <w:spacing w:before="200" w:line-rule="auto"/>
        <w:ind w:firstLine="540"/>
        <w:jc w:val="both"/>
      </w:pPr>
      <w:r>
        <w:rPr>
          <w:sz w:val="20"/>
        </w:rPr>
        <w:t xml:space="preserve">при технологическом присоединении в границах территории субъекта Российской Федерации энергопринимающих устройств (объектов микрогенерации), соответствующих критериям, указанным в </w:t>
      </w:r>
      <w:hyperlink w:history="0" w:anchor="P1345" w:tooltip="17. В случае технологического присоединения объектов, указанных в абзацах четвертом и пятом настоящего пункта и отнесенных к третьей категории надежности (по одному источнику электроснабжения), присоединяемых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сетевой организации, в которую подана заявка, составляет не более 300...">
        <w:r>
          <w:rPr>
            <w:sz w:val="20"/>
            <w:color w:val="0000ff"/>
          </w:rPr>
          <w:t xml:space="preserve">абзацах первом</w:t>
        </w:r>
      </w:hyperlink>
      <w:r>
        <w:rPr>
          <w:sz w:val="20"/>
        </w:rPr>
        <w:t xml:space="preserve">, </w:t>
      </w:r>
      <w:hyperlink w:history="0" w:anchor="P1348" w:tooltip="С соблюдением требований абзацев первого - третьего настоящего пункта определяется плата за технологическое присоединение объектов микрогенерации заявителей - физических лиц, в том числе за одновременное технологическое присоединени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и объектов микрогенерации.">
        <w:r>
          <w:rPr>
            <w:sz w:val="20"/>
            <w:color w:val="0000ff"/>
          </w:rPr>
          <w:t xml:space="preserve">четвертом</w:t>
        </w:r>
      </w:hyperlink>
      <w:r>
        <w:rPr>
          <w:sz w:val="20"/>
        </w:rPr>
        <w:t xml:space="preserve">, </w:t>
      </w:r>
      <w:hyperlink w:history="0" w:anchor="P1349" w:tooltip="С соблюдением требований абзацев первого - третьего настоящего пункта определяется плата за технологическое присоединени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w:r>
          <w:rPr>
            <w:sz w:val="20"/>
            <w:color w:val="0000ff"/>
          </w:rPr>
          <w:t xml:space="preserve">пятом</w:t>
        </w:r>
      </w:hyperlink>
      <w:r>
        <w:rPr>
          <w:sz w:val="20"/>
        </w:rPr>
        <w:t xml:space="preserve">, </w:t>
      </w:r>
      <w:hyperlink w:history="0" w:anchor="P1364" w:tooltip="В отношении категорий заявителей, указанных в абзацах одиннадцатом - девятнадцатом настоящего пункта, в случае представления заявителем документов, оформленных уполномоченным федеральным органом исполнительной власти (органом исполнительной власти субъекта Российской Федерации, управомоченным им государственным учреждением, органом местного самоуправления), подтверждающих соответствие заявителя категории, установленной абзацами одиннадцатым - девятнадцатым настоящего пункта, при присоединении энергоприни...">
        <w:r>
          <w:rPr>
            <w:sz w:val="20"/>
            <w:color w:val="0000ff"/>
          </w:rPr>
          <w:t xml:space="preserve">двадцатом</w:t>
        </w:r>
      </w:hyperlink>
      <w:r>
        <w:rPr>
          <w:sz w:val="20"/>
        </w:rPr>
        <w:t xml:space="preserve"> и </w:t>
      </w:r>
      <w:hyperlink w:history="0" w:anchor="P1370" w:tooltip="В отношении энергопринимающих устройств заявителей, указанных в пункте 12(1) настоящих Правил, присоединяемых по третьей категории надежности (по одному источнику электр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 типа и не более 300 метров...">
        <w:r>
          <w:rPr>
            <w:sz w:val="20"/>
            <w:color w:val="0000ff"/>
          </w:rPr>
          <w:t xml:space="preserve">двадцать шестом</w:t>
        </w:r>
      </w:hyperlink>
      <w:r>
        <w:rPr>
          <w:sz w:val="20"/>
        </w:rPr>
        <w:t xml:space="preserve"> настоящего пункта, если лицом, обратившимся с заявкой, ранее уже была подана заявка, которая не была аннулирована в соответствии с настоящими Правилами, или заключен договор в целях технологического присоединения энергопринимающих устройств (объектов микрогенерации), соответствующих указанным критериям, расположенных (предполагаемых к расположению в соответствии с поданной заявкой) в границах территории того же субъекта Российской Федерации, при условии, что со дня заключения такого договора не истекло 3 года;</w:t>
      </w:r>
    </w:p>
    <w:p>
      <w:pPr>
        <w:pStyle w:val="0"/>
        <w:spacing w:before="200" w:line-rule="auto"/>
        <w:ind w:firstLine="540"/>
        <w:jc w:val="both"/>
      </w:pPr>
      <w:r>
        <w:rPr>
          <w:sz w:val="20"/>
        </w:rPr>
        <w:t xml:space="preserve">при технологическом присоединении энергопринимающих устройств заявителей,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пункте 12</w:t>
        </w:r>
      </w:hyperlink>
      <w:r>
        <w:rPr>
          <w:sz w:val="20"/>
        </w:rPr>
        <w:t xml:space="preserve">(1) настоящих Правил, соответствующих критериям, указанным в </w:t>
      </w:r>
      <w:hyperlink w:history="0" w:anchor="P1370" w:tooltip="В отношении энергопринимающих устройств заявителей, указанных в пункте 12(1) настоящих Правил, присоединяемых по третьей категории надежности (по одному источнику электр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 типа и не более 300 метров...">
        <w:r>
          <w:rPr>
            <w:sz w:val="20"/>
            <w:color w:val="0000ff"/>
          </w:rPr>
          <w:t xml:space="preserve">абзаце двадцать шестом</w:t>
        </w:r>
      </w:hyperlink>
      <w:r>
        <w:rPr>
          <w:sz w:val="20"/>
        </w:rPr>
        <w:t xml:space="preserve"> настоящего пункта, если они расположены (будут располагаться) в границах того же земельного участка (или в границах того же сервитута либо территории, используемой на основании разрешения без предоставления земельного участка или установления сервитута), на котором расположены (будут располагаться) энергопринимающие устройства, в отношении которых ранее уже была подана заявка, которая не была аннулирована в соответствии с настоящими Правилами, или заключен договор, предусматривающий установленные </w:t>
      </w:r>
      <w:hyperlink w:history="0" w:anchor="P1370" w:tooltip="В отношении энергопринимающих устройств заявителей, указанных в пункте 12(1) настоящих Правил, присоединяемых по третьей категории надежности (по одному источнику электр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 типа и не более 300 метров...">
        <w:r>
          <w:rPr>
            <w:sz w:val="20"/>
            <w:color w:val="0000ff"/>
          </w:rPr>
          <w:t xml:space="preserve">абзацем двадцать шестым</w:t>
        </w:r>
      </w:hyperlink>
      <w:r>
        <w:rPr>
          <w:sz w:val="20"/>
        </w:rPr>
        <w:t xml:space="preserve"> настоящего пункта особенности расчета платы за технологическое присоединение, при условии, что со дня заключения такого договора не истекло 3 года.</w:t>
      </w:r>
    </w:p>
    <w:p>
      <w:pPr>
        <w:pStyle w:val="0"/>
        <w:spacing w:before="200" w:line-rule="auto"/>
        <w:ind w:firstLine="540"/>
        <w:jc w:val="both"/>
      </w:pPr>
      <w:r>
        <w:rPr>
          <w:sz w:val="20"/>
        </w:rPr>
        <w:t xml:space="preserve">При определении в соответствии с </w:t>
      </w:r>
      <w:hyperlink w:history="0" w:anchor="P1345" w:tooltip="17. В случае технологического присоединения объектов, указанных в абзацах четвертом и пятом настоящего пункта и отнесенных к третьей категории надежности (по одному источнику электроснабжения), присоединяемых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сетевой организации, в которую подана заявка, составляет не более 300...">
        <w:r>
          <w:rPr>
            <w:sz w:val="20"/>
            <w:color w:val="0000ff"/>
          </w:rPr>
          <w:t xml:space="preserve">абзацами первым</w:t>
        </w:r>
      </w:hyperlink>
      <w:r>
        <w:rPr>
          <w:sz w:val="20"/>
        </w:rPr>
        <w:t xml:space="preserve"> - </w:t>
      </w:r>
      <w:hyperlink w:history="0" w:anchor="P1366" w:tooltip="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станавливается в отношении всей совокупности таких мероприятий в размере 1000 рублей за кВт уполномоченным органом исполнительной власти в области государственного регулирования тарифов для соответствующих случаев технологического присоединения.">
        <w:r>
          <w:rPr>
            <w:sz w:val="20"/>
            <w:color w:val="0000ff"/>
          </w:rPr>
          <w:t xml:space="preserve">двадцать вторым</w:t>
        </w:r>
      </w:hyperlink>
      <w:r>
        <w:rPr>
          <w:sz w:val="20"/>
        </w:rPr>
        <w:t xml:space="preserve"> размера платы за технологическое присоединение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предусмотренное </w:t>
      </w:r>
      <w:hyperlink w:history="0" w:anchor="P1345" w:tooltip="17. В случае технологического присоединения объектов, указанных в абзацах четвертом и пятом настоящего пункта и отнесенных к третьей категории надежности (по одному источнику электроснабжения), присоединяемых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сетевой организации, в которую подана заявка, составляет не более 300...">
        <w:r>
          <w:rPr>
            <w:sz w:val="20"/>
            <w:color w:val="0000ff"/>
          </w:rPr>
          <w:t xml:space="preserve">абзацем первым</w:t>
        </w:r>
      </w:hyperlink>
      <w:r>
        <w:rPr>
          <w:sz w:val="20"/>
        </w:rPr>
        <w:t xml:space="preserve"> настоящего пункта условие в части, касающейся расстояния до ближайшего объекта электрической сети необходимого заявителю класса напряжения, составляющего не более 300 метров в городах и поселках городского типа и не более 500 метров в сельской местности, применяется исходя из измерения расстояния по прямой линии от границы территории садоводства или огородничества до ближайшего объекта электрической сети сетевой организации, имеющего указанный в заявке класс напряжения.</w:t>
      </w:r>
    </w:p>
    <w:p>
      <w:pPr>
        <w:pStyle w:val="0"/>
        <w:spacing w:before="200" w:line-rule="auto"/>
        <w:ind w:firstLine="540"/>
        <w:jc w:val="both"/>
      </w:pPr>
      <w:r>
        <w:rPr>
          <w:sz w:val="20"/>
        </w:rPr>
        <w:t xml:space="preserve">Предусмотренные настоящим пунктом значения льготной ставки за 1 кВт запрашиваемой максимальной мощности ежегодно, начиная с 1 января 2023 г., индексируются с учетом совокупности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(при отсутствии этого индекса используется индекс потребительских цен).</w:t>
      </w:r>
    </w:p>
    <w:p>
      <w:pPr>
        <w:pStyle w:val="0"/>
        <w:jc w:val="both"/>
      </w:pPr>
      <w:r>
        <w:rPr>
          <w:sz w:val="20"/>
        </w:rPr>
        <w:t xml:space="preserve">(п. 17 в ред. </w:t>
      </w:r>
      <w:hyperlink w:history="0" r:id="rId770"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bookmarkStart w:id="1381" w:name="P1381"/>
    <w:bookmarkEnd w:id="1381"/>
    <w:p>
      <w:pPr>
        <w:pStyle w:val="0"/>
        <w:spacing w:before="200" w:line-rule="auto"/>
        <w:ind w:firstLine="540"/>
        <w:jc w:val="both"/>
      </w:pPr>
      <w:r>
        <w:rPr>
          <w:sz w:val="20"/>
        </w:rPr>
        <w:t xml:space="preserve">17(1). При поэтапном технологическом присоединении применительно к каждому из этапов осуществляются мероприятия по технологическому присоединению, предусмотренные </w:t>
      </w:r>
      <w:hyperlink w:history="0" w:anchor="P1395" w:tooltip="б) разработку сетевой организацией проектной документации согласно обязательствам, предусмотренным техническими условиями;">
        <w:r>
          <w:rPr>
            <w:sz w:val="20"/>
            <w:color w:val="0000ff"/>
          </w:rPr>
          <w:t xml:space="preserve">подпунктами "б"</w:t>
        </w:r>
      </w:hyperlink>
      <w:r>
        <w:rPr>
          <w:sz w:val="20"/>
        </w:rPr>
        <w:t xml:space="preserve"> - </w:t>
      </w:r>
      <w:hyperlink w:history="0" w:anchor="P1400" w:tooltip="д) проверку выполнения заявителем (за исключением заявителей, указанных в пунктах 12(1), 13(2) - 13(5) и 14 настоящих Правил, кроме случаев, если технологическое присоединение энергопринимающих устройств таких заявителей осуществляется на уровне напряжения выше 0,4 кВ) и сетевой организацией технических условий в соответствии с разделом IX настоящих Правил;">
        <w:r>
          <w:rPr>
            <w:sz w:val="20"/>
            <w:color w:val="0000ff"/>
          </w:rPr>
          <w:t xml:space="preserve">"д(1)" пункта 18</w:t>
        </w:r>
      </w:hyperlink>
      <w:r>
        <w:rPr>
          <w:sz w:val="20"/>
        </w:rPr>
        <w:t xml:space="preserve"> настоящих Правил, а плата за технологическое присоединение рассчитывается (утверждается уполномоченным органом в случае технологического присоединения по индивидуальному проекту с учетом особенностей, установленных </w:t>
      </w:r>
      <w:hyperlink w:history="0" w:anchor="P1577" w:tooltip="III. Критерии наличия (отсутствия)">
        <w:r>
          <w:rPr>
            <w:sz w:val="20"/>
            <w:color w:val="0000ff"/>
          </w:rPr>
          <w:t xml:space="preserve">разделом III</w:t>
        </w:r>
      </w:hyperlink>
      <w:r>
        <w:rPr>
          <w:sz w:val="20"/>
        </w:rPr>
        <w:t xml:space="preserve"> настоящих Правил) в целом на реализацию всех мероприятий по технологическому присоединению, расходы на выполнение которых подлежат включению в состав платы за технологическое присоединение, с разделением их общей стоимости на составляющие, которые предназначены для определения стоимости и оплаты таких мероприятий на предусмотренных техническими условиями и проектной документацией отдельных этапах, в следующих случаях:</w:t>
      </w:r>
    </w:p>
    <w:p>
      <w:pPr>
        <w:pStyle w:val="0"/>
        <w:spacing w:before="200" w:line-rule="auto"/>
        <w:ind w:firstLine="540"/>
        <w:jc w:val="both"/>
      </w:pPr>
      <w:r>
        <w:rPr>
          <w:sz w:val="20"/>
        </w:rPr>
        <w:t xml:space="preserve">в целях заключения договора на основании заявки, содержащей сведения, указанные в </w:t>
      </w:r>
      <w:hyperlink w:history="0" w:anchor="P1018" w:tooltip="и(1)) этапы введения в эксплуатацию энергопринимающих устройств в случаях, если их технологическое присоединение осуществляется при строительстве, реконструкции объектов капитального строительства жилого, общественно-делового назначения и необходимых для их функционирования объектов коммунальной, транспортной, социальной инфраструктур в соответствии с утвержденным проектом планировки территории (указываются при наличии такого проекта);">
        <w:r>
          <w:rPr>
            <w:sz w:val="20"/>
            <w:color w:val="0000ff"/>
          </w:rPr>
          <w:t xml:space="preserve">подпункте "и(1)" пункта 9</w:t>
        </w:r>
      </w:hyperlink>
      <w:r>
        <w:rPr>
          <w:sz w:val="20"/>
        </w:rPr>
        <w:t xml:space="preserve"> настоящих Правил;</w:t>
      </w:r>
    </w:p>
    <w:p>
      <w:pPr>
        <w:pStyle w:val="0"/>
        <w:spacing w:before="200" w:line-rule="auto"/>
        <w:ind w:firstLine="540"/>
        <w:jc w:val="both"/>
      </w:pPr>
      <w:r>
        <w:rPr>
          <w:sz w:val="20"/>
        </w:rPr>
        <w:t xml:space="preserve">в целях заключения договора на основании заявки, содержащей сведения, указанные в </w:t>
      </w:r>
      <w:hyperlink w:history="0" w:anchor="P1020" w:tooltip="и(2)) этапы строительства, реконструкции объектов капитального строительства (в которых расположены или будут располагаться присоединяемые энергопринимающие устройства), предусмотренных проектной документацией, проектом планировки территории, разрешением на строительство (указываются при наличии таких документации, проекта или разрешения, которые утверждены, получены в установленном порядке);">
        <w:r>
          <w:rPr>
            <w:sz w:val="20"/>
            <w:color w:val="0000ff"/>
          </w:rPr>
          <w:t xml:space="preserve">подпункте "и(2)" пункта 9</w:t>
        </w:r>
      </w:hyperlink>
      <w:r>
        <w:rPr>
          <w:sz w:val="20"/>
        </w:rPr>
        <w:t xml:space="preserve"> настоящих Правил, в который по согласованию сетевой организацией планируется включить условия о внесении платы за технологическое присоединение исходя из этапов осуществления мероприятий по такому присоединению.</w:t>
      </w:r>
    </w:p>
    <w:p>
      <w:pPr>
        <w:pStyle w:val="0"/>
        <w:spacing w:before="200" w:line-rule="auto"/>
        <w:ind w:firstLine="540"/>
        <w:jc w:val="both"/>
      </w:pPr>
      <w:r>
        <w:rPr>
          <w:sz w:val="20"/>
        </w:rPr>
        <w:t xml:space="preserve">При определении платы за технологическое присоединение в соответствии с требованиями настоящего пункта:</w:t>
      </w:r>
    </w:p>
    <w:p>
      <w:pPr>
        <w:pStyle w:val="0"/>
        <w:spacing w:before="200" w:line-rule="auto"/>
        <w:ind w:firstLine="540"/>
        <w:jc w:val="both"/>
      </w:pPr>
      <w:r>
        <w:rPr>
          <w:sz w:val="20"/>
        </w:rPr>
        <w:t xml:space="preserve">предварительная общая стоимость осуществления мероприятий по всем этапам определяется в ценах года, соответствующего году утверждения или расчета платы;</w:t>
      </w:r>
    </w:p>
    <w:p>
      <w:pPr>
        <w:pStyle w:val="0"/>
        <w:spacing w:before="200" w:line-rule="auto"/>
        <w:ind w:firstLine="540"/>
        <w:jc w:val="both"/>
      </w:pPr>
      <w:r>
        <w:rPr>
          <w:sz w:val="20"/>
        </w:rPr>
        <w:t xml:space="preserve">составляющие платы, предназначенные для определения стоимости и оплаты осуществления мероприятий по каждому из этапов, определяются по формуле с указанием в числовом выражении стоимости осуществления мероприятий по отдельному этапу в ценах года, соответствующего году утверждения или расчета платы, и переменной, которая применяется для учета совокупности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(при отсутствии данного индекса используется индекс потребительских цен), за период до начала реализации соответствующего этапа, начиная с года, следующего за годом утверждения платы;</w:t>
      </w:r>
    </w:p>
    <w:p>
      <w:pPr>
        <w:pStyle w:val="0"/>
        <w:spacing w:before="200" w:line-rule="auto"/>
        <w:ind w:firstLine="540"/>
        <w:jc w:val="both"/>
      </w:pPr>
      <w:r>
        <w:rPr>
          <w:sz w:val="20"/>
        </w:rPr>
        <w:t xml:space="preserve">условия о составляющих платы, предназначенных для определения стоимости и оплаты осуществления мероприятий по этапам, общий срок реализации которых в соответствии с техническими условиями не превышает 4 лет со дня заключения договора, включаются в договор при его заключении;</w:t>
      </w:r>
    </w:p>
    <w:p>
      <w:pPr>
        <w:pStyle w:val="0"/>
        <w:spacing w:before="200" w:line-rule="auto"/>
        <w:ind w:firstLine="540"/>
        <w:jc w:val="both"/>
      </w:pPr>
      <w:r>
        <w:rPr>
          <w:sz w:val="20"/>
        </w:rPr>
        <w:t xml:space="preserve">условия о составляющих платы, предназначенных для определения стоимости и оплаты осуществления мероприятий по этапам, реализация которых в соответствии с техническими условиями запланирована после истечения 4 лет со дня заключения договора, включаются в договор на основании дополнительного соглашения сторон, заключаемого перед началом реализации каждого из таких этапов;</w:t>
      </w:r>
    </w:p>
    <w:p>
      <w:pPr>
        <w:pStyle w:val="0"/>
        <w:spacing w:before="200" w:line-rule="auto"/>
        <w:ind w:firstLine="540"/>
        <w:jc w:val="both"/>
      </w:pPr>
      <w:r>
        <w:rPr>
          <w:sz w:val="20"/>
        </w:rPr>
        <w:t xml:space="preserve">сетевая организация в целях заключения указанного дополнительного соглашения обязана не позднее чем за один месяц до планируемой даты начала реализации этапа осуществления мероприятий по технологическому присоединению направить заявителю расчет соответствующей составляющей платы либо в случае технологического присоединения по индивидуальному проекту не позднее чем за 3 месяца до указанной даты обратиться в уполномоченный орган за установлением такой составляющей и направить заявителю решение данного органа в течение 3 рабочих дней со дня его вступления в силу.</w:t>
      </w:r>
    </w:p>
    <w:p>
      <w:pPr>
        <w:pStyle w:val="0"/>
        <w:spacing w:before="200" w:line-rule="auto"/>
        <w:ind w:firstLine="540"/>
        <w:jc w:val="both"/>
      </w:pPr>
      <w:r>
        <w:rPr>
          <w:sz w:val="20"/>
        </w:rPr>
        <w:t xml:space="preserve">В случае подачи заявки, содержащей сведения, предусмотренные </w:t>
      </w:r>
      <w:hyperlink w:history="0" w:anchor="P1020" w:tooltip="и(2)) этапы строительства, реконструкции объектов капитального строительства (в которых расположены или будут располагаться присоединяемые энергопринимающие устройства), предусмотренных проектной документацией, проектом планировки территории, разрешением на строительство (указываются при наличии таких документации, проекта или разрешения, которые утверждены, получены в установленном порядке);">
        <w:r>
          <w:rPr>
            <w:sz w:val="20"/>
            <w:color w:val="0000ff"/>
          </w:rPr>
          <w:t xml:space="preserve">подпунктом "и(2)" пункта 9</w:t>
        </w:r>
      </w:hyperlink>
      <w:r>
        <w:rPr>
          <w:sz w:val="20"/>
        </w:rPr>
        <w:t xml:space="preserve"> настоящих Правил, применение положений настоящего пункта в целях определения обязательств по поэтапной оплате технологического присоединения осуществляется при наличии на это согласия сетевой организации.</w:t>
      </w:r>
    </w:p>
    <w:p>
      <w:pPr>
        <w:pStyle w:val="0"/>
        <w:jc w:val="both"/>
      </w:pPr>
      <w:r>
        <w:rPr>
          <w:sz w:val="20"/>
        </w:rPr>
        <w:t xml:space="preserve">(п. 17(1) введен </w:t>
      </w:r>
      <w:hyperlink w:history="0" r:id="rId771"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29.12.2021 N 2566)</w:t>
      </w:r>
    </w:p>
    <w:bookmarkStart w:id="1392" w:name="P1392"/>
    <w:bookmarkEnd w:id="1392"/>
    <w:p>
      <w:pPr>
        <w:pStyle w:val="0"/>
        <w:spacing w:before="200" w:line-rule="auto"/>
        <w:ind w:firstLine="540"/>
        <w:jc w:val="both"/>
      </w:pPr>
      <w:r>
        <w:rPr>
          <w:sz w:val="20"/>
        </w:rPr>
        <w:t xml:space="preserve">18. Мероприятия по технологическому присоединению включают в себя:</w:t>
      </w:r>
    </w:p>
    <w:p>
      <w:pPr>
        <w:pStyle w:val="0"/>
        <w:spacing w:before="200" w:line-rule="auto"/>
        <w:ind w:firstLine="540"/>
        <w:jc w:val="both"/>
      </w:pPr>
      <w:r>
        <w:rPr>
          <w:sz w:val="20"/>
        </w:rPr>
        <w:t xml:space="preserve">а) подготовку,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а в случае выдачи технических условий электростанцией - согласование их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и со смежными сетевыми организациями;</w:t>
      </w:r>
    </w:p>
    <w:p>
      <w:pPr>
        <w:pStyle w:val="0"/>
        <w:jc w:val="both"/>
      </w:pPr>
      <w:r>
        <w:rPr>
          <w:sz w:val="20"/>
        </w:rPr>
        <w:t xml:space="preserve">(в ред. Постановлений Правительства РФ от 21.04.2009 </w:t>
      </w:r>
      <w:hyperlink w:history="0" r:id="rId772"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антПлюс}">
        <w:r>
          <w:rPr>
            <w:sz w:val="20"/>
            <w:color w:val="0000ff"/>
          </w:rPr>
          <w:t xml:space="preserve">N 334</w:t>
        </w:r>
      </w:hyperlink>
      <w:r>
        <w:rPr>
          <w:sz w:val="20"/>
        </w:rPr>
        <w:t xml:space="preserve">, от 24.09.2010 </w:t>
      </w:r>
      <w:hyperlink w:history="0" r:id="rId773"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sz w:val="20"/>
            <w:color w:val="0000ff"/>
          </w:rPr>
          <w:t xml:space="preserve">N 759</w:t>
        </w:r>
      </w:hyperlink>
      <w:r>
        <w:rPr>
          <w:sz w:val="20"/>
        </w:rPr>
        <w:t xml:space="preserve">)</w:t>
      </w:r>
    </w:p>
    <w:bookmarkStart w:id="1395" w:name="P1395"/>
    <w:bookmarkEnd w:id="1395"/>
    <w:p>
      <w:pPr>
        <w:pStyle w:val="0"/>
        <w:spacing w:before="200" w:line-rule="auto"/>
        <w:ind w:firstLine="540"/>
        <w:jc w:val="both"/>
      </w:pPr>
      <w:r>
        <w:rPr>
          <w:sz w:val="20"/>
        </w:rPr>
        <w:t xml:space="preserve">б) разработку сетевой организацией проектной документации согласно обязательствам, предусмотренным техническими условиями;</w:t>
      </w:r>
    </w:p>
    <w:bookmarkStart w:id="1396" w:name="P1396"/>
    <w:bookmarkEnd w:id="1396"/>
    <w:p>
      <w:pPr>
        <w:pStyle w:val="0"/>
        <w:spacing w:before="200" w:line-rule="auto"/>
        <w:ind w:firstLine="540"/>
        <w:jc w:val="both"/>
      </w:pPr>
      <w:r>
        <w:rPr>
          <w:sz w:val="20"/>
        </w:rPr>
        <w:t xml:space="preserve">в) разработку заявителем проектной документации в границах его земельного участка согласно обязательствам, предусмотренным техническими условиями, за исключением случаев, когда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w:t>
      </w:r>
    </w:p>
    <w:p>
      <w:pPr>
        <w:pStyle w:val="0"/>
        <w:jc w:val="both"/>
      </w:pPr>
      <w:r>
        <w:rPr>
          <w:sz w:val="20"/>
        </w:rPr>
        <w:t xml:space="preserve">(в ред. </w:t>
      </w:r>
      <w:hyperlink w:history="0" r:id="rId774"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антПлюс}">
        <w:r>
          <w:rPr>
            <w:sz w:val="20"/>
            <w:color w:val="0000ff"/>
          </w:rPr>
          <w:t xml:space="preserve">Постановления</w:t>
        </w:r>
      </w:hyperlink>
      <w:r>
        <w:rPr>
          <w:sz w:val="20"/>
        </w:rPr>
        <w:t xml:space="preserve"> Правительства РФ от 21.04.2009 N 334)</w:t>
      </w:r>
    </w:p>
    <w:p>
      <w:pPr>
        <w:pStyle w:val="0"/>
        <w:spacing w:before="200" w:line-rule="auto"/>
        <w:ind w:firstLine="540"/>
        <w:jc w:val="both"/>
      </w:pPr>
      <w:r>
        <w:rPr>
          <w:sz w:val="20"/>
        </w:rPr>
        <w:t xml:space="preserve">г) выполнение заявителем и сетевой организацией технических условий, включая осуществление сетевой организацией мероприятий по подключению энергопринимающих устройств (объектов микрогенерации) под действие устройств сетевой, противоаварийной и режимной автоматики, а также выполнение заявителем и сетевой организацией требований по созданию (модернизации) комплексов и устройств релейной защиты и автоматики в порядке, предусмотренном </w:t>
      </w:r>
      <w:hyperlink w:history="0" r:id="rId775"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Правилами</w:t>
        </w:r>
      </w:hyperlink>
      <w:r>
        <w:rPr>
          <w:sz w:val="20"/>
        </w:rPr>
        <w:t xml:space="preserve"> технологического функционирования электроэнергетических систем, утвержденными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(далее - Правила технологического функционирования электроэнергетических систем) (за исключением заявителей,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кроме случаев, если технологическое присоединение энергопринимающих устройств (объектов микрогенерации) таких заявителей осуществляется на уровне напряжения выше 0,4 кВ);</w:t>
      </w:r>
    </w:p>
    <w:p>
      <w:pPr>
        <w:pStyle w:val="0"/>
        <w:jc w:val="both"/>
      </w:pPr>
      <w:r>
        <w:rPr>
          <w:sz w:val="20"/>
        </w:rPr>
        <w:t xml:space="preserve">(в ред. Постановлений Правительства РФ от 13.08.2018 </w:t>
      </w:r>
      <w:hyperlink w:history="0" r:id="rId776"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N 937</w:t>
        </w:r>
      </w:hyperlink>
      <w:r>
        <w:rPr>
          <w:sz w:val="20"/>
        </w:rPr>
        <w:t xml:space="preserve">, от 10.03.2020 </w:t>
      </w:r>
      <w:hyperlink w:history="0" r:id="rId777" w:tooltip="Постановление Правительства РФ от 10.03.2020 N 262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262</w:t>
        </w:r>
      </w:hyperlink>
      <w:r>
        <w:rPr>
          <w:sz w:val="20"/>
        </w:rPr>
        <w:t xml:space="preserve">, от 02.03.2021 </w:t>
      </w:r>
      <w:hyperlink w:history="0" r:id="rId778"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N 299</w:t>
        </w:r>
      </w:hyperlink>
      <w:r>
        <w:rPr>
          <w:sz w:val="20"/>
        </w:rPr>
        <w:t xml:space="preserve">)</w:t>
      </w:r>
    </w:p>
    <w:bookmarkStart w:id="1400" w:name="P1400"/>
    <w:bookmarkEnd w:id="1400"/>
    <w:p>
      <w:pPr>
        <w:pStyle w:val="0"/>
        <w:spacing w:before="200" w:line-rule="auto"/>
        <w:ind w:firstLine="540"/>
        <w:jc w:val="both"/>
      </w:pPr>
      <w:r>
        <w:rPr>
          <w:sz w:val="20"/>
        </w:rPr>
        <w:t xml:space="preserve">д) проверку выполнения заявителем (за исключением заявителей,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кроме случаев, если технологическое присоединение энергопринимающих устройств таких заявителей осуществляется на уровне напряжения выше 0,4 кВ) и сетевой организацией технических условий в соответствии с </w:t>
      </w:r>
      <w:hyperlink w:history="0" w:anchor="P1997" w:tooltip="IX. Порядок проведения проверки выполнения заявителем">
        <w:r>
          <w:rPr>
            <w:sz w:val="20"/>
            <w:color w:val="0000ff"/>
          </w:rPr>
          <w:t xml:space="preserve">разделом IX</w:t>
        </w:r>
      </w:hyperlink>
      <w:r>
        <w:rPr>
          <w:sz w:val="20"/>
        </w:rPr>
        <w:t xml:space="preserve"> настоящих Правил;</w:t>
      </w:r>
    </w:p>
    <w:p>
      <w:pPr>
        <w:pStyle w:val="0"/>
        <w:jc w:val="both"/>
      </w:pPr>
      <w:r>
        <w:rPr>
          <w:sz w:val="20"/>
        </w:rPr>
        <w:t xml:space="preserve">(в ред. Постановлений Правительства РФ от 07.05.2017 </w:t>
      </w:r>
      <w:hyperlink w:history="0" r:id="rId779"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N 542</w:t>
        </w:r>
      </w:hyperlink>
      <w:r>
        <w:rPr>
          <w:sz w:val="20"/>
        </w:rPr>
        <w:t xml:space="preserve">, от 10.03.2020 </w:t>
      </w:r>
      <w:hyperlink w:history="0" r:id="rId780" w:tooltip="Постановление Правительства РФ от 10.03.2020 N 262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262</w:t>
        </w:r>
      </w:hyperlink>
      <w:r>
        <w:rPr>
          <w:sz w:val="20"/>
        </w:rPr>
        <w:t xml:space="preserve">, от 02.03.2021 </w:t>
      </w:r>
      <w:hyperlink w:history="0" r:id="rId781"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N 299</w:t>
        </w:r>
      </w:hyperlink>
      <w:r>
        <w:rPr>
          <w:sz w:val="20"/>
        </w:rPr>
        <w:t xml:space="preserve">)</w:t>
      </w:r>
    </w:p>
    <w:p>
      <w:pPr>
        <w:pStyle w:val="0"/>
        <w:spacing w:before="200" w:line-rule="auto"/>
        <w:ind w:firstLine="540"/>
        <w:jc w:val="both"/>
      </w:pPr>
      <w:r>
        <w:rPr>
          <w:sz w:val="20"/>
        </w:rPr>
        <w:t xml:space="preserve">д(1)) выполнение мероприятий по вводу объектов электроэнергетики заявителя, сетевой организации и иных лиц, построенных (реконструированных, модернизированных) в рамках выполнения мероприятий по технологическому присоединению, а также входящих в их состав оборудования, комплексов и устройств релейной защиты и автоматики, средств диспетчерского и технологического управления в работу в составе электроэнергетической системы в соответствии с </w:t>
      </w:r>
      <w:hyperlink w:history="0" r:id="rId782"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Правилами</w:t>
        </w:r>
      </w:hyperlink>
      <w:r>
        <w:rPr>
          <w:sz w:val="20"/>
        </w:rPr>
        <w:t xml:space="preserve"> технологического функционирования электроэнергетических систем;</w:t>
      </w:r>
    </w:p>
    <w:p>
      <w:pPr>
        <w:pStyle w:val="0"/>
        <w:jc w:val="both"/>
      </w:pPr>
      <w:r>
        <w:rPr>
          <w:sz w:val="20"/>
        </w:rPr>
        <w:t xml:space="preserve">(пп. "д(1)" введен </w:t>
      </w:r>
      <w:hyperlink w:history="0" r:id="rId783"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13.08.2018 N 937)</w:t>
      </w:r>
    </w:p>
    <w:p>
      <w:pPr>
        <w:pStyle w:val="0"/>
        <w:spacing w:before="200" w:line-rule="auto"/>
        <w:ind w:firstLine="540"/>
        <w:jc w:val="both"/>
      </w:pPr>
      <w:r>
        <w:rPr>
          <w:sz w:val="20"/>
        </w:rPr>
        <w:t xml:space="preserve">д(2)) выполнение мероприятий по обеспечению возможности вывода из эксплуатации объекта по производству электрической энергии (мощности) заявителя, присоединенного к электрическим сетям этой сетевой организации, в случае технологического присоединения вновь сооружаемого (реконструируемого) объекта по производству электрической энергии (мощности) заявителя к электрическим сетям той же сетевой организации в целях замещения им такого объекта по производству электрической энергии (мощности);</w:t>
      </w:r>
    </w:p>
    <w:p>
      <w:pPr>
        <w:pStyle w:val="0"/>
        <w:jc w:val="both"/>
      </w:pPr>
      <w:r>
        <w:rPr>
          <w:sz w:val="20"/>
        </w:rPr>
        <w:t xml:space="preserve">(пп. "д(2)" введен </w:t>
      </w:r>
      <w:hyperlink w:history="0" r:id="rId784"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Постановлением</w:t>
        </w:r>
      </w:hyperlink>
      <w:r>
        <w:rPr>
          <w:sz w:val="20"/>
        </w:rPr>
        <w:t xml:space="preserve"> Правительства РФ от 30.01.2021 N 86)</w:t>
      </w:r>
    </w:p>
    <w:p>
      <w:pPr>
        <w:pStyle w:val="0"/>
        <w:spacing w:before="200" w:line-rule="auto"/>
        <w:ind w:firstLine="540"/>
        <w:jc w:val="both"/>
      </w:pPr>
      <w:r>
        <w:rPr>
          <w:sz w:val="20"/>
        </w:rPr>
        <w:t xml:space="preserve">е) - ж) утратили силу. - </w:t>
      </w:r>
      <w:hyperlink w:history="0" r:id="rId785"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Постановление</w:t>
        </w:r>
      </w:hyperlink>
      <w:r>
        <w:rPr>
          <w:sz w:val="20"/>
        </w:rPr>
        <w:t xml:space="preserve"> Правительства РФ от 07.05.2017 N 542.</w:t>
      </w:r>
    </w:p>
    <w:bookmarkStart w:id="1407" w:name="P1407"/>
    <w:bookmarkEnd w:id="1407"/>
    <w:p>
      <w:pPr>
        <w:pStyle w:val="0"/>
        <w:spacing w:before="200" w:line-rule="auto"/>
        <w:ind w:firstLine="540"/>
        <w:jc w:val="both"/>
      </w:pPr>
      <w:r>
        <w:rPr>
          <w:sz w:val="20"/>
        </w:rPr>
        <w:t xml:space="preserve">18(1). Заявители, указанные в </w:t>
      </w:r>
      <w:hyperlink w:history="0" w:anchor="P1081" w:tooltip="12. В заявке, направляемой заявителем - юридическим лицом или индивидуальным предпринимателем, максимальная мощность энергопринимающих устройств которых составляет свыше 150 кВт и менее 670 кВт, должны быть указаны:">
        <w:r>
          <w:rPr>
            <w:sz w:val="20"/>
            <w:color w:val="0000ff"/>
          </w:rPr>
          <w:t xml:space="preserve">пункте 12</w:t>
        </w:r>
      </w:hyperlink>
      <w:r>
        <w:rPr>
          <w:sz w:val="20"/>
        </w:rPr>
        <w:t xml:space="preserve"> настоящих Правил, технологическое присоединение объектов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заявители, технологическое присоединение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которых осуществляется по второй категории надежности к электрическим сетям классом напряжения до 20 кВ включительно, и сетевая организация в отношении объектов электросетевого хозяйства классом напряжения до 20 кВ включительно, построенных (реконструированных) ею в рамках исполнения технических условий в целях осуществления технологического присоединения объектов заявителя, оформляют акт о выполнении технических условий по форме согласно </w:t>
      </w:r>
      <w:hyperlink w:history="0" w:anchor="P5210" w:tooltip="                                    АКТ">
        <w:r>
          <w:rPr>
            <w:sz w:val="20"/>
            <w:color w:val="0000ff"/>
          </w:rPr>
          <w:t xml:space="preserve">приложению N 15</w:t>
        </w:r>
      </w:hyperlink>
      <w:r>
        <w:rPr>
          <w:sz w:val="20"/>
        </w:rPr>
        <w:t xml:space="preserve"> (за исключением заявителей,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32" w:tooltip="13(3).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электроснабжение которых предусматривается по одному источнику, и объектов микрогенерации, должны быть ука...">
        <w:r>
          <w:rPr>
            <w:sz w:val="20"/>
            <w:color w:val="0000ff"/>
          </w:rPr>
          <w:t xml:space="preserve">13(3)</w:t>
        </w:r>
      </w:hyperlink>
      <w:r>
        <w:rPr>
          <w:sz w:val="20"/>
        </w:rPr>
        <w:t xml:space="preserve">,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в случае, если технологическое присоединение энергопринимающих устройств таких заявителей осуществляется на уровне напряжения 0,4 кВ и ниже) и направляют в адрес органа федерального государственного энергетического надзора уведомления о готовности на ввод в эксплуатацию объектов, содержащие следующие сведения:</w:t>
      </w:r>
    </w:p>
    <w:p>
      <w:pPr>
        <w:pStyle w:val="0"/>
        <w:jc w:val="both"/>
      </w:pPr>
      <w:r>
        <w:rPr>
          <w:sz w:val="20"/>
        </w:rPr>
        <w:t xml:space="preserve">(в ред. Постановлений Правительства РФ от 07.05.2017 </w:t>
      </w:r>
      <w:hyperlink w:history="0" r:id="rId786"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N 542</w:t>
        </w:r>
      </w:hyperlink>
      <w:r>
        <w:rPr>
          <w:sz w:val="20"/>
        </w:rPr>
        <w:t xml:space="preserve">, от 30.06.2022 </w:t>
      </w:r>
      <w:hyperlink w:history="0" r:id="rId787"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1178</w:t>
        </w:r>
      </w:hyperlink>
      <w:r>
        <w:rPr>
          <w:sz w:val="20"/>
        </w:rPr>
        <w:t xml:space="preserve">)</w:t>
      </w:r>
    </w:p>
    <w:p>
      <w:pPr>
        <w:pStyle w:val="0"/>
        <w:spacing w:before="200" w:line-rule="auto"/>
        <w:ind w:firstLine="540"/>
        <w:jc w:val="both"/>
      </w:pPr>
      <w:r>
        <w:rPr>
          <w:sz w:val="20"/>
        </w:rPr>
        <w:t xml:space="preserve">а) реквизиты заявителя (для юридических лиц - полное наименование, основной 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w:t>
      </w:r>
    </w:p>
    <w:p>
      <w:pPr>
        <w:pStyle w:val="0"/>
        <w:spacing w:before="200" w:line-rule="auto"/>
        <w:ind w:firstLine="540"/>
        <w:jc w:val="both"/>
      </w:pPr>
      <w:r>
        <w:rPr>
          <w:sz w:val="20"/>
        </w:rPr>
        <w:t xml:space="preserve">б) наименование и местонахождение энергопринимающих устройств заявителя, максимальная мощность энергопринимающих устройств и класс напряжения электрических сетей, к которым осуществляется технологическое присоединение энергопринимающих устройств заявителя;</w:t>
      </w:r>
    </w:p>
    <w:p>
      <w:pPr>
        <w:pStyle w:val="0"/>
        <w:spacing w:before="200" w:line-rule="auto"/>
        <w:ind w:firstLine="540"/>
        <w:jc w:val="both"/>
      </w:pPr>
      <w:r>
        <w:rPr>
          <w:sz w:val="20"/>
        </w:rPr>
        <w:t xml:space="preserve">б(1)) наименование и местонахождение, максимальная мощность и класс напряжения объектов электросетевого хозяйства сетевых организаций, построенных (реконструированных) в рамках исполнения технических условий в целях осуществления технологического присоединения объектов заявителя (указываются лицом, не являющимся заявителем);</w:t>
      </w:r>
    </w:p>
    <w:p>
      <w:pPr>
        <w:pStyle w:val="0"/>
        <w:jc w:val="both"/>
      </w:pPr>
      <w:r>
        <w:rPr>
          <w:sz w:val="20"/>
        </w:rPr>
        <w:t xml:space="preserve">(пп. "б(1)" введен </w:t>
      </w:r>
      <w:hyperlink w:history="0" r:id="rId788"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30.09.2015 N 1044)</w:t>
      </w:r>
    </w:p>
    <w:p>
      <w:pPr>
        <w:pStyle w:val="0"/>
        <w:spacing w:before="200" w:line-rule="auto"/>
        <w:ind w:firstLine="540"/>
        <w:jc w:val="both"/>
      </w:pPr>
      <w:r>
        <w:rPr>
          <w:sz w:val="20"/>
        </w:rPr>
        <w:t xml:space="preserve">в) утратил силу. - </w:t>
      </w:r>
      <w:hyperlink w:history="0" r:id="rId789" w:tooltip="Постановление Правительства РФ от 12.10.2013 N 915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w:t>
        </w:r>
      </w:hyperlink>
      <w:r>
        <w:rPr>
          <w:sz w:val="20"/>
        </w:rPr>
        <w:t xml:space="preserve"> Правительства РФ от 12.10.2013 N 915;</w:t>
      </w:r>
    </w:p>
    <w:p>
      <w:pPr>
        <w:pStyle w:val="0"/>
        <w:spacing w:before="200" w:line-rule="auto"/>
        <w:ind w:firstLine="540"/>
        <w:jc w:val="both"/>
      </w:pPr>
      <w:r>
        <w:rPr>
          <w:sz w:val="20"/>
        </w:rPr>
        <w:t xml:space="preserve">г) сведения о назначении ответственного за электрохозяйство и (или) его заместителе с указанием фамилии, имени, отчества, группы по электробезопасности и контактной информации.</w:t>
      </w:r>
    </w:p>
    <w:p>
      <w:pPr>
        <w:pStyle w:val="0"/>
        <w:jc w:val="both"/>
      </w:pPr>
      <w:r>
        <w:rPr>
          <w:sz w:val="20"/>
        </w:rPr>
        <w:t xml:space="preserve">(п. 18(1) введен </w:t>
      </w:r>
      <w:hyperlink w:history="0" r:id="rId790" w:tooltip="Постановление Правительства РФ от 20.12.2012 N 1354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20.12.2012 N 1354)</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 вопросу действия документов о технологическом присоединении, составленных в установленном порядке до дня вступления в силу Постановления Правительства РФ от 07.05.2017 N 542, см. </w:t>
            </w:r>
            <w:hyperlink w:history="0" r:id="rId791"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пункт 2</w:t>
              </w:r>
            </w:hyperlink>
            <w:r>
              <w:rPr>
                <w:sz w:val="20"/>
                <w:color w:val="392c69"/>
              </w:rPr>
              <w:t xml:space="preserve"> указанного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18(2). К уведомлению о готовности на ввод в эксплуатацию объектов прилагаются следующие документы:</w:t>
      </w:r>
    </w:p>
    <w:p>
      <w:pPr>
        <w:pStyle w:val="0"/>
        <w:jc w:val="both"/>
      </w:pPr>
      <w:r>
        <w:rPr>
          <w:sz w:val="20"/>
        </w:rPr>
        <w:t xml:space="preserve">(в ред. </w:t>
      </w:r>
      <w:hyperlink w:history="0" r:id="rId792"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30.09.2015 N 1044)</w:t>
      </w:r>
    </w:p>
    <w:p>
      <w:pPr>
        <w:pStyle w:val="0"/>
        <w:spacing w:before="200" w:line-rule="auto"/>
        <w:ind w:firstLine="540"/>
        <w:jc w:val="both"/>
      </w:pPr>
      <w:r>
        <w:rPr>
          <w:sz w:val="20"/>
        </w:rPr>
        <w:t xml:space="preserve">а) копия технических условий;</w:t>
      </w:r>
    </w:p>
    <w:p>
      <w:pPr>
        <w:pStyle w:val="0"/>
        <w:spacing w:before="200" w:line-rule="auto"/>
        <w:ind w:firstLine="540"/>
        <w:jc w:val="both"/>
      </w:pPr>
      <w:r>
        <w:rPr>
          <w:sz w:val="20"/>
        </w:rPr>
        <w:t xml:space="preserve">б) копия акта о выполнении заявителем технических условий (в случаях технологического присоединения объектов заявителей, указанных в </w:t>
      </w:r>
      <w:hyperlink w:history="0" w:anchor="P1081" w:tooltip="12. В заявке, направляемой заявителем - юридическим лицом или индивидуальным предпринимателем, максимальная мощность энергопринимающих устройств которых составляет свыше 150 кВт и менее 670 кВт, должны быть указаны:">
        <w:r>
          <w:rPr>
            <w:sz w:val="20"/>
            <w:color w:val="0000ff"/>
          </w:rPr>
          <w:t xml:space="preserve">пункте 12</w:t>
        </w:r>
      </w:hyperlink>
      <w:r>
        <w:rPr>
          <w:sz w:val="20"/>
        </w:rPr>
        <w:t xml:space="preserve"> настоящих Правил, технологическое присоединение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заявителей в целях технологического присоединения энергопринимающих устройств к электрическим сетям классом напряжения до 20 кВ включительно,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по второй категории надежности) - в случае, если в соответствии с настоящими Правилами установлена необходимость оформления акта о выполнении заявителем технических условий в рамках процедуры технологического присоединения энергопринимающих устройств заявителей;</w:t>
      </w:r>
    </w:p>
    <w:p>
      <w:pPr>
        <w:pStyle w:val="0"/>
        <w:jc w:val="both"/>
      </w:pPr>
      <w:r>
        <w:rPr>
          <w:sz w:val="20"/>
        </w:rPr>
        <w:t xml:space="preserve">(в ред. Постановлений Правительства РФ от 30.09.2015 </w:t>
      </w:r>
      <w:hyperlink w:history="0" r:id="rId793"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1044</w:t>
        </w:r>
      </w:hyperlink>
      <w:r>
        <w:rPr>
          <w:sz w:val="20"/>
        </w:rPr>
        <w:t xml:space="preserve">, от 23.09.2016 </w:t>
      </w:r>
      <w:hyperlink w:history="0" r:id="rId794" w:tooltip="Постановление Правительства РФ от 23.09.2016 N 95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953</w:t>
        </w:r>
      </w:hyperlink>
      <w:r>
        <w:rPr>
          <w:sz w:val="20"/>
        </w:rPr>
        <w:t xml:space="preserve">, от 30.06.2022 </w:t>
      </w:r>
      <w:hyperlink w:history="0" r:id="rId795"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1178</w:t>
        </w:r>
      </w:hyperlink>
      <w:r>
        <w:rPr>
          <w:sz w:val="20"/>
        </w:rPr>
        <w:t xml:space="preserve">)</w:t>
      </w:r>
    </w:p>
    <w:p>
      <w:pPr>
        <w:pStyle w:val="0"/>
        <w:spacing w:before="200" w:line-rule="auto"/>
        <w:ind w:firstLine="540"/>
        <w:jc w:val="both"/>
      </w:pPr>
      <w:r>
        <w:rPr>
          <w:sz w:val="20"/>
        </w:rPr>
        <w:t xml:space="preserve">в) утратил силу. - </w:t>
      </w:r>
      <w:hyperlink w:history="0" r:id="rId796"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Постановление</w:t>
        </w:r>
      </w:hyperlink>
      <w:r>
        <w:rPr>
          <w:sz w:val="20"/>
        </w:rPr>
        <w:t xml:space="preserve"> Правительства РФ от 07.05.2017 N 542;</w:t>
      </w:r>
    </w:p>
    <w:p>
      <w:pPr>
        <w:pStyle w:val="0"/>
        <w:spacing w:before="200" w:line-rule="auto"/>
        <w:ind w:firstLine="540"/>
        <w:jc w:val="both"/>
      </w:pPr>
      <w:r>
        <w:rPr>
          <w:sz w:val="20"/>
        </w:rPr>
        <w:t xml:space="preserve">г)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за исключением случаев, когда в соответствии с </w:t>
      </w:r>
      <w:hyperlink w:history="0" r:id="rId797" w:tooltip="&quot;Градостроительный кодекс Российской Федерации&quot; от 29.12.2004 N 190-ФЗ (ред. от 01.05.2022) {КонсультантПлюс}">
        <w:r>
          <w:rPr>
            <w:sz w:val="20"/>
            <w:color w:val="0000ff"/>
          </w:rPr>
          <w:t xml:space="preserve">законодательством</w:t>
        </w:r>
      </w:hyperlink>
      <w:r>
        <w:rPr>
          <w:sz w:val="20"/>
        </w:rPr>
        <w:t xml:space="preserve"> Российской Федерации о градостроительной деятельности разработка проектной документации не является обязательной;</w:t>
      </w:r>
    </w:p>
    <w:p>
      <w:pPr>
        <w:pStyle w:val="0"/>
        <w:jc w:val="both"/>
      </w:pPr>
      <w:r>
        <w:rPr>
          <w:sz w:val="20"/>
        </w:rPr>
        <w:t xml:space="preserve">(пп. "г" введен </w:t>
      </w:r>
      <w:hyperlink w:history="0" r:id="rId798"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sz w:val="20"/>
            <w:color w:val="0000ff"/>
          </w:rPr>
          <w:t xml:space="preserve">Постановлением</w:t>
        </w:r>
      </w:hyperlink>
      <w:r>
        <w:rPr>
          <w:sz w:val="20"/>
        </w:rPr>
        <w:t xml:space="preserve"> Правительства РФ от 20.02.2014 N 130)</w:t>
      </w:r>
    </w:p>
    <w:p>
      <w:pPr>
        <w:pStyle w:val="0"/>
        <w:spacing w:before="200" w:line-rule="auto"/>
        <w:ind w:firstLine="540"/>
        <w:jc w:val="both"/>
      </w:pPr>
      <w:r>
        <w:rPr>
          <w:sz w:val="20"/>
        </w:rPr>
        <w:t xml:space="preserve">д) нормальные (временные нормальные) схемы электрических соединений объектов электроэнергетики (в отношении объектов электросетевого хозяйства сетевых организаций классом напряжения до 20 кВ включительно, построенных (реконструированных) в целях осуществления технологического присоединения объектов заявителя, предусмотренных техническими условиями на технологическое присоединение);</w:t>
      </w:r>
    </w:p>
    <w:p>
      <w:pPr>
        <w:pStyle w:val="0"/>
        <w:jc w:val="both"/>
      </w:pPr>
      <w:r>
        <w:rPr>
          <w:sz w:val="20"/>
        </w:rPr>
        <w:t xml:space="preserve">(пп. "д" введен </w:t>
      </w:r>
      <w:hyperlink w:history="0" r:id="rId799"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30.09.2015 N 1044)</w:t>
      </w:r>
    </w:p>
    <w:p>
      <w:pPr>
        <w:pStyle w:val="0"/>
        <w:spacing w:before="200" w:line-rule="auto"/>
        <w:ind w:firstLine="540"/>
        <w:jc w:val="both"/>
      </w:pPr>
      <w:r>
        <w:rPr>
          <w:sz w:val="20"/>
        </w:rPr>
        <w:t xml:space="preserve">е) утратил силу. - </w:t>
      </w:r>
      <w:hyperlink w:history="0" r:id="rId800"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w:t>
        </w:r>
      </w:hyperlink>
      <w:r>
        <w:rPr>
          <w:sz w:val="20"/>
        </w:rPr>
        <w:t xml:space="preserve"> Правительства РФ от 30.09.2015 N 1044 (ред. 07.05.2017).</w:t>
      </w:r>
    </w:p>
    <w:p>
      <w:pPr>
        <w:pStyle w:val="0"/>
        <w:jc w:val="both"/>
      </w:pPr>
      <w:r>
        <w:rPr>
          <w:sz w:val="20"/>
        </w:rPr>
        <w:t xml:space="preserve">(п. 18(2) введен </w:t>
      </w:r>
      <w:hyperlink w:history="0" r:id="rId801" w:tooltip="Постановление Правительства РФ от 20.12.2012 N 1354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20.12.2012 N 1354)</w:t>
      </w:r>
    </w:p>
    <w:p>
      <w:pPr>
        <w:pStyle w:val="0"/>
        <w:spacing w:before="200" w:line-rule="auto"/>
        <w:ind w:firstLine="540"/>
        <w:jc w:val="both"/>
      </w:pPr>
      <w:r>
        <w:rPr>
          <w:sz w:val="20"/>
        </w:rPr>
        <w:t xml:space="preserve">18(3). Уведомление о готовности на ввод в эксплуатацию объектов и прилагаемые к нему документы направляются заявителем в отношении построенных им объектов в адрес органа федерального государственного энергетического надзора в течение 5 дней со дня оформления акта о выполнении технических условий (если в соответствии с настоящими Правилами акт о выполнении заявителем технических условий не оформлялся, - в течение 5 дней со дня завершения выполнения мероприятий в соответствии с техническими условиями) способом, позволяющим установить дату отправки и получения уведомления о готовности на ввод в эксплуатацию объектов.</w:t>
      </w:r>
    </w:p>
    <w:p>
      <w:pPr>
        <w:pStyle w:val="0"/>
        <w:jc w:val="both"/>
      </w:pPr>
      <w:r>
        <w:rPr>
          <w:sz w:val="20"/>
        </w:rPr>
        <w:t xml:space="preserve">(в ред. Постановлений Правительства РФ от 07.05.2017 </w:t>
      </w:r>
      <w:hyperlink w:history="0" r:id="rId802"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N 542</w:t>
        </w:r>
      </w:hyperlink>
      <w:r>
        <w:rPr>
          <w:sz w:val="20"/>
        </w:rPr>
        <w:t xml:space="preserve">, от 30.06.2022 </w:t>
      </w:r>
      <w:hyperlink w:history="0" r:id="rId803"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1178</w:t>
        </w:r>
      </w:hyperlink>
      <w:r>
        <w:rPr>
          <w:sz w:val="20"/>
        </w:rPr>
        <w:t xml:space="preserve">)</w:t>
      </w:r>
    </w:p>
    <w:p>
      <w:pPr>
        <w:pStyle w:val="0"/>
        <w:spacing w:before="200" w:line-rule="auto"/>
        <w:ind w:firstLine="540"/>
        <w:jc w:val="both"/>
      </w:pPr>
      <w:r>
        <w:rPr>
          <w:sz w:val="20"/>
        </w:rPr>
        <w:t xml:space="preserve">Уведомление о готовности на ввод в эксплуатацию объектов и прилагаемые к нему документы направляются сетевой организацией в орган федерального государственного энергетического надзора в отношении объектов электросетевого хозяйства классом напряжения до 20 кВ включительно, построенных (реконструированных) в рамках исполнения технических условий в целях осуществления технологического присоединения объектов заявителя, в срок не позднее 5 дней до дня оформления акта об осуществлении технологического присоединения способом, позволяющим установить дату отправки и получения уведомления о готовности на ввод в эксплуатацию объектов.</w:t>
      </w:r>
    </w:p>
    <w:p>
      <w:pPr>
        <w:pStyle w:val="0"/>
        <w:jc w:val="both"/>
      </w:pPr>
      <w:r>
        <w:rPr>
          <w:sz w:val="20"/>
        </w:rPr>
        <w:t xml:space="preserve">(в ред. </w:t>
      </w:r>
      <w:hyperlink w:history="0" r:id="rId804"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Постановления</w:t>
        </w:r>
      </w:hyperlink>
      <w:r>
        <w:rPr>
          <w:sz w:val="20"/>
        </w:rPr>
        <w:t xml:space="preserve"> Правительства РФ от 07.05.2017 N 542)</w:t>
      </w:r>
    </w:p>
    <w:p>
      <w:pPr>
        <w:pStyle w:val="0"/>
        <w:jc w:val="both"/>
      </w:pPr>
      <w:r>
        <w:rPr>
          <w:sz w:val="20"/>
        </w:rPr>
        <w:t xml:space="preserve">(п. 18(3) в ред. </w:t>
      </w:r>
      <w:hyperlink w:history="0" r:id="rId805"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30.09.2015 N 1044)</w:t>
      </w:r>
    </w:p>
    <w:bookmarkStart w:id="1435" w:name="P1435"/>
    <w:bookmarkEnd w:id="1435"/>
    <w:p>
      <w:pPr>
        <w:pStyle w:val="0"/>
        <w:spacing w:before="200" w:line-rule="auto"/>
        <w:ind w:firstLine="540"/>
        <w:jc w:val="both"/>
      </w:pPr>
      <w:r>
        <w:rPr>
          <w:sz w:val="20"/>
        </w:rPr>
        <w:t xml:space="preserve">18(4). Объекты, указанные в </w:t>
      </w:r>
      <w:hyperlink w:history="0" w:anchor="P1407" w:tooltip="18(1). Заявители, указанные в пункте 12 настоящих Правил, технологическое присоединение объектов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заявители, технологическое присоединение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которых осуществляется по второй категории надежн...">
        <w:r>
          <w:rPr>
            <w:sz w:val="20"/>
            <w:color w:val="0000ff"/>
          </w:rPr>
          <w:t xml:space="preserve">пункте 18(1)</w:t>
        </w:r>
      </w:hyperlink>
      <w:r>
        <w:rPr>
          <w:sz w:val="20"/>
        </w:rPr>
        <w:t xml:space="preserve"> настоящих Правил, считаются введенными в эксплуатацию с даты направления в орган федерального государственного энергетического надзора уведомления о готовности на ввод в эксплуатацию объектов.</w:t>
      </w:r>
    </w:p>
    <w:p>
      <w:pPr>
        <w:pStyle w:val="0"/>
        <w:jc w:val="both"/>
      </w:pPr>
      <w:r>
        <w:rPr>
          <w:sz w:val="20"/>
        </w:rPr>
        <w:t xml:space="preserve">(п. 18(4) в ред. </w:t>
      </w:r>
      <w:hyperlink w:history="0" r:id="rId806"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30.09.2015 N 1044)</w:t>
      </w:r>
    </w:p>
    <w:p>
      <w:pPr>
        <w:pStyle w:val="0"/>
        <w:spacing w:before="200" w:line-rule="auto"/>
        <w:ind w:firstLine="540"/>
        <w:jc w:val="both"/>
      </w:pPr>
      <w:r>
        <w:rPr>
          <w:sz w:val="20"/>
        </w:rPr>
        <w:t xml:space="preserve">18(5). Заявитель, максимальная мощность энергопринимающих устройств которого составляет менее 150 кВт включительно, вправе в инициативном порядке представить в сетевую организацию разработанную им в соответствии с </w:t>
      </w:r>
      <w:hyperlink w:history="0" w:anchor="P1396" w:tooltip="в) разработку заявителем проектной документации в границах его земельного участка согласно обязательствам, предусмотренным техническими условиями, за исключением случаев, когда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
        <w:r>
          <w:rPr>
            <w:sz w:val="20"/>
            <w:color w:val="0000ff"/>
          </w:rPr>
          <w:t xml:space="preserve">подпунктом "в" пункта 18</w:t>
        </w:r>
      </w:hyperlink>
      <w:r>
        <w:rPr>
          <w:sz w:val="20"/>
        </w:rPr>
        <w:t xml:space="preserve"> настоящих Правил проектную документацию на подтверждение ее соответствия техническим условиям.</w:t>
      </w:r>
    </w:p>
    <w:p>
      <w:pPr>
        <w:pStyle w:val="0"/>
        <w:jc w:val="both"/>
      </w:pPr>
      <w:r>
        <w:rPr>
          <w:sz w:val="20"/>
        </w:rPr>
        <w:t xml:space="preserve">(в ред. </w:t>
      </w:r>
      <w:hyperlink w:history="0" r:id="rId807"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sz w:val="20"/>
            <w:color w:val="0000ff"/>
          </w:rPr>
          <w:t xml:space="preserve">Постановления</w:t>
        </w:r>
      </w:hyperlink>
      <w:r>
        <w:rPr>
          <w:sz w:val="20"/>
        </w:rPr>
        <w:t xml:space="preserve"> Правительства РФ от 20.02.2014 N 130)</w:t>
      </w:r>
    </w:p>
    <w:p>
      <w:pPr>
        <w:pStyle w:val="0"/>
        <w:spacing w:before="200" w:line-rule="auto"/>
        <w:ind w:firstLine="540"/>
        <w:jc w:val="both"/>
      </w:pPr>
      <w:r>
        <w:rPr>
          <w:sz w:val="20"/>
        </w:rPr>
        <w:t xml:space="preserve">Сетевая организация, а также соответствующий субъект оперативно-диспетчерского управления, в случае если технические условия подлежат в соответствии с настоящими Правилами согласованию с таким субъектом оперативно-диспетчерского управления, подтверждают соответствие представленной документации требованиям технических условий или предоставляют заявителю информацию о несоответствии представленной документации требованиям технических условий. Срок подтверждения соответствия документации требованиям технических условий не должен превышать 10 дней со дня получения сетевой организацией документации от заявителя, а в случае если технические условия подлежат в соответствии с настоящими Правилами согласованию с соответствующим субъектом оперативно-диспетчерского управления, указанный срок не должен превышать 25 дней. При этом действия сетевой организации, а также соответствующего субъекта оперативно-диспетчерского управления, связанные с подтверждением и (или) предоставлением заявителю информации о соответствии (несоответствии) представленной документации требованиям технических условий, совершаются ими без взимания платы.</w:t>
      </w:r>
    </w:p>
    <w:p>
      <w:pPr>
        <w:pStyle w:val="0"/>
        <w:jc w:val="both"/>
      </w:pPr>
      <w:r>
        <w:rPr>
          <w:sz w:val="20"/>
        </w:rPr>
        <w:t xml:space="preserve">(п. 18(5) введен </w:t>
      </w:r>
      <w:hyperlink w:history="0" r:id="rId808" w:tooltip="Постановление Правительства РФ от 29.07.2013 N 64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29.07.2013 N 640)</w:t>
      </w:r>
    </w:p>
    <w:p>
      <w:pPr>
        <w:pStyle w:val="0"/>
        <w:spacing w:before="200" w:line-rule="auto"/>
        <w:ind w:firstLine="540"/>
        <w:jc w:val="both"/>
      </w:pPr>
      <w:r>
        <w:rPr>
          <w:sz w:val="20"/>
        </w:rPr>
        <w:t xml:space="preserve">19. Стороны составляют акт об осуществлении технологического присоединения по форме, предусмотренной </w:t>
      </w:r>
      <w:hyperlink w:history="0" w:anchor="P2176" w:tooltip="                                    АКТ">
        <w:r>
          <w:rPr>
            <w:sz w:val="20"/>
            <w:color w:val="0000ff"/>
          </w:rPr>
          <w:t xml:space="preserve">приложением N 1</w:t>
        </w:r>
      </w:hyperlink>
      <w:r>
        <w:rPr>
          <w:sz w:val="20"/>
        </w:rPr>
        <w:t xml:space="preserve"> к настоящим Правилам, не позднее 3 рабочих дней после осуществления сетевой организацией фактического присоединения объектов электроэнергетики (энергопринимающих устройств, объектов микрогенерации) заявителя к электрическим сетям и фактического приема (подачи) напряжения и мощности, за исключением случая, предусмотренного </w:t>
      </w:r>
      <w:hyperlink w:history="0" w:anchor="P1443" w:tooltip="В отношении заявителей, указанных в пунктах 12(1), 13(2) - 13(5) и 14 настоящих Правил, технологическое присоединение энергопринимающих устройств которых осуществляется на уровне напряжения 0,4 кВ и ниже, сетевая организация в течение одного рабочего дня после выполнения мероприятий по технологическому присоединению в соответствии с техническими условиями составляет уведомление об обеспечении возможности присоединения к электрическим сетям по форме, предусмотренной приложением N 1(1) к настоящим Правилам...">
        <w:r>
          <w:rPr>
            <w:sz w:val="20"/>
            <w:color w:val="0000ff"/>
          </w:rPr>
          <w:t xml:space="preserve">абзацем вторым</w:t>
        </w:r>
      </w:hyperlink>
      <w:r>
        <w:rPr>
          <w:sz w:val="20"/>
        </w:rPr>
        <w:t xml:space="preserve"> настоящего пункта.</w:t>
      </w:r>
    </w:p>
    <w:p>
      <w:pPr>
        <w:pStyle w:val="0"/>
        <w:jc w:val="both"/>
      </w:pPr>
      <w:r>
        <w:rPr>
          <w:sz w:val="20"/>
        </w:rPr>
        <w:t xml:space="preserve">(в ред. Постановлений Правительства РФ от 07.05.2017 </w:t>
      </w:r>
      <w:hyperlink w:history="0" r:id="rId809"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N 542</w:t>
        </w:r>
      </w:hyperlink>
      <w:r>
        <w:rPr>
          <w:sz w:val="20"/>
        </w:rPr>
        <w:t xml:space="preserve">, от 02.03.2021 </w:t>
      </w:r>
      <w:hyperlink w:history="0" r:id="rId810"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N 299</w:t>
        </w:r>
      </w:hyperlink>
      <w:r>
        <w:rPr>
          <w:sz w:val="20"/>
        </w:rPr>
        <w:t xml:space="preserve">, от 30.06.2022 </w:t>
      </w:r>
      <w:hyperlink w:history="0" r:id="rId811"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1178</w:t>
        </w:r>
      </w:hyperlink>
      <w:r>
        <w:rPr>
          <w:sz w:val="20"/>
        </w:rPr>
        <w:t xml:space="preserve">)</w:t>
      </w:r>
    </w:p>
    <w:bookmarkStart w:id="1443" w:name="P1443"/>
    <w:bookmarkEnd w:id="1443"/>
    <w:p>
      <w:pPr>
        <w:pStyle w:val="0"/>
        <w:spacing w:before="200" w:line-rule="auto"/>
        <w:ind w:firstLine="540"/>
        <w:jc w:val="both"/>
      </w:pPr>
      <w:r>
        <w:rPr>
          <w:sz w:val="20"/>
        </w:rPr>
        <w:t xml:space="preserve">В отношении заявителей,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технологическое присоединение энергопринимающих устройств которых осуществляется на уровне напряжения 0,4 кВ и ниже, сетевая организация в течение одного рабочего дня после выполнения мероприятий по технологическому присоединению в соответствии с техническими условиями составляет уведомление об обеспечении возможности присоединения к электрическим сетям по форме, предусмотренной </w:t>
      </w:r>
      <w:hyperlink w:history="0" w:anchor="P2369" w:tooltip="УВЕДОМЛЕНИЕ">
        <w:r>
          <w:rPr>
            <w:sz w:val="20"/>
            <w:color w:val="0000ff"/>
          </w:rPr>
          <w:t xml:space="preserve">приложением N 1(1)</w:t>
        </w:r>
      </w:hyperlink>
      <w:r>
        <w:rPr>
          <w:sz w:val="20"/>
        </w:rPr>
        <w:t xml:space="preserve"> к настоящим Правилам, в форме электронного документа, подписанного усиленной квалифицированной электронной подписью, и размещает его на своем официальном сайте (в том числе посредством переадресации на официальный сайт, обеспечивающий возможность направлять заявку и прилагаемые документы) в информационно-телекоммуникационной сети "Интернет" или едином портале (далее - личный кабинет заявителя).</w:t>
      </w:r>
    </w:p>
    <w:p>
      <w:pPr>
        <w:pStyle w:val="0"/>
        <w:jc w:val="both"/>
      </w:pPr>
      <w:r>
        <w:rPr>
          <w:sz w:val="20"/>
        </w:rPr>
        <w:t xml:space="preserve">(абзац введен </w:t>
      </w:r>
      <w:hyperlink w:history="0" r:id="rId812"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30.06.2022 N 1178)</w:t>
      </w:r>
    </w:p>
    <w:p>
      <w:pPr>
        <w:pStyle w:val="0"/>
        <w:spacing w:before="200" w:line-rule="auto"/>
        <w:ind w:firstLine="540"/>
        <w:jc w:val="both"/>
      </w:pPr>
      <w:r>
        <w:rPr>
          <w:sz w:val="20"/>
        </w:rPr>
        <w:t xml:space="preserve">Если при поэтапном осуществлении мероприятий по технологическому присоединению плата за технологическое присоединение рассчитывалась (устанавливалась) в соответствии с </w:t>
      </w:r>
      <w:hyperlink w:history="0" w:anchor="P1381" w:tooltip="17(1). При поэтапном технологическом присоединении применительно к каждому из этапов осуществляются мероприятия по технологическому присоединению, предусмотренные подпунктами &quot;б&quot; - &quot;д(1)&quot; пункта 18 настоящих Правил, а плата за технологическое присоединение рассчитывается (утверждается уполномоченным органом в случае технологического присоединения по индивидуальному проекту с учетом особенностей, установленных разделом III настоящих Правил) в целом на реализацию всех мероприятий по технологическому присое...">
        <w:r>
          <w:rPr>
            <w:sz w:val="20"/>
            <w:color w:val="0000ff"/>
          </w:rPr>
          <w:t xml:space="preserve">пунктом 17(1)</w:t>
        </w:r>
      </w:hyperlink>
      <w:r>
        <w:rPr>
          <w:sz w:val="20"/>
        </w:rPr>
        <w:t xml:space="preserve"> настоящих Правил, акт об осуществлении такого присоединения составляется применительно к каждому из этапов осуществления указанных мероприятий.</w:t>
      </w:r>
    </w:p>
    <w:p>
      <w:pPr>
        <w:pStyle w:val="0"/>
        <w:jc w:val="both"/>
      </w:pPr>
      <w:r>
        <w:rPr>
          <w:sz w:val="20"/>
        </w:rPr>
        <w:t xml:space="preserve">(абзац введен </w:t>
      </w:r>
      <w:hyperlink w:history="0" r:id="rId813"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29.12.2021 N 2566)</w:t>
      </w:r>
    </w:p>
    <w:p>
      <w:pPr>
        <w:pStyle w:val="0"/>
        <w:spacing w:before="200" w:line-rule="auto"/>
        <w:ind w:firstLine="540"/>
        <w:jc w:val="both"/>
      </w:pPr>
      <w:r>
        <w:rPr>
          <w:sz w:val="20"/>
        </w:rPr>
        <w:t xml:space="preserve">По окончании осуществления мероприятий по технологическому присоединению стороны составляют акт согласования технологической и (или) аварийной брони в соответствии с </w:t>
      </w:r>
      <w:hyperlink w:history="0" w:anchor="P1186" w:tooltip="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ым последствиям, относящихся к категориям, определенным в приложении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quot;О...">
        <w:r>
          <w:rPr>
            <w:sz w:val="20"/>
            <w:color w:val="0000ff"/>
          </w:rPr>
          <w:t xml:space="preserve">пунктом 14(2)</w:t>
        </w:r>
      </w:hyperlink>
      <w:r>
        <w:rPr>
          <w:sz w:val="20"/>
        </w:rPr>
        <w:t xml:space="preserve"> настоящих Правил.</w:t>
      </w:r>
    </w:p>
    <w:p>
      <w:pPr>
        <w:pStyle w:val="0"/>
        <w:spacing w:before="200" w:line-rule="auto"/>
        <w:ind w:firstLine="540"/>
        <w:jc w:val="both"/>
      </w:pPr>
      <w:r>
        <w:rPr>
          <w:sz w:val="20"/>
        </w:rPr>
        <w:t xml:space="preserve">Запрещается навязывать заявителю услуги и обязательства, не предусмотренные настоящими Правилами.</w:t>
      </w:r>
    </w:p>
    <w:p>
      <w:pPr>
        <w:pStyle w:val="0"/>
        <w:jc w:val="both"/>
      </w:pPr>
      <w:r>
        <w:rPr>
          <w:sz w:val="20"/>
        </w:rPr>
        <w:t xml:space="preserve">(п. 19 в ред. </w:t>
      </w:r>
      <w:hyperlink w:history="0" r:id="rId814"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sz w:val="20"/>
            <w:color w:val="0000ff"/>
          </w:rPr>
          <w:t xml:space="preserve">Постановления</w:t>
        </w:r>
      </w:hyperlink>
      <w:r>
        <w:rPr>
          <w:sz w:val="20"/>
        </w:rPr>
        <w:t xml:space="preserve"> Правительства РФ от 20.02.2014 N 130)</w:t>
      </w:r>
    </w:p>
    <w:bookmarkStart w:id="1450" w:name="P1450"/>
    <w:bookmarkEnd w:id="1450"/>
    <w:p>
      <w:pPr>
        <w:pStyle w:val="0"/>
        <w:spacing w:before="200" w:line-rule="auto"/>
        <w:ind w:firstLine="540"/>
        <w:jc w:val="both"/>
      </w:pPr>
      <w:r>
        <w:rPr>
          <w:sz w:val="20"/>
        </w:rPr>
        <w:t xml:space="preserve">19(1). Сетевая организация не позднее 2 рабочих дней со дня подписания заявителем и сетевой организацией акта об осуществлении технологического присоединения, а также акта согласования технологической и (или) аварийной брони (для заявителей, указанных в </w:t>
      </w:r>
      <w:hyperlink w:history="0" w:anchor="P1186" w:tooltip="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ым последствиям, относящихся к категориям, определенным в приложении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quot;О...">
        <w:r>
          <w:rPr>
            <w:sz w:val="20"/>
            <w:color w:val="0000ff"/>
          </w:rPr>
          <w:t xml:space="preserve">пункте 14(2)</w:t>
        </w:r>
      </w:hyperlink>
      <w:r>
        <w:rPr>
          <w:sz w:val="20"/>
        </w:rPr>
        <w:t xml:space="preserve"> настоящих Правил) направляет в письменном или электронном виде копии указанных актов в адрес субъекта розничного рынка, с которым заявителем заключен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либо в случае отсутствия информации у сетевой организации о заключении такого договора на дату отправления -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Сетевая организация не позднее 3 рабочих дней со дня фактического приема (подачи) напряжения и мощности на объекты заявителя направляет в письменном или электронном виде информацию о дате фактического приема (подачи) напряжения и мощности на объекты заявителя в адрес субъекта розничного рынка, с которым заявителем заключен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либо в случае отсутствия информации у сетевой организации о заключении такого договора на дату направления -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w:t>
      </w:r>
    </w:p>
    <w:p>
      <w:pPr>
        <w:pStyle w:val="0"/>
        <w:jc w:val="both"/>
      </w:pPr>
      <w:r>
        <w:rPr>
          <w:sz w:val="20"/>
        </w:rPr>
        <w:t xml:space="preserve">(в ред. Постановлений Правительства РФ от 07.05.2017 </w:t>
      </w:r>
      <w:hyperlink w:history="0" r:id="rId815"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N 542</w:t>
        </w:r>
      </w:hyperlink>
      <w:r>
        <w:rPr>
          <w:sz w:val="20"/>
        </w:rPr>
        <w:t xml:space="preserve">, от 11.05.2017 </w:t>
      </w:r>
      <w:hyperlink w:history="0" r:id="rId816"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N 557</w:t>
        </w:r>
      </w:hyperlink>
      <w:r>
        <w:rPr>
          <w:sz w:val="20"/>
        </w:rPr>
        <w:t xml:space="preserve">, от 01.04.2020 </w:t>
      </w:r>
      <w:hyperlink w:history="0" r:id="rId817"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N 403</w:t>
        </w:r>
      </w:hyperlink>
      <w:r>
        <w:rPr>
          <w:sz w:val="20"/>
        </w:rPr>
        <w:t xml:space="preserve">)</w:t>
      </w:r>
    </w:p>
    <w:p>
      <w:pPr>
        <w:pStyle w:val="0"/>
        <w:spacing w:before="200" w:line-rule="auto"/>
        <w:ind w:firstLine="540"/>
        <w:jc w:val="both"/>
      </w:pPr>
      <w:r>
        <w:rPr>
          <w:sz w:val="20"/>
        </w:rPr>
        <w:t xml:space="preserve">Подлежащие в соответствии с настоящими Правилами исполнению сетевой организацией действия по передаче копий документов заявителей в адрес соответствующих субъектов розничных рынков, а также по допуску к эксплуатации установленного в процессе технологического присоединения прибора учета электрической энергии совершаются сетевыми организациями без взимания платы за их совершение.</w:t>
      </w:r>
    </w:p>
    <w:bookmarkStart w:id="1453" w:name="P1453"/>
    <w:bookmarkEnd w:id="1453"/>
    <w:p>
      <w:pPr>
        <w:pStyle w:val="0"/>
        <w:spacing w:before="200" w:line-rule="auto"/>
        <w:ind w:firstLine="540"/>
        <w:jc w:val="both"/>
      </w:pPr>
      <w:r>
        <w:rPr>
          <w:sz w:val="20"/>
        </w:rPr>
        <w:t xml:space="preserve">В случае если к заявке не приложен подписанный заявителем проект договора энергоснабжения (купли-продажи (поставки) электрической энергии (мощности), оформленный в соответствии с формой договора, размещенной на официальном сайте гарантирующего поставщика, или протокол разногласий к договору, заявитель, получивший от сетевой организации акт об осуществлении технологического присоединения, при его возвращении сетевой организации после подписания со своей стороны вправе приложить к нему надлежащим образом оформленный и подписанный со своей стороны договор, обеспечивающий продажу электрической энергии (мощности) на розничном рынке, ранее надлежащим образом оформленный и подписанный со стороны гарантирующего поставщика. Отсутствие договора, обеспечивающего продажу электрической энергии (мощности) на розничном рынке, не является основанием для невыполнения сетевой организацией обязательств, предусмотренных настоящими Правилами, в части соблюдения процедуры технологического присоединения.</w:t>
      </w:r>
    </w:p>
    <w:p>
      <w:pPr>
        <w:pStyle w:val="0"/>
        <w:jc w:val="both"/>
      </w:pPr>
      <w:r>
        <w:rPr>
          <w:sz w:val="20"/>
        </w:rPr>
        <w:t xml:space="preserve">(в ред. </w:t>
      </w:r>
      <w:hyperlink w:history="0" r:id="rId818"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Постановления</w:t>
        </w:r>
      </w:hyperlink>
      <w:r>
        <w:rPr>
          <w:sz w:val="20"/>
        </w:rPr>
        <w:t xml:space="preserve"> Правительства РФ от 11.05.2017 N 557)</w:t>
      </w:r>
    </w:p>
    <w:p>
      <w:pPr>
        <w:pStyle w:val="0"/>
        <w:spacing w:before="200" w:line-rule="auto"/>
        <w:ind w:firstLine="540"/>
        <w:jc w:val="both"/>
      </w:pPr>
      <w:r>
        <w:rPr>
          <w:sz w:val="20"/>
        </w:rPr>
        <w:t xml:space="preserve">Сетевая организация, получившая от заявителя вместе с актом об осуществлении технологического присоединения подписанный с его стороны договор, обеспечивающий продажу электрической энергии (мощности) на розничном рынке, обязана вместе с документами, указанными в </w:t>
      </w:r>
      <w:hyperlink w:history="0" w:anchor="P1450" w:tooltip="19(1). Сетевая организация не позднее 2 рабочих дней со дня подписания заявителем и сетевой организацией акта об осуществлении технологического присоединения, а также акта согласования технологической и (или) аварийной брони (для заявителей, указанных в пункте 14(2) настоящих Правил) направляет в письменном или электронном виде копии указанных актов в адрес субъекта розничного рынка, с которым заявителем заключен договор энергоснабжения (купли-продажи (поставки) электрической энергии (мощности) в отношен...">
        <w:r>
          <w:rPr>
            <w:sz w:val="20"/>
            <w:color w:val="0000ff"/>
          </w:rPr>
          <w:t xml:space="preserve">первом абзаце</w:t>
        </w:r>
      </w:hyperlink>
      <w:r>
        <w:rPr>
          <w:sz w:val="20"/>
        </w:rPr>
        <w:t xml:space="preserve"> настоящего пункта, направить такой договор гарантирующему поставщику, с которым заявитель намерен заключить указанный договор, не позднее 2 рабочих дней со дня его представления в сетевую организацию.</w:t>
      </w:r>
    </w:p>
    <w:p>
      <w:pPr>
        <w:pStyle w:val="0"/>
        <w:jc w:val="both"/>
      </w:pPr>
      <w:r>
        <w:rPr>
          <w:sz w:val="20"/>
        </w:rPr>
        <w:t xml:space="preserve">(в ред. Постановлений Правительства РФ от 07.05.2017 </w:t>
      </w:r>
      <w:hyperlink w:history="0" r:id="rId819"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N 542</w:t>
        </w:r>
      </w:hyperlink>
      <w:r>
        <w:rPr>
          <w:sz w:val="20"/>
        </w:rPr>
        <w:t xml:space="preserve">, от 11.05.2017 </w:t>
      </w:r>
      <w:hyperlink w:history="0" r:id="rId820"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N 557</w:t>
        </w:r>
      </w:hyperlink>
      <w:r>
        <w:rPr>
          <w:sz w:val="20"/>
        </w:rPr>
        <w:t xml:space="preserve">)</w:t>
      </w:r>
    </w:p>
    <w:bookmarkStart w:id="1457" w:name="P1457"/>
    <w:bookmarkEnd w:id="1457"/>
    <w:p>
      <w:pPr>
        <w:pStyle w:val="0"/>
        <w:spacing w:before="200" w:line-rule="auto"/>
        <w:ind w:firstLine="540"/>
        <w:jc w:val="both"/>
      </w:pPr>
      <w:r>
        <w:rPr>
          <w:sz w:val="20"/>
        </w:rPr>
        <w:t xml:space="preserve">В случае если заявителем на момент направления в адрес сетевой организации акта об осуществлении технологического присоединения надлежащим образом не оформлен со своей стороны ранее полученный от сетевой организации проект договора, обеспечивающий продажу электрической энергии (мощности) на розничном рынке, то после оформления и подписания со своей стороны указанного проекта договора заявитель направляет его самостоятельно гарантирующему поставщику, указанному в заявке, в течение 30 дней со дня получения от сетевой организации акта об осуществлении технологического присоединения. В случае непоступления в течение указанного срока в адрес гарантирующего поставщика подписанного заявителем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 гарантирующий поставщик в течение 3 рабочих дней по истечении указанного срока обязан уведомить о таком непоступлении заявителя, а заявитель обязан в течение 3 рабочих дней со дня получения указанного уведомления представить гарантирующему поставщику сведения, подтверждающие факт направления гарантирующему поставщику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 в адрес гарантирующего поставщика в указанный срок.</w:t>
      </w:r>
    </w:p>
    <w:p>
      <w:pPr>
        <w:pStyle w:val="0"/>
        <w:jc w:val="both"/>
      </w:pPr>
      <w:r>
        <w:rPr>
          <w:sz w:val="20"/>
        </w:rPr>
        <w:t xml:space="preserve">(в ред. Постановлений Правительства РФ от 07.05.2017 </w:t>
      </w:r>
      <w:hyperlink w:history="0" r:id="rId821"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N 542</w:t>
        </w:r>
      </w:hyperlink>
      <w:r>
        <w:rPr>
          <w:sz w:val="20"/>
        </w:rPr>
        <w:t xml:space="preserve">, от 01.04.2020 </w:t>
      </w:r>
      <w:hyperlink w:history="0" r:id="rId822"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N 403</w:t>
        </w:r>
      </w:hyperlink>
      <w:r>
        <w:rPr>
          <w:sz w:val="20"/>
        </w:rPr>
        <w:t xml:space="preserve">)</w:t>
      </w:r>
    </w:p>
    <w:bookmarkStart w:id="1459" w:name="P1459"/>
    <w:bookmarkEnd w:id="1459"/>
    <w:p>
      <w:pPr>
        <w:pStyle w:val="0"/>
        <w:spacing w:before="200" w:line-rule="auto"/>
        <w:ind w:firstLine="540"/>
        <w:jc w:val="both"/>
      </w:pPr>
      <w:r>
        <w:rPr>
          <w:sz w:val="20"/>
        </w:rPr>
        <w:t xml:space="preserve">В случае ненаправления заявителем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 гарантирующему поставщику в предусмотренный </w:t>
      </w:r>
      <w:hyperlink w:history="0" w:anchor="P1457" w:tooltip="В случае если заявителем на момент направления в адрес сетевой организации акта об осуществлении технологического присоединения надлежащим образом не оформлен со своей стороны ранее полученный от сетевой организации проект договора, обеспечивающий продажу электрической энергии (мощности) на розничном рынке, то после оформления и подписания со своей стороны указанного проекта договора заявитель направляет его самостоятельно гарантирующему поставщику, указанному в заявке, в течение 30 дней со дня получения...">
        <w:r>
          <w:rPr>
            <w:sz w:val="20"/>
            <w:color w:val="0000ff"/>
          </w:rPr>
          <w:t xml:space="preserve">абзацем пятым</w:t>
        </w:r>
      </w:hyperlink>
      <w:r>
        <w:rPr>
          <w:sz w:val="20"/>
        </w:rPr>
        <w:t xml:space="preserve"> настоящего пункта срок (за исключением случаев, когда договор, обеспечивающий продажу электрической энергии (мощности) на розничном рынке, был возвращен заявителем в адрес сетевой организации в порядке, предусмотренном </w:t>
      </w:r>
      <w:hyperlink w:history="0" w:anchor="P1453" w:tooltip="В случае если к заявке не приложен подписанный заявителем проект договора энергоснабжения (купли-продажи (поставки) электрической энергии (мощности), оформленный в соответствии с формой договора, размещенной на официальном сайте гарантирующего поставщика, или протокол разногласий к договору, заявитель, получивший от сетевой организации акт об осуществлении технологического присоединения, при его возвращении сетевой организации после подписания со своей стороны вправе приложить к нему надлежащим образом о...">
        <w:r>
          <w:rPr>
            <w:sz w:val="20"/>
            <w:color w:val="0000ff"/>
          </w:rPr>
          <w:t xml:space="preserve">абзацем третьим</w:t>
        </w:r>
      </w:hyperlink>
      <w:r>
        <w:rPr>
          <w:sz w:val="20"/>
        </w:rPr>
        <w:t xml:space="preserve"> настоящего пункта) проект договора, обеспечивающего продажу электрической энергии (мощности) на розничном рынке (дополнительного соглашения к действующему договору, обеспечивающему продажу заявителю электрической энергии (мощности) на розничном рынке), направленный гарантирующим поставщиком в адрес сетевой организации в соответствии с </w:t>
      </w:r>
      <w:hyperlink w:history="0" r:id="rId823"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Основными положениями</w:t>
        </w:r>
      </w:hyperlink>
      <w:r>
        <w:rPr>
          <w:sz w:val="20"/>
        </w:rPr>
        <w:t xml:space="preserve"> функционирования розничных рынков электрической энергии, считается отозванным.</w:t>
      </w:r>
    </w:p>
    <w:p>
      <w:pPr>
        <w:pStyle w:val="0"/>
        <w:jc w:val="both"/>
      </w:pPr>
      <w:r>
        <w:rPr>
          <w:sz w:val="20"/>
        </w:rPr>
        <w:t xml:space="preserve">(абзац введен </w:t>
      </w:r>
      <w:hyperlink w:history="0" r:id="rId824"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Постановлением</w:t>
        </w:r>
      </w:hyperlink>
      <w:r>
        <w:rPr>
          <w:sz w:val="20"/>
        </w:rPr>
        <w:t xml:space="preserve"> Правительства РФ от 01.04.2020 N 403)</w:t>
      </w:r>
    </w:p>
    <w:p>
      <w:pPr>
        <w:pStyle w:val="0"/>
        <w:spacing w:before="200" w:line-rule="auto"/>
        <w:ind w:firstLine="540"/>
        <w:jc w:val="both"/>
      </w:pPr>
      <w:r>
        <w:rPr>
          <w:sz w:val="20"/>
        </w:rPr>
        <w:t xml:space="preserve">В случае если проект договора, обеспечивающего продажу электрической энергии на розничном рынке (дополнительного соглашения к действующему договору, обеспечивающему продажу заявителю электрической энергии (мощности) на розничном рынке), считается отозванным по основаниям, предусмотренным </w:t>
      </w:r>
      <w:hyperlink w:history="0" w:anchor="P1459" w:tooltip="В случае ненаправления заявителем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 гарантирующему поставщику в предусмотренный абзацем пятым настоящего пункта срок (за исключением случаев, когда договор, обеспечивающий продажу электрической энергии (мощности) на розничном рынке, был возвращен заявителем в адрес сетевой организации в порядке, предусмотренном абзацем третьим на...">
        <w:r>
          <w:rPr>
            <w:sz w:val="20"/>
            <w:color w:val="0000ff"/>
          </w:rPr>
          <w:t xml:space="preserve">абзацем шестым</w:t>
        </w:r>
      </w:hyperlink>
      <w:r>
        <w:rPr>
          <w:sz w:val="20"/>
        </w:rPr>
        <w:t xml:space="preserve"> настоящего пункта, потребление электрической энергии объектами (энергопринимающими устройствами) заявителя считается бездоговорным потреблением электрической энергии со дня фактической подачи сетевой организацией напряжения и мощности на указанные объекты. При этом объем бездоговорного потребления электрической энергии определяется по показаниям приборов учета (при невозможности использования показаний прибора учета - расчетным способом учета электрической энергии (мощности) на розничных рынках электрической энергии, предусмотренным </w:t>
      </w:r>
      <w:hyperlink w:history="0" r:id="rId825"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пунктом 2 приложения N 3</w:t>
        </w:r>
      </w:hyperlink>
      <w:r>
        <w:rPr>
          <w:sz w:val="20"/>
        </w:rPr>
        <w:t xml:space="preserve"> к Основным положениям функционирования розничных рынков электрической энергии), а стоимость объема бездоговорного потребления электрической энергии за весь период его осуществления рассчитывается в порядке, предусмотренном </w:t>
      </w:r>
      <w:hyperlink w:history="0" r:id="rId826"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пунктом 84</w:t>
        </w:r>
      </w:hyperlink>
      <w:r>
        <w:rPr>
          <w:sz w:val="20"/>
        </w:rPr>
        <w:t xml:space="preserve"> Основных положений функционирования розничных рынков электрической энергии.</w:t>
      </w:r>
    </w:p>
    <w:p>
      <w:pPr>
        <w:pStyle w:val="0"/>
        <w:jc w:val="both"/>
      </w:pPr>
      <w:r>
        <w:rPr>
          <w:sz w:val="20"/>
        </w:rPr>
        <w:t xml:space="preserve">(абзац введен </w:t>
      </w:r>
      <w:hyperlink w:history="0" r:id="rId827"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Постановлением</w:t>
        </w:r>
      </w:hyperlink>
      <w:r>
        <w:rPr>
          <w:sz w:val="20"/>
        </w:rPr>
        <w:t xml:space="preserve"> Правительства РФ от 01.04.2020 N 403)</w:t>
      </w:r>
    </w:p>
    <w:p>
      <w:pPr>
        <w:pStyle w:val="0"/>
        <w:spacing w:before="200" w:line-rule="auto"/>
        <w:ind w:firstLine="540"/>
        <w:jc w:val="both"/>
      </w:pPr>
      <w:r>
        <w:rPr>
          <w:sz w:val="20"/>
        </w:rPr>
        <w:t xml:space="preserve">Гарантирующий поставщик обязан незамедлительно уведомить сетевую организацию о факте выявления им бездоговорного потребления электрической энергии, предусмотренного настоящим пунктом.</w:t>
      </w:r>
    </w:p>
    <w:p>
      <w:pPr>
        <w:pStyle w:val="0"/>
        <w:jc w:val="both"/>
      </w:pPr>
      <w:r>
        <w:rPr>
          <w:sz w:val="20"/>
        </w:rPr>
        <w:t xml:space="preserve">(абзац введен </w:t>
      </w:r>
      <w:hyperlink w:history="0" r:id="rId828"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Постановлением</w:t>
        </w:r>
      </w:hyperlink>
      <w:r>
        <w:rPr>
          <w:sz w:val="20"/>
        </w:rPr>
        <w:t xml:space="preserve"> Правительства РФ от 01.04.2020 N 403)</w:t>
      </w:r>
    </w:p>
    <w:p>
      <w:pPr>
        <w:pStyle w:val="0"/>
        <w:spacing w:before="200" w:line-rule="auto"/>
        <w:ind w:firstLine="540"/>
        <w:jc w:val="both"/>
      </w:pPr>
      <w:r>
        <w:rPr>
          <w:sz w:val="20"/>
        </w:rPr>
        <w:t xml:space="preserve">В случае заключения с гарантирующим поставщиком договора купли-продажи (поставки) электрической энергии (мощности) потребитель обязан не позднее 2 месяцев со дня фактической подачи сетевой организацией напряжения и мощности на объекты заявителя заключить договор оказания услуг по передаче электрической энергии, днем начала исполнения которого является день фактической подачи сетевой организацией напряжения и мощности на объекты заявителя, а также оплатить гарантирующему поставщику стоимость электрической энергии и соответствующих услуг, за исключением услуг по передаче электрической энергии, потребленной со дня фактической подачи сетевой организацией напряжения и мощности на объекты заявителя.</w:t>
      </w:r>
    </w:p>
    <w:p>
      <w:pPr>
        <w:pStyle w:val="0"/>
        <w:jc w:val="both"/>
      </w:pPr>
      <w:r>
        <w:rPr>
          <w:sz w:val="20"/>
        </w:rPr>
        <w:t xml:space="preserve">(абзац введен </w:t>
      </w:r>
      <w:hyperlink w:history="0" r:id="rId829"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Постановлением</w:t>
        </w:r>
      </w:hyperlink>
      <w:r>
        <w:rPr>
          <w:sz w:val="20"/>
        </w:rPr>
        <w:t xml:space="preserve"> Правительства РФ от 01.04.2020 N 403)</w:t>
      </w:r>
    </w:p>
    <w:bookmarkStart w:id="1467" w:name="P1467"/>
    <w:bookmarkEnd w:id="1467"/>
    <w:p>
      <w:pPr>
        <w:pStyle w:val="0"/>
        <w:spacing w:before="200" w:line-rule="auto"/>
        <w:ind w:firstLine="540"/>
        <w:jc w:val="both"/>
      </w:pPr>
      <w:r>
        <w:rPr>
          <w:sz w:val="20"/>
        </w:rPr>
        <w:t xml:space="preserve">При этом сетевая организация в случае обращения к ней потребителя или действующего в его интересах гарантирующего поставщика (энергосбытовой, энергоснабжающей организации) для заключения договора оказания услуг по передаче электрической энергии в течение 2 месяцев со дня фактической подачи сетевой организацией напряжения и мощности на объекты заявителя не вправе при отсутствии оснований для отказа от заключения такого договора, установленных </w:t>
      </w:r>
      <w:hyperlink w:history="0" w:anchor="P86" w:tooltip="ПРАВИЛА">
        <w:r>
          <w:rPr>
            <w:sz w:val="20"/>
            <w:color w:val="0000ff"/>
          </w:rPr>
          <w:t xml:space="preserve">Правилами</w:t>
        </w:r>
      </w:hyperlink>
      <w:r>
        <w:rPr>
          <w:sz w:val="20"/>
        </w:rPr>
        <w:t xml:space="preserve"> недискриминационного доступа к услугам по передаче электрической энергии и оказания этих услуг, отказаться от его заключения. В таком случае договор оказания услуг по передаче электрической энергии должен содержать условие об оказании услуг по передаче электрической энергии начиная со дня фактической подачи сетевой организацией напряжения и мощности на объекты заявителя.</w:t>
      </w:r>
    </w:p>
    <w:p>
      <w:pPr>
        <w:pStyle w:val="0"/>
        <w:jc w:val="both"/>
      </w:pPr>
      <w:r>
        <w:rPr>
          <w:sz w:val="20"/>
        </w:rPr>
        <w:t xml:space="preserve">(абзац введен </w:t>
      </w:r>
      <w:hyperlink w:history="0" r:id="rId830"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Постановлением</w:t>
        </w:r>
      </w:hyperlink>
      <w:r>
        <w:rPr>
          <w:sz w:val="20"/>
        </w:rPr>
        <w:t xml:space="preserve"> Правительства РФ от 01.04.2020 N 403)</w:t>
      </w:r>
    </w:p>
    <w:p>
      <w:pPr>
        <w:pStyle w:val="0"/>
        <w:spacing w:before="200" w:line-rule="auto"/>
        <w:ind w:firstLine="540"/>
        <w:jc w:val="both"/>
      </w:pPr>
      <w:r>
        <w:rPr>
          <w:sz w:val="20"/>
        </w:rPr>
        <w:t xml:space="preserve">Положения </w:t>
      </w:r>
      <w:hyperlink w:history="0" w:anchor="P1453" w:tooltip="В случае если к заявке не приложен подписанный заявителем проект договора энергоснабжения (купли-продажи (поставки) электрической энергии (мощности), оформленный в соответствии с формой договора, размещенной на официальном сайте гарантирующего поставщика, или протокол разногласий к договору, заявитель, получивший от сетевой организации акт об осуществлении технологического присоединения, при его возвращении сетевой организации после подписания со своей стороны вправе приложить к нему надлежащим образом о...">
        <w:r>
          <w:rPr>
            <w:sz w:val="20"/>
            <w:color w:val="0000ff"/>
          </w:rPr>
          <w:t xml:space="preserve">абзацев третьего</w:t>
        </w:r>
      </w:hyperlink>
      <w:r>
        <w:rPr>
          <w:sz w:val="20"/>
        </w:rPr>
        <w:t xml:space="preserve"> - </w:t>
      </w:r>
      <w:hyperlink w:history="0" w:anchor="P1467" w:tooltip="При этом сетевая организация в случае обращения к ней потребителя или действующего в его интересах гарантирующего поставщика (энергосбытовой, энергоснабжающей организации) для заключения договора оказания услуг по передаче электрической энергии в течение 2 месяцев со дня фактической подачи сетевой организацией напряжения и мощности на объекты заявителя не вправе при отсутствии оснований для отказа от заключения такого договора, установленных Правилами недискриминационного доступа к услугам по передаче эл...">
        <w:r>
          <w:rPr>
            <w:sz w:val="20"/>
            <w:color w:val="0000ff"/>
          </w:rPr>
          <w:t xml:space="preserve">десятого</w:t>
        </w:r>
      </w:hyperlink>
      <w:r>
        <w:rPr>
          <w:sz w:val="20"/>
        </w:rPr>
        <w:t xml:space="preserve"> настоящего пункта не применяются в отношении заявителей,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w:t>
      </w:r>
    </w:p>
    <w:p>
      <w:pPr>
        <w:pStyle w:val="0"/>
        <w:jc w:val="both"/>
      </w:pPr>
      <w:r>
        <w:rPr>
          <w:sz w:val="20"/>
        </w:rPr>
        <w:t xml:space="preserve">(абзац введен </w:t>
      </w:r>
      <w:hyperlink w:history="0" r:id="rId831"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Постановлением</w:t>
        </w:r>
      </w:hyperlink>
      <w:r>
        <w:rPr>
          <w:sz w:val="20"/>
        </w:rPr>
        <w:t xml:space="preserve"> Правительства РФ от 02.03.2021 N 299; в ред. </w:t>
      </w:r>
      <w:hyperlink w:history="0" r:id="rId832"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p>
      <w:pPr>
        <w:pStyle w:val="0"/>
        <w:jc w:val="both"/>
      </w:pPr>
      <w:r>
        <w:rPr>
          <w:sz w:val="20"/>
        </w:rPr>
        <w:t xml:space="preserve">(п. 19(1) в ред. </w:t>
      </w:r>
      <w:hyperlink w:history="0" r:id="rId833" w:tooltip="Постановление Правительства РФ от 22.02.2016 N 128 &quot;О внесении изменений в некоторые акты Правительства Российской Федерации по вопросам взаимодействия субъектов розничных рынков электрической энергии при заключении договоров энергоснабжения (купли-продажи (поставки) электрической энергии (мощности) с потребителям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Постановления</w:t>
        </w:r>
      </w:hyperlink>
      <w:r>
        <w:rPr>
          <w:sz w:val="20"/>
        </w:rPr>
        <w:t xml:space="preserve"> Правительства РФ от 22.02.2016 N 128)</w:t>
      </w:r>
    </w:p>
    <w:p>
      <w:pPr>
        <w:pStyle w:val="0"/>
        <w:spacing w:before="200" w:line-rule="auto"/>
        <w:ind w:firstLine="540"/>
        <w:jc w:val="both"/>
      </w:pPr>
      <w:r>
        <w:rPr>
          <w:sz w:val="20"/>
        </w:rPr>
        <w:t xml:space="preserve">20. Сетевая организация ежеквартально представляет системному оператору информацию с разбивкой по центрам питания о максимальной мощности энергопринимающих устройств, в отношении которых сетевой организацией выданы технические условия в предыдущем квартале, с приложением копий всех выданных за этот квартал технических условий, в том числе выданных при перераспределении максимальной мощности, отказе от максимальной мощности или при восстановлении (переоформлении) документов о технологическом присоединении.</w:t>
      </w:r>
    </w:p>
    <w:p>
      <w:pPr>
        <w:pStyle w:val="0"/>
        <w:jc w:val="both"/>
      </w:pPr>
      <w:r>
        <w:rPr>
          <w:sz w:val="20"/>
        </w:rPr>
        <w:t xml:space="preserve">(в ред. Постановлений Правительства РФ от 24.09.2010 </w:t>
      </w:r>
      <w:hyperlink w:history="0" r:id="rId834"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sz w:val="20"/>
            <w:color w:val="0000ff"/>
          </w:rPr>
          <w:t xml:space="preserve">N 759</w:t>
        </w:r>
      </w:hyperlink>
      <w:r>
        <w:rPr>
          <w:sz w:val="20"/>
        </w:rPr>
        <w:t xml:space="preserve">, от 04.05.2012 </w:t>
      </w:r>
      <w:hyperlink w:history="0" r:id="rId835"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N 442</w:t>
        </w:r>
      </w:hyperlink>
      <w:r>
        <w:rPr>
          <w:sz w:val="20"/>
        </w:rPr>
        <w:t xml:space="preserve">, от 26.08.2013 </w:t>
      </w:r>
      <w:hyperlink w:history="0" r:id="rId836" w:tooltip="Постановление Правительства РФ от 26.08.2013 N 737 (ред. от 10.03.2020) &quot;О внесении изменений в некоторые акты Правительства Российской Федерации по вопросу осуществления временного технологического присоединения к электрическим сетям&quot; {КонсультантПлюс}">
        <w:r>
          <w:rPr>
            <w:sz w:val="20"/>
            <w:color w:val="0000ff"/>
          </w:rPr>
          <w:t xml:space="preserve">N 737</w:t>
        </w:r>
      </w:hyperlink>
      <w:r>
        <w:rPr>
          <w:sz w:val="20"/>
        </w:rPr>
        <w:t xml:space="preserve">, от 20.02.2014 </w:t>
      </w:r>
      <w:hyperlink w:history="0" r:id="rId837"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sz w:val="20"/>
            <w:color w:val="0000ff"/>
          </w:rPr>
          <w:t xml:space="preserve">N 130</w:t>
        </w:r>
      </w:hyperlink>
      <w:r>
        <w:rPr>
          <w:sz w:val="20"/>
        </w:rPr>
        <w:t xml:space="preserve">)</w:t>
      </w:r>
    </w:p>
    <w:bookmarkStart w:id="1474" w:name="P1474"/>
    <w:bookmarkEnd w:id="1474"/>
    <w:p>
      <w:pPr>
        <w:pStyle w:val="0"/>
        <w:spacing w:before="200" w:line-rule="auto"/>
        <w:ind w:firstLine="540"/>
        <w:jc w:val="both"/>
      </w:pPr>
      <w:r>
        <w:rPr>
          <w:sz w:val="20"/>
        </w:rPr>
        <w:t xml:space="preserve">21. В целях подготовки технических условий сетевая организация:</w:t>
      </w:r>
    </w:p>
    <w:p>
      <w:pPr>
        <w:pStyle w:val="0"/>
        <w:spacing w:before="200" w:line-rule="auto"/>
        <w:ind w:firstLine="540"/>
        <w:jc w:val="both"/>
      </w:pPr>
      <w:r>
        <w:rPr>
          <w:sz w:val="20"/>
        </w:rPr>
        <w:t xml:space="preserve">в течение 5 рабочих дней с даты получения заявки направляет ее копию на рассмотрение системному оператору (за исключением заявок, поданных заявителями, указанными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w:t>
      </w:r>
    </w:p>
    <w:p>
      <w:pPr>
        <w:pStyle w:val="0"/>
        <w:jc w:val="both"/>
      </w:pPr>
      <w:r>
        <w:rPr>
          <w:sz w:val="20"/>
        </w:rPr>
        <w:t xml:space="preserve">(в ред. Постановлений Правительства РФ от 21.04.2009 </w:t>
      </w:r>
      <w:hyperlink w:history="0" r:id="rId838"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антПлюс}">
        <w:r>
          <w:rPr>
            <w:sz w:val="20"/>
            <w:color w:val="0000ff"/>
          </w:rPr>
          <w:t xml:space="preserve">N 334</w:t>
        </w:r>
      </w:hyperlink>
      <w:r>
        <w:rPr>
          <w:sz w:val="20"/>
        </w:rPr>
        <w:t xml:space="preserve">, от 30.09.2015 </w:t>
      </w:r>
      <w:hyperlink w:history="0" r:id="rId839"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1044</w:t>
        </w:r>
      </w:hyperlink>
      <w:r>
        <w:rPr>
          <w:sz w:val="20"/>
        </w:rPr>
        <w:t xml:space="preserve">)</w:t>
      </w:r>
    </w:p>
    <w:p>
      <w:pPr>
        <w:pStyle w:val="0"/>
        <w:spacing w:before="200" w:line-rule="auto"/>
        <w:ind w:firstLine="540"/>
        <w:jc w:val="both"/>
      </w:pPr>
      <w:r>
        <w:rPr>
          <w:sz w:val="20"/>
        </w:rPr>
        <w:t xml:space="preserve">абзац утратил силу. - </w:t>
      </w:r>
      <w:hyperlink w:history="0" r:id="rId840" w:tooltip="Постановление Правительства РФ от 12.08.2013 N 691 (ред. от 10.03.2020) &quot;О внесении изменений в некоторые акты Правительства Российской Федерации по вопросам технологического присоединения к электрическим сетям&quot; {КонсультантПлюс}">
        <w:r>
          <w:rPr>
            <w:sz w:val="20"/>
            <w:color w:val="0000ff"/>
          </w:rPr>
          <w:t xml:space="preserve">Постановление</w:t>
        </w:r>
      </w:hyperlink>
      <w:r>
        <w:rPr>
          <w:sz w:val="20"/>
        </w:rPr>
        <w:t xml:space="preserve"> Правительства РФ от 12.08.2013 N 691.</w:t>
      </w:r>
    </w:p>
    <w:bookmarkStart w:id="1478" w:name="P1478"/>
    <w:bookmarkEnd w:id="1478"/>
    <w:p>
      <w:pPr>
        <w:pStyle w:val="0"/>
        <w:spacing w:before="200" w:line-rule="auto"/>
        <w:ind w:firstLine="540"/>
        <w:jc w:val="both"/>
      </w:pPr>
      <w:r>
        <w:rPr>
          <w:sz w:val="20"/>
        </w:rPr>
        <w:t xml:space="preserve">Системный оператор в течение 15 дней со дня получения проекта технических условий от сетевой организации рассматривает заявку и осуществляет согласование проекта технических условий на технологическое присоединение в отношении присоединяемых объектов по производству электрической энергии, установленная генерирующая мощность которых превышает 5 МВт или увеличивается на 5 МВт и выше, а также присоединяемых объектов электросетевого хозяйства, максимальная мощность которых превышает 5 МВт или увеличивается на 5 МВт и выше, и энергопринимающих устройств, максимальная мощность которых превышает 5 МВт или увеличивается на 5 МВт и выше.</w:t>
      </w:r>
    </w:p>
    <w:p>
      <w:pPr>
        <w:pStyle w:val="0"/>
        <w:jc w:val="both"/>
      </w:pPr>
      <w:r>
        <w:rPr>
          <w:sz w:val="20"/>
        </w:rPr>
        <w:t xml:space="preserve">(в ред. </w:t>
      </w:r>
      <w:hyperlink w:history="0" r:id="rId841" w:tooltip="Постановление Правительства РФ от 12.08.2013 N 691 (ред. от 10.03.2020) &quot;О внесении изменений в некоторые акты Правительства Российской Федерации по вопросам технологического присоединения к электрическим сетям&quot; {КонсультантПлюс}">
        <w:r>
          <w:rPr>
            <w:sz w:val="20"/>
            <w:color w:val="0000ff"/>
          </w:rPr>
          <w:t xml:space="preserve">Постановления</w:t>
        </w:r>
      </w:hyperlink>
      <w:r>
        <w:rPr>
          <w:sz w:val="20"/>
        </w:rPr>
        <w:t xml:space="preserve"> Правительства РФ от 12.08.2013 N 691)</w:t>
      </w:r>
    </w:p>
    <w:p>
      <w:pPr>
        <w:pStyle w:val="0"/>
        <w:spacing w:before="200" w:line-rule="auto"/>
        <w:ind w:firstLine="540"/>
        <w:jc w:val="both"/>
      </w:pPr>
      <w:r>
        <w:rPr>
          <w:sz w:val="20"/>
        </w:rPr>
        <w:t xml:space="preserve">Требования о необходимости проведения мероприятий на объектах организации по управлению единой национальной (общероссийской) электрической сетью, включаемые по инициативе системного оператора в проект технических условий при его согласовании, должны быть согласованы системным оператором с указанной организацией в пределах сроков, установленных </w:t>
      </w:r>
      <w:hyperlink w:history="0" w:anchor="P1482" w:tooltip="Системный оператор в течение 15 дней со дня получения проекта технических условий рассматривает заявку, поданную в смежную сетевую организацию в соответствии с пунктом 41 настоящих Правил, и осуществляет согласование проекта выдаваемых такой организацией технических условий в случаях, указанных в абзаце четвертом настоящего пункта, а также если технические условия, которые выданы (будут выданы) сетевой организацией заявителю, технологическое присоединение энергопринимающих устройств которого послужило ос...">
        <w:r>
          <w:rPr>
            <w:sz w:val="20"/>
            <w:color w:val="0000ff"/>
          </w:rPr>
          <w:t xml:space="preserve">абзацем шестым</w:t>
        </w:r>
      </w:hyperlink>
      <w:r>
        <w:rPr>
          <w:sz w:val="20"/>
        </w:rPr>
        <w:t xml:space="preserve"> настоящего пункта.</w:t>
      </w:r>
    </w:p>
    <w:p>
      <w:pPr>
        <w:pStyle w:val="0"/>
        <w:jc w:val="both"/>
      </w:pPr>
      <w:r>
        <w:rPr>
          <w:sz w:val="20"/>
        </w:rPr>
        <w:t xml:space="preserve">(абзац введен </w:t>
      </w:r>
      <w:hyperlink w:history="0" r:id="rId842" w:tooltip="Постановление Правительства РФ от 29.05.2019 N 682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технологического присоединения к электрическим сетям&quot; {КонсультантПлюс}">
        <w:r>
          <w:rPr>
            <w:sz w:val="20"/>
            <w:color w:val="0000ff"/>
          </w:rPr>
          <w:t xml:space="preserve">Постановлением</w:t>
        </w:r>
      </w:hyperlink>
      <w:r>
        <w:rPr>
          <w:sz w:val="20"/>
        </w:rPr>
        <w:t xml:space="preserve"> Правительства РФ от 29.05.2019 N 682)</w:t>
      </w:r>
    </w:p>
    <w:bookmarkStart w:id="1482" w:name="P1482"/>
    <w:bookmarkEnd w:id="1482"/>
    <w:p>
      <w:pPr>
        <w:pStyle w:val="0"/>
        <w:spacing w:before="200" w:line-rule="auto"/>
        <w:ind w:firstLine="540"/>
        <w:jc w:val="both"/>
      </w:pPr>
      <w:r>
        <w:rPr>
          <w:sz w:val="20"/>
        </w:rPr>
        <w:t xml:space="preserve">Системный оператор в течение 15 дней со дня получения проекта технических условий рассматривает заявку, поданную в смежную сетевую организацию в соответствии с </w:t>
      </w:r>
      <w:hyperlink w:history="0" w:anchor="P1842" w:tooltip="41. Сетевая организация обязана подать заявку на технологическое присоединение к сетям смежной сетевой организации в следующих случаях:">
        <w:r>
          <w:rPr>
            <w:sz w:val="20"/>
            <w:color w:val="0000ff"/>
          </w:rPr>
          <w:t xml:space="preserve">пунктом 41</w:t>
        </w:r>
      </w:hyperlink>
      <w:r>
        <w:rPr>
          <w:sz w:val="20"/>
        </w:rPr>
        <w:t xml:space="preserve"> настоящих Правил, и осуществляет согласование проекта выдаваемых такой организацией технических условий в случаях, указанных в </w:t>
      </w:r>
      <w:hyperlink w:history="0" w:anchor="P1478" w:tooltip="Системный оператор в течение 15 дней со дня получения проекта технических условий от сетевой организации рассматривает заявку и осуществляет согласование проекта технических условий на технологическое присоединение в отношении присоединяемых объектов по производству электрической энергии, установленная генерирующая мощность которых превышает 5 МВт или увеличивается на 5 МВт и выше, а также присоединяемых объектов электросетевого хозяйства, максимальная мощность которых превышает 5 МВт или увеличивается н...">
        <w:r>
          <w:rPr>
            <w:sz w:val="20"/>
            <w:color w:val="0000ff"/>
          </w:rPr>
          <w:t xml:space="preserve">абзаце четвертом</w:t>
        </w:r>
      </w:hyperlink>
      <w:r>
        <w:rPr>
          <w:sz w:val="20"/>
        </w:rPr>
        <w:t xml:space="preserve"> настоящего пункта, а также если технические условия, которые выданы (будут выданы) сетевой организацией заявителю, технологическое присоединение энергопринимающих устройств которого послужило основанием для обращения сетевой организации в смежную сетевую организацию, подлежали (подлежат) согласованию с системным оператором в соответствии с требованиями настоящих Правил.</w:t>
      </w:r>
    </w:p>
    <w:p>
      <w:pPr>
        <w:pStyle w:val="0"/>
        <w:jc w:val="both"/>
      </w:pPr>
      <w:r>
        <w:rPr>
          <w:sz w:val="20"/>
        </w:rPr>
        <w:t xml:space="preserve">(абзац введен </w:t>
      </w:r>
      <w:hyperlink w:history="0" r:id="rId843" w:tooltip="Постановление Правительства РФ от 29.05.2019 N 682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технологического присоединения к электрическим сетям&quot; {КонсультантПлюс}">
        <w:r>
          <w:rPr>
            <w:sz w:val="20"/>
            <w:color w:val="0000ff"/>
          </w:rPr>
          <w:t xml:space="preserve">Постановлением</w:t>
        </w:r>
      </w:hyperlink>
      <w:r>
        <w:rPr>
          <w:sz w:val="20"/>
        </w:rPr>
        <w:t xml:space="preserve"> Правительства РФ от 29.05.2019 N 682)</w:t>
      </w:r>
    </w:p>
    <w:p>
      <w:pPr>
        <w:pStyle w:val="0"/>
        <w:spacing w:before="200" w:line-rule="auto"/>
        <w:ind w:firstLine="540"/>
        <w:jc w:val="both"/>
      </w:pPr>
      <w:r>
        <w:rPr>
          <w:sz w:val="20"/>
        </w:rPr>
        <w:t xml:space="preserve">22. Утратил силу. - </w:t>
      </w:r>
      <w:hyperlink w:history="0" r:id="rId844"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sz w:val="20"/>
            <w:color w:val="0000ff"/>
          </w:rPr>
          <w:t xml:space="preserve">Постановление</w:t>
        </w:r>
      </w:hyperlink>
      <w:r>
        <w:rPr>
          <w:sz w:val="20"/>
        </w:rPr>
        <w:t xml:space="preserve"> Правительства РФ от 24.09.2010 N 759.</w:t>
      </w:r>
    </w:p>
    <w:p>
      <w:pPr>
        <w:pStyle w:val="0"/>
        <w:spacing w:before="200" w:line-rule="auto"/>
        <w:ind w:firstLine="540"/>
        <w:jc w:val="both"/>
      </w:pPr>
      <w:r>
        <w:rPr>
          <w:sz w:val="20"/>
        </w:rPr>
        <w:t xml:space="preserve">23. В случае если в ходе проектирования у заявителя возникает необходимость частичного отступления от мероприятий, указанных в технических условиях, такие отступления должны быть согласованы с сетевой организацией, выдавшей технические условия, с последующим внесением изменений в технические условия. Согласование соответствующих изменений в технические условия сетевая организация осуществляет в течение 10 рабочих дней со дня обращения заявителя.</w:t>
      </w:r>
    </w:p>
    <w:p>
      <w:pPr>
        <w:pStyle w:val="0"/>
        <w:spacing w:before="200" w:line-rule="auto"/>
        <w:ind w:firstLine="540"/>
        <w:jc w:val="both"/>
      </w:pPr>
      <w:r>
        <w:rPr>
          <w:sz w:val="20"/>
        </w:rPr>
        <w:t xml:space="preserve">В случае если в ходе проектирования необходимость частичного отступления от технических условий (в том числе в части мероприятий, выполняемых на объектах электроэнергетики смежных сетевых организаций) возникает у сетевой организации, сетевая организация вносит соответствующие изменения в технические условия, выданные заявителю при условии, что такие изменения не повлекут необходимости корректировки указанных в заявке сведений, обязательств заявителя, определенных в технических условиях, а также рассчитанной для него платы за технологическое присоединение.</w:t>
      </w:r>
    </w:p>
    <w:p>
      <w:pPr>
        <w:pStyle w:val="0"/>
        <w:spacing w:before="200" w:line-rule="auto"/>
        <w:ind w:firstLine="540"/>
        <w:jc w:val="both"/>
      </w:pPr>
      <w:r>
        <w:rPr>
          <w:sz w:val="20"/>
        </w:rPr>
        <w:t xml:space="preserve">В случае если в соответствии с </w:t>
      </w:r>
      <w:hyperlink w:history="0" w:anchor="P1491" w:tooltip="24. Срок действия технических условий не может составлять менее 2 лет и более 5 лет. В случаях если в соответствии с абзацами восемнадцатым и девятнадцатым подпункта &quot;б&quot; пункта 16 настоящих Правил договором могут быть установлены сроки технологического присоединения, превышающие сроки, которые предусмотрены указанным подпунктом, срок действия технических условий может превышать 5 лет.">
        <w:r>
          <w:rPr>
            <w:sz w:val="20"/>
            <w:color w:val="0000ff"/>
          </w:rPr>
          <w:t xml:space="preserve">абзацем первым пункта 24</w:t>
        </w:r>
      </w:hyperlink>
      <w:r>
        <w:rPr>
          <w:sz w:val="20"/>
        </w:rPr>
        <w:t xml:space="preserve"> настоящих Правил технические условия были выданы на срок, превышающий 5 лет, и по истечении 5 лет требуется частичное отступление от технических условий в части мероприятий, связанных с усилением электрической сети и развитием существующей энергетической инфраструктуры, в том числе электрических связей между объектами территориальных сетевых организаций и объектами единой национальной (общероссийской) электрической сети, сетевая организация вносит соответствующие изменения в технические условия, выданные заявителю, при условии, что такие изменения не повлекут необходимости корректировки указанных в заявке сведений, обязательств заявителя, определенных в технических условиях, а также рассчитанной для него платы за технологическое присоединение.</w:t>
      </w:r>
    </w:p>
    <w:p>
      <w:pPr>
        <w:pStyle w:val="0"/>
        <w:jc w:val="both"/>
      </w:pPr>
      <w:r>
        <w:rPr>
          <w:sz w:val="20"/>
        </w:rPr>
        <w:t xml:space="preserve">(абзац введен </w:t>
      </w:r>
      <w:hyperlink w:history="0" r:id="rId845"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29.12.2021 N 2566)</w:t>
      </w:r>
    </w:p>
    <w:p>
      <w:pPr>
        <w:pStyle w:val="0"/>
        <w:spacing w:before="200" w:line-rule="auto"/>
        <w:ind w:firstLine="540"/>
        <w:jc w:val="both"/>
      </w:pPr>
      <w:r>
        <w:rPr>
          <w:sz w:val="20"/>
        </w:rPr>
        <w:t xml:space="preserve">В случае если в соответствии с настоящими Правилами технические условия согласовывались с системным оператором, сетевая организация обязана согласовать с системным оператором изменения, вносимые в указанные технические условия. Системный оператор в течение 5 дней со дня получения указанных изменений согласовывает такие изменения либо представляет обоснованные замечания. Системный оператор рассматривает повторно направленные технические условия с учетом внесенных изменений и направляет в сетевую организацию информацию о результатах повторного рассмотрения в течение 5 дней со дня получения указанных изменений.</w:t>
      </w:r>
    </w:p>
    <w:p>
      <w:pPr>
        <w:pStyle w:val="0"/>
        <w:jc w:val="both"/>
      </w:pPr>
      <w:r>
        <w:rPr>
          <w:sz w:val="20"/>
        </w:rPr>
        <w:t xml:space="preserve">(п. 23 в ред. </w:t>
      </w:r>
      <w:hyperlink w:history="0" r:id="rId846" w:tooltip="Постановление Правительства РФ от 29.05.2019 N 682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технологического присоединения к электрическим сетям&quot; {КонсультантПлюс}">
        <w:r>
          <w:rPr>
            <w:sz w:val="20"/>
            <w:color w:val="0000ff"/>
          </w:rPr>
          <w:t xml:space="preserve">Постановления</w:t>
        </w:r>
      </w:hyperlink>
      <w:r>
        <w:rPr>
          <w:sz w:val="20"/>
        </w:rPr>
        <w:t xml:space="preserve"> Правительства РФ от 29.05.2019 N 682)</w:t>
      </w:r>
    </w:p>
    <w:bookmarkStart w:id="1491" w:name="P1491"/>
    <w:bookmarkEnd w:id="1491"/>
    <w:p>
      <w:pPr>
        <w:pStyle w:val="0"/>
        <w:spacing w:before="200" w:line-rule="auto"/>
        <w:ind w:firstLine="540"/>
        <w:jc w:val="both"/>
      </w:pPr>
      <w:r>
        <w:rPr>
          <w:sz w:val="20"/>
        </w:rPr>
        <w:t xml:space="preserve">24. Срок действия технических условий не может составлять менее 2 лет и более 5 лет. В случаях если в соответствии с </w:t>
      </w:r>
      <w:hyperlink w:history="0" w:anchor="P1272" w:tooltip="Договором, заключенным на основании заявки, поданной в соответствии с пунктом 8(7) настоящих Правил, на основании определенных в договоре о комплексном развитии территории этапов и максимальных сроков осуществления строительства, реконструкции объектов капитального строительства могут быть установлены сроки осуществления мероприятий по технологическому присоединению, превышающие те, которые предусмотрены настоящим подпунктом.">
        <w:r>
          <w:rPr>
            <w:sz w:val="20"/>
            <w:color w:val="0000ff"/>
          </w:rPr>
          <w:t xml:space="preserve">абзацами восемнадцатым</w:t>
        </w:r>
      </w:hyperlink>
      <w:r>
        <w:rPr>
          <w:sz w:val="20"/>
        </w:rPr>
        <w:t xml:space="preserve"> и </w:t>
      </w:r>
      <w:hyperlink w:history="0" w:anchor="P1274" w:tooltip="Договором, предусматривающим поэтапное осуществление мероприятий по технологическому присоединению, заключенным на основании заявки, содержащей сведения, предусмотренные подпунктом &quot;и(1)&quot; или &quot;и(2)&quot; пункта 9 настоящих Правил, могут быть установлены сроки осуществления мероприятий по технологическому присоединению, превышающие сроки, которые предусмотрены настоящим подпунктом, и учитывающие соответствующие этапы и их продолжительность, которые определяются на основании документов, указанных в подпунктах &quot;...">
        <w:r>
          <w:rPr>
            <w:sz w:val="20"/>
            <w:color w:val="0000ff"/>
          </w:rPr>
          <w:t xml:space="preserve">девятнадцатым подпункта "б" пункта 16</w:t>
        </w:r>
      </w:hyperlink>
      <w:r>
        <w:rPr>
          <w:sz w:val="20"/>
        </w:rPr>
        <w:t xml:space="preserve"> настоящих Правил договором могут быть установлены сроки технологического присоединения, превышающие сроки, которые предусмотрены указанным </w:t>
      </w:r>
      <w:hyperlink w:history="0" w:anchor="P1242" w:tooltip="б) срок осуществления мероприятий по технологическому присоединению, который исчисляется со дня заключения договора и не может превышать:">
        <w:r>
          <w:rPr>
            <w:sz w:val="20"/>
            <w:color w:val="0000ff"/>
          </w:rPr>
          <w:t xml:space="preserve">подпунктом</w:t>
        </w:r>
      </w:hyperlink>
      <w:r>
        <w:rPr>
          <w:sz w:val="20"/>
        </w:rPr>
        <w:t xml:space="preserve">, срок действия технических условий может превышать 5 лет.</w:t>
      </w:r>
    </w:p>
    <w:p>
      <w:pPr>
        <w:pStyle w:val="0"/>
        <w:jc w:val="both"/>
      </w:pPr>
      <w:r>
        <w:rPr>
          <w:sz w:val="20"/>
        </w:rPr>
        <w:t xml:space="preserve">(в ред. </w:t>
      </w:r>
      <w:hyperlink w:history="0" r:id="rId847"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29.12.2021 N 2566)</w:t>
      </w:r>
    </w:p>
    <w:p>
      <w:pPr>
        <w:pStyle w:val="0"/>
        <w:spacing w:before="200" w:line-rule="auto"/>
        <w:ind w:firstLine="540"/>
        <w:jc w:val="both"/>
      </w:pPr>
      <w:r>
        <w:rPr>
          <w:sz w:val="20"/>
        </w:rPr>
        <w:t xml:space="preserve">В случаях если технические условия в соответствии с настоящими Правилами подлежат согласованию с системным оператором (соответствующим субъектом оперативно-диспетчерского управления в технологически изолированной территориальной электроэнергетической системе), сетевая организация обязана согласовать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представленную заявителем на согласование сетевой организации проектную документацию по выполнению технических условий, а также отступления от выданных заявителю технических условий. При этом сетевая организация направляет субъекту оперативно-диспетчерского управления копию проектной документации, представленной в сетевую организацию заявителем в течение 2 дней со дня ее получения.</w:t>
      </w:r>
    </w:p>
    <w:p>
      <w:pPr>
        <w:pStyle w:val="0"/>
        <w:jc w:val="both"/>
      </w:pPr>
      <w:r>
        <w:rPr>
          <w:sz w:val="20"/>
        </w:rPr>
        <w:t xml:space="preserve">(в ред. </w:t>
      </w:r>
      <w:hyperlink w:history="0" r:id="rId848"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sz w:val="20"/>
            <w:color w:val="0000ff"/>
          </w:rPr>
          <w:t xml:space="preserve">Постановления</w:t>
        </w:r>
      </w:hyperlink>
      <w:r>
        <w:rPr>
          <w:sz w:val="20"/>
        </w:rPr>
        <w:t xml:space="preserve"> Правительства РФ от 20.02.2014 N 130)</w:t>
      </w:r>
    </w:p>
    <w:bookmarkStart w:id="1495" w:name="P1495"/>
    <w:bookmarkEnd w:id="1495"/>
    <w:p>
      <w:pPr>
        <w:pStyle w:val="0"/>
        <w:spacing w:before="200" w:line-rule="auto"/>
        <w:ind w:firstLine="540"/>
        <w:jc w:val="both"/>
      </w:pPr>
      <w:r>
        <w:rPr>
          <w:sz w:val="20"/>
        </w:rPr>
        <w:t xml:space="preserve">25. В технических условиях для заявителей, за исключением лиц,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должны быть указаны:</w:t>
      </w:r>
    </w:p>
    <w:p>
      <w:pPr>
        <w:pStyle w:val="0"/>
        <w:jc w:val="both"/>
      </w:pPr>
      <w:r>
        <w:rPr>
          <w:sz w:val="20"/>
        </w:rPr>
        <w:t xml:space="preserve">(в ред. Постановлений Правительства РФ от 21.04.2009 </w:t>
      </w:r>
      <w:hyperlink w:history="0" r:id="rId849"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антПлюс}">
        <w:r>
          <w:rPr>
            <w:sz w:val="20"/>
            <w:color w:val="0000ff"/>
          </w:rPr>
          <w:t xml:space="preserve">N 334</w:t>
        </w:r>
      </w:hyperlink>
      <w:r>
        <w:rPr>
          <w:sz w:val="20"/>
        </w:rPr>
        <w:t xml:space="preserve">, от 02.03.2021 </w:t>
      </w:r>
      <w:hyperlink w:history="0" r:id="rId850"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N 299</w:t>
        </w:r>
      </w:hyperlink>
      <w:r>
        <w:rPr>
          <w:sz w:val="20"/>
        </w:rPr>
        <w:t xml:space="preserve">)</w:t>
      </w:r>
    </w:p>
    <w:bookmarkStart w:id="1497" w:name="P1497"/>
    <w:bookmarkEnd w:id="1497"/>
    <w:p>
      <w:pPr>
        <w:pStyle w:val="0"/>
        <w:spacing w:before="200" w:line-rule="auto"/>
        <w:ind w:firstLine="540"/>
        <w:jc w:val="both"/>
      </w:pPr>
      <w:r>
        <w:rPr>
          <w:sz w:val="20"/>
        </w:rPr>
        <w:t xml:space="preserve">а) схемы выдачи или приема мощности и точки присоединения (вводные распределительные устройства, линии электропередачи, базовые подстанции, генераторы);</w:t>
      </w:r>
    </w:p>
    <w:p>
      <w:pPr>
        <w:pStyle w:val="0"/>
        <w:spacing w:before="200" w:line-rule="auto"/>
        <w:ind w:firstLine="540"/>
        <w:jc w:val="both"/>
      </w:pPr>
      <w:r>
        <w:rPr>
          <w:sz w:val="20"/>
        </w:rPr>
        <w:t xml:space="preserve">а(1)) максимальная мощность в соответствии с заявкой и ее распределение по каждой точке присоединения к объектам электросетевого хозяйства;</w:t>
      </w:r>
    </w:p>
    <w:p>
      <w:pPr>
        <w:pStyle w:val="0"/>
        <w:jc w:val="both"/>
      </w:pPr>
      <w:r>
        <w:rPr>
          <w:sz w:val="20"/>
        </w:rPr>
        <w:t xml:space="preserve">(пп. "а(1)" в ред. </w:t>
      </w:r>
      <w:hyperlink w:history="0" r:id="rId851"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spacing w:before="200" w:line-rule="auto"/>
        <w:ind w:firstLine="540"/>
        <w:jc w:val="both"/>
      </w:pPr>
      <w:r>
        <w:rPr>
          <w:sz w:val="20"/>
        </w:rPr>
        <w:t xml:space="preserve">а(2))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осуществляются сетевой организацией);</w:t>
      </w:r>
    </w:p>
    <w:p>
      <w:pPr>
        <w:pStyle w:val="0"/>
        <w:jc w:val="both"/>
      </w:pPr>
      <w:r>
        <w:rPr>
          <w:sz w:val="20"/>
        </w:rPr>
        <w:t xml:space="preserve">(пп. "а(2)" введен </w:t>
      </w:r>
      <w:hyperlink w:history="0" r:id="rId852"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Постановлением</w:t>
        </w:r>
      </w:hyperlink>
      <w:r>
        <w:rPr>
          <w:sz w:val="20"/>
        </w:rPr>
        <w:t xml:space="preserve"> Правительства РФ от 04.05.2012 N 442)</w:t>
      </w:r>
    </w:p>
    <w:bookmarkStart w:id="1502" w:name="P1502"/>
    <w:bookmarkEnd w:id="1502"/>
    <w:p>
      <w:pPr>
        <w:pStyle w:val="0"/>
        <w:spacing w:before="200" w:line-rule="auto"/>
        <w:ind w:firstLine="540"/>
        <w:jc w:val="both"/>
      </w:pPr>
      <w:r>
        <w:rPr>
          <w:sz w:val="20"/>
        </w:rPr>
        <w:t xml:space="preserve">б) обоснованные требования к усилению существующей электрической сети сетевых организаций, а также смежных сетевых организаций в связи с присоединением новых мощностей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установка устройств регулирования напряжения для обеспечения надежности и качества электроснабжения), а также обоснованные требования к строительству (реконструкции) объектов по производству электрической энергии в связи с присоединением новых мощностей (включая увеличение сечения проводов и кабелей, замену или увеличение мощности трансформаторов, установку устройств регулирования напряжения, расширение распределительных устройств на объектах по производству электрической энергии). Указанные требования к усилению существующей электрической сети смежных сетевых организаций подлежат включению в технические условия в случае, если технические условия подлежат согласованию в соответствии с </w:t>
      </w:r>
      <w:hyperlink w:history="0" w:anchor="P1478" w:tooltip="Системный оператор в течение 15 дней со дня получения проекта технических условий от сетевой организации рассматривает заявку и осуществляет согласование проекта технических условий на технологическое присоединение в отношении присоединяемых объектов по производству электрической энергии, установленная генерирующая мощность которых превышает 5 МВт или увеличивается на 5 МВт и выше, а также присоединяемых объектов электросетевого хозяйства, максимальная мощность которых превышает 5 МВт или увеличивается н...">
        <w:r>
          <w:rPr>
            <w:sz w:val="20"/>
            <w:color w:val="0000ff"/>
          </w:rPr>
          <w:t xml:space="preserve">абзацем четвертым пункта 21</w:t>
        </w:r>
      </w:hyperlink>
      <w:r>
        <w:rPr>
          <w:sz w:val="20"/>
        </w:rPr>
        <w:t xml:space="preserve"> настоящих Правил с системным оператором.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history="0" w:anchor="P1842" w:tooltip="41. Сетевая организация обязана подать заявку на технологическое присоединение к сетям смежной сетевой организации в следующих случаях:">
        <w:r>
          <w:rPr>
            <w:sz w:val="20"/>
            <w:color w:val="0000ff"/>
          </w:rPr>
          <w:t xml:space="preserve">пунктами 41</w:t>
        </w:r>
      </w:hyperlink>
      <w:r>
        <w:rPr>
          <w:sz w:val="20"/>
        </w:rPr>
        <w:t xml:space="preserve"> и </w:t>
      </w:r>
      <w:hyperlink w:history="0" w:anchor="P1850" w:tooltip="42. 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к объектам электросетевого хозяйства другой сетевой организации заявка на технологическое присоединение подается в сетевую организацию, электрические сети которой в данной точке присоединения имеют более высокий класс напряжения.">
        <w:r>
          <w:rPr>
            <w:sz w:val="20"/>
            <w:color w:val="0000ff"/>
          </w:rPr>
          <w:t xml:space="preserve">42</w:t>
        </w:r>
      </w:hyperlink>
      <w:r>
        <w:rPr>
          <w:sz w:val="20"/>
        </w:rPr>
        <w:t xml:space="preserve"> настоящих Правил;</w:t>
      </w:r>
    </w:p>
    <w:p>
      <w:pPr>
        <w:pStyle w:val="0"/>
        <w:jc w:val="both"/>
      </w:pPr>
      <w:r>
        <w:rPr>
          <w:sz w:val="20"/>
        </w:rPr>
        <w:t xml:space="preserve">(пп. "б" в ред. </w:t>
      </w:r>
      <w:hyperlink w:history="0" r:id="rId853" w:tooltip="Постановление Правительства РФ от 29.05.2019 N 682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технологического присоединения к электрическим сетям&quot; {КонсультантПлюс}">
        <w:r>
          <w:rPr>
            <w:sz w:val="20"/>
            <w:color w:val="0000ff"/>
          </w:rPr>
          <w:t xml:space="preserve">Постановления</w:t>
        </w:r>
      </w:hyperlink>
      <w:r>
        <w:rPr>
          <w:sz w:val="20"/>
        </w:rPr>
        <w:t xml:space="preserve"> Правительства РФ от 29.05.2019 N 682)</w:t>
      </w:r>
    </w:p>
    <w:bookmarkStart w:id="1504" w:name="P1504"/>
    <w:bookmarkEnd w:id="1504"/>
    <w:p>
      <w:pPr>
        <w:pStyle w:val="0"/>
        <w:spacing w:before="200" w:line-rule="auto"/>
        <w:ind w:firstLine="540"/>
        <w:jc w:val="both"/>
      </w:pPr>
      <w:r>
        <w:rPr>
          <w:sz w:val="20"/>
        </w:rPr>
        <w:t xml:space="preserve">в) требования к устройствам релейной защиты, сетевой, противоаварийной и режимной автоматики, регистрации аварийных событий и процессов, телемеханике, связи, изоляции и защите от перенапряжения, к контролю и поддержанию качества электрической энергии, а также к приборам учета электрической энергии и иному оборудованию, которые необходимы для обеспечения коммерческого учета электрической энергии (мощности).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history="0" w:anchor="P1842" w:tooltip="41. Сетевая организация обязана подать заявку на технологическое присоединение к сетям смежной сетевой организации в следующих случаях:">
        <w:r>
          <w:rPr>
            <w:sz w:val="20"/>
            <w:color w:val="0000ff"/>
          </w:rPr>
          <w:t xml:space="preserve">пунктами 41</w:t>
        </w:r>
      </w:hyperlink>
      <w:r>
        <w:rPr>
          <w:sz w:val="20"/>
        </w:rPr>
        <w:t xml:space="preserve"> и </w:t>
      </w:r>
      <w:hyperlink w:history="0" w:anchor="P1850" w:tooltip="42. 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к объектам электросетевого хозяйства другой сетевой организации заявка на технологическое присоединение подается в сетевую организацию, электрические сети которой в данной точке присоединения имеют более высокий класс напряжения.">
        <w:r>
          <w:rPr>
            <w:sz w:val="20"/>
            <w:color w:val="0000ff"/>
          </w:rPr>
          <w:t xml:space="preserve">42</w:t>
        </w:r>
      </w:hyperlink>
      <w:r>
        <w:rPr>
          <w:sz w:val="20"/>
        </w:rPr>
        <w:t xml:space="preserve"> настоящих Правил;</w:t>
      </w:r>
    </w:p>
    <w:p>
      <w:pPr>
        <w:pStyle w:val="0"/>
        <w:jc w:val="both"/>
      </w:pPr>
      <w:r>
        <w:rPr>
          <w:sz w:val="20"/>
        </w:rPr>
        <w:t xml:space="preserve">(в ред. Постановлений Правительства РФ от 29.05.2019 </w:t>
      </w:r>
      <w:hyperlink w:history="0" r:id="rId854" w:tooltip="Постановление Правительства РФ от 29.05.2019 N 682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технологического присоединения к электрическим сетям&quot; {КонсультантПлюс}">
        <w:r>
          <w:rPr>
            <w:sz w:val="20"/>
            <w:color w:val="0000ff"/>
          </w:rPr>
          <w:t xml:space="preserve">N 682</w:t>
        </w:r>
      </w:hyperlink>
      <w:r>
        <w:rPr>
          <w:sz w:val="20"/>
        </w:rPr>
        <w:t xml:space="preserve">, от 18.04.2020 </w:t>
      </w:r>
      <w:hyperlink w:history="0" r:id="rId855" w:tooltip="Постановление Правительства РФ от 18.04.2020 N 55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554</w:t>
        </w:r>
      </w:hyperlink>
      <w:r>
        <w:rPr>
          <w:sz w:val="20"/>
        </w:rPr>
        <w:t xml:space="preserve">)</w:t>
      </w:r>
    </w:p>
    <w:p>
      <w:pPr>
        <w:pStyle w:val="0"/>
        <w:spacing w:before="200" w:line-rule="auto"/>
        <w:ind w:firstLine="540"/>
        <w:jc w:val="both"/>
      </w:pPr>
      <w:r>
        <w:rPr>
          <w:sz w:val="20"/>
        </w:rPr>
        <w:t xml:space="preserve">г) требования по подключению энергопринимающих устройств под действие устройств сетевой, противоаварийной и режимной автоматики, требования к мощности энергопринимающих устройств, подключаемой под действие устройств сетевой, противоаварийной и режимной автоматики.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history="0" w:anchor="P1842" w:tooltip="41. Сетевая организация обязана подать заявку на технологическое присоединение к сетям смежной сетевой организации в следующих случаях:">
        <w:r>
          <w:rPr>
            <w:sz w:val="20"/>
            <w:color w:val="0000ff"/>
          </w:rPr>
          <w:t xml:space="preserve">пунктами 41</w:t>
        </w:r>
      </w:hyperlink>
      <w:r>
        <w:rPr>
          <w:sz w:val="20"/>
        </w:rPr>
        <w:t xml:space="preserve"> и </w:t>
      </w:r>
      <w:hyperlink w:history="0" w:anchor="P1850" w:tooltip="42. 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к объектам электросетевого хозяйства другой сетевой организации заявка на технологическое присоединение подается в сетевую организацию, электрические сети которой в данной точке присоединения имеют более высокий класс напряжения.">
        <w:r>
          <w:rPr>
            <w:sz w:val="20"/>
            <w:color w:val="0000ff"/>
          </w:rPr>
          <w:t xml:space="preserve">42</w:t>
        </w:r>
      </w:hyperlink>
      <w:r>
        <w:rPr>
          <w:sz w:val="20"/>
        </w:rPr>
        <w:t xml:space="preserve"> настоящих Правил;</w:t>
      </w:r>
    </w:p>
    <w:p>
      <w:pPr>
        <w:pStyle w:val="0"/>
        <w:jc w:val="both"/>
      </w:pPr>
      <w:r>
        <w:rPr>
          <w:sz w:val="20"/>
        </w:rPr>
        <w:t xml:space="preserve">(пп. "г" в ред. </w:t>
      </w:r>
      <w:hyperlink w:history="0" r:id="rId856" w:tooltip="Постановление Правительства РФ от 29.05.2019 N 682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технологического присоединения к электрическим сетям&quot; {КонсультантПлюс}">
        <w:r>
          <w:rPr>
            <w:sz w:val="20"/>
            <w:color w:val="0000ff"/>
          </w:rPr>
          <w:t xml:space="preserve">Постановления</w:t>
        </w:r>
      </w:hyperlink>
      <w:r>
        <w:rPr>
          <w:sz w:val="20"/>
        </w:rPr>
        <w:t xml:space="preserve"> Правительства РФ от 29.05.2019 N 682)</w:t>
      </w:r>
    </w:p>
    <w:bookmarkStart w:id="1508" w:name="P1508"/>
    <w:bookmarkEnd w:id="1508"/>
    <w:p>
      <w:pPr>
        <w:pStyle w:val="0"/>
        <w:spacing w:before="200" w:line-rule="auto"/>
        <w:ind w:firstLine="540"/>
        <w:jc w:val="both"/>
      </w:pPr>
      <w:r>
        <w:rPr>
          <w:sz w:val="20"/>
        </w:rPr>
        <w:t xml:space="preserve">д) требования к оснащению энергопринимающих устройств устройствами релейной защиты, сетевой, противоаварийной и режимной автоматики, регистрации аварийных событий и процессов, размещению устройств, обеспечивающих дистанционный ввод графиков временного отключения потребления в соответствии с требованиями соответствующего субъекта оперативно-диспетчерского управления.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history="0" w:anchor="P1842" w:tooltip="41. Сетевая организация обязана подать заявку на технологическое присоединение к сетям смежной сетевой организации в следующих случаях:">
        <w:r>
          <w:rPr>
            <w:sz w:val="20"/>
            <w:color w:val="0000ff"/>
          </w:rPr>
          <w:t xml:space="preserve">пунктами 41</w:t>
        </w:r>
      </w:hyperlink>
      <w:r>
        <w:rPr>
          <w:sz w:val="20"/>
        </w:rPr>
        <w:t xml:space="preserve"> и </w:t>
      </w:r>
      <w:hyperlink w:history="0" w:anchor="P1850" w:tooltip="42. 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к объектам электросетевого хозяйства другой сетевой организации заявка на технологическое присоединение подается в сетевую организацию, электрические сети которой в данной точке присоединения имеют более высокий класс напряжения.">
        <w:r>
          <w:rPr>
            <w:sz w:val="20"/>
            <w:color w:val="0000ff"/>
          </w:rPr>
          <w:t xml:space="preserve">42</w:t>
        </w:r>
      </w:hyperlink>
      <w:r>
        <w:rPr>
          <w:sz w:val="20"/>
        </w:rPr>
        <w:t xml:space="preserve"> настоящих Правил;</w:t>
      </w:r>
    </w:p>
    <w:p>
      <w:pPr>
        <w:pStyle w:val="0"/>
        <w:jc w:val="both"/>
      </w:pPr>
      <w:r>
        <w:rPr>
          <w:sz w:val="20"/>
        </w:rPr>
        <w:t xml:space="preserve">(пп. "д" в ред. </w:t>
      </w:r>
      <w:hyperlink w:history="0" r:id="rId857" w:tooltip="Постановление Правительства РФ от 29.05.2019 N 682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технологического присоединения к электрическим сетям&quot; {КонсультантПлюс}">
        <w:r>
          <w:rPr>
            <w:sz w:val="20"/>
            <w:color w:val="0000ff"/>
          </w:rPr>
          <w:t xml:space="preserve">Постановления</w:t>
        </w:r>
      </w:hyperlink>
      <w:r>
        <w:rPr>
          <w:sz w:val="20"/>
        </w:rPr>
        <w:t xml:space="preserve"> Правительства РФ от 29.05.2019 N 682)</w:t>
      </w:r>
    </w:p>
    <w:p>
      <w:pPr>
        <w:pStyle w:val="0"/>
        <w:spacing w:before="200" w:line-rule="auto"/>
        <w:ind w:firstLine="540"/>
        <w:jc w:val="both"/>
      </w:pPr>
      <w:r>
        <w:rPr>
          <w:sz w:val="20"/>
        </w:rPr>
        <w:t xml:space="preserve">е) требования по установке автономного резервного источника питания в случаях присоединения энергопринимающих устройств по особой категории первой категории надежности, а также в случае временного технологического присоединения, если для его осуществления необходима установка таких источников в соответствии с </w:t>
      </w:r>
      <w:hyperlink w:history="0" w:anchor="P1878" w:tooltip="53. При временном технологическом присоединении заявителем самостоятельно обеспечивается проведение мероприятий по возведению новых 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 При этом сетевая организация обязана обеспечить техническую подготовку соответствующих объектов электросетевого хозяйства для временного технологического присоединения.">
        <w:r>
          <w:rPr>
            <w:sz w:val="20"/>
            <w:color w:val="0000ff"/>
          </w:rPr>
          <w:t xml:space="preserve">пунктом 53</w:t>
        </w:r>
      </w:hyperlink>
      <w:r>
        <w:rPr>
          <w:sz w:val="20"/>
        </w:rPr>
        <w:t xml:space="preserve"> настоящих Правил, и (или) в случае наличия энергопринимающих устройств аварийной брони;</w:t>
      </w:r>
    </w:p>
    <w:p>
      <w:pPr>
        <w:pStyle w:val="0"/>
        <w:jc w:val="both"/>
      </w:pPr>
      <w:r>
        <w:rPr>
          <w:sz w:val="20"/>
        </w:rPr>
        <w:t xml:space="preserve">(в ред. Постановлений Правительства РФ от 26.08.2013 </w:t>
      </w:r>
      <w:hyperlink w:history="0" r:id="rId858" w:tooltip="Постановление Правительства РФ от 26.08.2013 N 737 (ред. от 10.03.2020) &quot;О внесении изменений в некоторые акты Правительства Российской Федерации по вопросу осуществления временного технологического присоединения к электрическим сетям&quot; {КонсультантПлюс}">
        <w:r>
          <w:rPr>
            <w:sz w:val="20"/>
            <w:color w:val="0000ff"/>
          </w:rPr>
          <w:t xml:space="preserve">N 737</w:t>
        </w:r>
      </w:hyperlink>
      <w:r>
        <w:rPr>
          <w:sz w:val="20"/>
        </w:rPr>
        <w:t xml:space="preserve">, от 07.07.2015 </w:t>
      </w:r>
      <w:hyperlink w:history="0" r:id="rId859" w:tooltip="Постановление Правительства РФ от 07.07.2015 N 679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679</w:t>
        </w:r>
      </w:hyperlink>
      <w:r>
        <w:rPr>
          <w:sz w:val="20"/>
        </w:rPr>
        <w:t xml:space="preserve">, от 17.09.2018 </w:t>
      </w:r>
      <w:hyperlink w:history="0" r:id="rId860" w:tooltip="Постановление Правительства РФ от 17.09.2018 N 1096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sz w:val="20"/>
            <w:color w:val="0000ff"/>
          </w:rPr>
          <w:t xml:space="preserve">N 1096</w:t>
        </w:r>
      </w:hyperlink>
      <w:r>
        <w:rPr>
          <w:sz w:val="20"/>
        </w:rPr>
        <w:t xml:space="preserve">)</w:t>
      </w:r>
    </w:p>
    <w:bookmarkStart w:id="1512" w:name="P1512"/>
    <w:bookmarkEnd w:id="1512"/>
    <w:p>
      <w:pPr>
        <w:pStyle w:val="0"/>
        <w:spacing w:before="200" w:line-rule="auto"/>
        <w:ind w:firstLine="540"/>
        <w:jc w:val="both"/>
      </w:pPr>
      <w:r>
        <w:rPr>
          <w:sz w:val="20"/>
        </w:rPr>
        <w:t xml:space="preserve">ж) требования к параметрам работы и характеристикам линий электропередачи, оборудования и устройств объектов электроэнергетики, обеспечивающим функционирование объектов заявителя в составе энергосистемы и их участие в режимном и противоаварийном управлении в соответствии с </w:t>
      </w:r>
      <w:hyperlink w:history="0" r:id="rId861"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Правилами</w:t>
        </w:r>
      </w:hyperlink>
      <w:r>
        <w:rPr>
          <w:sz w:val="20"/>
        </w:rPr>
        <w:t xml:space="preserve"> технологического функционирования электроэнергетических систем и иными обязательными требованиями, установленными нормативными правовыми актами Российской Федерации, регулирующими отношения в сфере электроэнергетики.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history="0" w:anchor="P1842" w:tooltip="41. Сетевая организация обязана подать заявку на технологическое присоединение к сетям смежной сетевой организации в следующих случаях:">
        <w:r>
          <w:rPr>
            <w:sz w:val="20"/>
            <w:color w:val="0000ff"/>
          </w:rPr>
          <w:t xml:space="preserve">пунктами 41</w:t>
        </w:r>
      </w:hyperlink>
      <w:r>
        <w:rPr>
          <w:sz w:val="20"/>
        </w:rPr>
        <w:t xml:space="preserve"> и </w:t>
      </w:r>
      <w:hyperlink w:history="0" w:anchor="P1850" w:tooltip="42. 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к объектам электросетевого хозяйства другой сетевой организации заявка на технологическое присоединение подается в сетевую организацию, электрические сети которой в данной точке присоединения имеют более высокий класс напряжения.">
        <w:r>
          <w:rPr>
            <w:sz w:val="20"/>
            <w:color w:val="0000ff"/>
          </w:rPr>
          <w:t xml:space="preserve">42</w:t>
        </w:r>
      </w:hyperlink>
      <w:r>
        <w:rPr>
          <w:sz w:val="20"/>
        </w:rPr>
        <w:t xml:space="preserve"> настоящих Правил;</w:t>
      </w:r>
    </w:p>
    <w:p>
      <w:pPr>
        <w:pStyle w:val="0"/>
        <w:jc w:val="both"/>
      </w:pPr>
      <w:r>
        <w:rPr>
          <w:sz w:val="20"/>
        </w:rPr>
        <w:t xml:space="preserve">(пп. "ж" в ред. </w:t>
      </w:r>
      <w:hyperlink w:history="0" r:id="rId862" w:tooltip="Постановление Правительства РФ от 29.05.2019 N 682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технологического присоединения к электрическим сетям&quot; {КонсультантПлюс}">
        <w:r>
          <w:rPr>
            <w:sz w:val="20"/>
            <w:color w:val="0000ff"/>
          </w:rPr>
          <w:t xml:space="preserve">Постановления</w:t>
        </w:r>
      </w:hyperlink>
      <w:r>
        <w:rPr>
          <w:sz w:val="20"/>
        </w:rPr>
        <w:t xml:space="preserve"> Правительства РФ от 29.05.2019 N 682)</w:t>
      </w:r>
    </w:p>
    <w:bookmarkStart w:id="1514" w:name="P1514"/>
    <w:bookmarkEnd w:id="1514"/>
    <w:p>
      <w:pPr>
        <w:pStyle w:val="0"/>
        <w:spacing w:before="200" w:line-rule="auto"/>
        <w:ind w:firstLine="540"/>
        <w:jc w:val="both"/>
      </w:pPr>
      <w:r>
        <w:rPr>
          <w:sz w:val="20"/>
        </w:rPr>
        <w:t xml:space="preserve">з) требования о реализации мероприятий по обеспечению возможности вывода из эксплуатации объекта по производству электрической энергии (мощности) заявителя, присоединенного к электрическим сетям этой сетевой организации, в целях замещения его другим объектом по производству электрической энергии (мощности) заявителя, технологическое присоединение которого к электрическим сетям той же сетевой организации осуществляется в соответствии с указанными техническими условиями, обеспечивающие исключение наступления в результате такого вывода негативных последствий, предусмотренных </w:t>
      </w:r>
      <w:hyperlink w:history="0" r:id="rId863"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пунктами 33</w:t>
        </w:r>
      </w:hyperlink>
      <w:r>
        <w:rPr>
          <w:sz w:val="20"/>
        </w:rPr>
        <w:t xml:space="preserve"> и </w:t>
      </w:r>
      <w:hyperlink w:history="0" r:id="rId864"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56</w:t>
        </w:r>
      </w:hyperlink>
      <w:r>
        <w:rPr>
          <w:sz w:val="20"/>
        </w:rPr>
        <w:t xml:space="preserve"> Правил вывода объектов электроэнергетики в ремонт и из эксплуатации.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history="0" w:anchor="P1842" w:tooltip="41. Сетевая организация обязана подать заявку на технологическое присоединение к сетям смежной сетевой организации в следующих случаях:">
        <w:r>
          <w:rPr>
            <w:sz w:val="20"/>
            <w:color w:val="0000ff"/>
          </w:rPr>
          <w:t xml:space="preserve">пунктами 41</w:t>
        </w:r>
      </w:hyperlink>
      <w:r>
        <w:rPr>
          <w:sz w:val="20"/>
        </w:rPr>
        <w:t xml:space="preserve"> и </w:t>
      </w:r>
      <w:hyperlink w:history="0" w:anchor="P1850" w:tooltip="42. 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к объектам электросетевого хозяйства другой сетевой организации заявка на технологическое присоединение подается в сетевую организацию, электрические сети которой в данной точке присоединения имеют более высокий класс напряжения.">
        <w:r>
          <w:rPr>
            <w:sz w:val="20"/>
            <w:color w:val="0000ff"/>
          </w:rPr>
          <w:t xml:space="preserve">42</w:t>
        </w:r>
      </w:hyperlink>
      <w:r>
        <w:rPr>
          <w:sz w:val="20"/>
        </w:rPr>
        <w:t xml:space="preserve"> настоящих Правил.</w:t>
      </w:r>
    </w:p>
    <w:p>
      <w:pPr>
        <w:pStyle w:val="0"/>
        <w:jc w:val="both"/>
      </w:pPr>
      <w:r>
        <w:rPr>
          <w:sz w:val="20"/>
        </w:rPr>
        <w:t xml:space="preserve">(пп. "з" введен </w:t>
      </w:r>
      <w:hyperlink w:history="0" r:id="rId865"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Постановлением</w:t>
        </w:r>
      </w:hyperlink>
      <w:r>
        <w:rPr>
          <w:sz w:val="20"/>
        </w:rPr>
        <w:t xml:space="preserve"> Правительства РФ от 30.01.2021 N 86)</w:t>
      </w:r>
    </w:p>
    <w:p>
      <w:pPr>
        <w:pStyle w:val="0"/>
        <w:spacing w:before="200" w:line-rule="auto"/>
        <w:ind w:firstLine="540"/>
        <w:jc w:val="both"/>
      </w:pPr>
      <w:r>
        <w:rPr>
          <w:sz w:val="20"/>
        </w:rPr>
        <w:t xml:space="preserve">В технических условиях для заявителей, указанных в </w:t>
      </w:r>
      <w:hyperlink w:history="0" w:anchor="P1157" w:tooltip="13(6).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свыше 150 кВт (с учетом ранее присоединенных в данной точке присоединения энергопринимающих устройств), и объектов микрогенерации, должны быть указаны:">
        <w:r>
          <w:rPr>
            <w:sz w:val="20"/>
            <w:color w:val="0000ff"/>
          </w:rPr>
          <w:t xml:space="preserve">пункте 13(6)</w:t>
        </w:r>
      </w:hyperlink>
      <w:r>
        <w:rPr>
          <w:sz w:val="20"/>
        </w:rPr>
        <w:t xml:space="preserve"> настоящих Правил, кроме сведений, указанных в </w:t>
      </w:r>
      <w:hyperlink w:history="0" w:anchor="P1497" w:tooltip="а) схемы выдачи или приема мощности и точки присоединения (вводные распределительные устройства, линии электропередачи, базовые подстанции, генераторы);">
        <w:r>
          <w:rPr>
            <w:sz w:val="20"/>
            <w:color w:val="0000ff"/>
          </w:rPr>
          <w:t xml:space="preserve">подпунктах "а"</w:t>
        </w:r>
      </w:hyperlink>
      <w:r>
        <w:rPr>
          <w:sz w:val="20"/>
        </w:rPr>
        <w:t xml:space="preserve"> - </w:t>
      </w:r>
      <w:hyperlink w:history="0" w:anchor="P1512" w:tooltip="ж) требования к параметрам работы и характеристикам линий электропередачи, оборудования и устройств объектов электроэнергетики, обеспечивающим функционирование объектов заявителя в составе энергосистемы и их участие в режимном и противоаварийном управлении в соответствии с Правилами технологического функционирования электроэнергетических систем и иными обязательными требованиями, установленными нормативными правовыми актами Российской Федерации, регулирующими отношения в сфере электроэнергетики. В целях ...">
        <w:r>
          <w:rPr>
            <w:sz w:val="20"/>
            <w:color w:val="0000ff"/>
          </w:rPr>
          <w:t xml:space="preserve">"ж"</w:t>
        </w:r>
      </w:hyperlink>
      <w:r>
        <w:rPr>
          <w:sz w:val="20"/>
        </w:rPr>
        <w:t xml:space="preserve"> настоящего пункта дополнительно указываются:</w:t>
      </w:r>
    </w:p>
    <w:p>
      <w:pPr>
        <w:pStyle w:val="0"/>
        <w:jc w:val="both"/>
      </w:pPr>
      <w:r>
        <w:rPr>
          <w:sz w:val="20"/>
        </w:rPr>
        <w:t xml:space="preserve">(абзац введен </w:t>
      </w:r>
      <w:hyperlink w:history="0" r:id="rId866"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Постановлением</w:t>
        </w:r>
      </w:hyperlink>
      <w:r>
        <w:rPr>
          <w:sz w:val="20"/>
        </w:rPr>
        <w:t xml:space="preserve"> Правительства РФ от 02.03.2021 N 299)</w:t>
      </w:r>
    </w:p>
    <w:p>
      <w:pPr>
        <w:pStyle w:val="0"/>
        <w:spacing w:before="200" w:line-rule="auto"/>
        <w:ind w:firstLine="540"/>
        <w:jc w:val="both"/>
      </w:pPr>
      <w:r>
        <w:rPr>
          <w:sz w:val="20"/>
        </w:rPr>
        <w:t xml:space="preserve">максимальная мощность объектов микрогенерации в соответствии с заявкой и ее распределение по каждой точке присоединения к объектам электросетевого хозяйства;</w:t>
      </w:r>
    </w:p>
    <w:p>
      <w:pPr>
        <w:pStyle w:val="0"/>
        <w:jc w:val="both"/>
      </w:pPr>
      <w:r>
        <w:rPr>
          <w:sz w:val="20"/>
        </w:rPr>
        <w:t xml:space="preserve">(абзац введен </w:t>
      </w:r>
      <w:hyperlink w:history="0" r:id="rId867"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Постановлением</w:t>
        </w:r>
      </w:hyperlink>
      <w:r>
        <w:rPr>
          <w:sz w:val="20"/>
        </w:rPr>
        <w:t xml:space="preserve"> Правительства РФ от 02.03.2021 N 299)</w:t>
      </w:r>
    </w:p>
    <w:p>
      <w:pPr>
        <w:pStyle w:val="0"/>
        <w:spacing w:before="200" w:line-rule="auto"/>
        <w:ind w:firstLine="540"/>
        <w:jc w:val="both"/>
      </w:pPr>
      <w:r>
        <w:rPr>
          <w:sz w:val="20"/>
        </w:rPr>
        <w:t xml:space="preserve">требования по обеспечению технического ограничения выдачи электрической энергии в сеть с максимальной мощностью, не превышающей величину максимальной мощности энергопринимающих устройств потребителя электрической энергии, которому принадлежат на праве собственности или на ином законном основании объекты микрогенерации, и составляющей не более 15 кВт, установке устройств регулирования напряжения для обеспечения надежности и качества электрической энергии, требования по обеспечению возможности дистанционного отключения объектов микрогенерации, обязательные для исполнения сетевой организацией за счет ее средств.</w:t>
      </w:r>
    </w:p>
    <w:p>
      <w:pPr>
        <w:pStyle w:val="0"/>
        <w:jc w:val="both"/>
      </w:pPr>
      <w:r>
        <w:rPr>
          <w:sz w:val="20"/>
        </w:rPr>
        <w:t xml:space="preserve">(абзац введен </w:t>
      </w:r>
      <w:hyperlink w:history="0" r:id="rId868"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Постановлением</w:t>
        </w:r>
      </w:hyperlink>
      <w:r>
        <w:rPr>
          <w:sz w:val="20"/>
        </w:rPr>
        <w:t xml:space="preserve"> Правительства РФ от 02.03.2021 N 299)</w:t>
      </w:r>
    </w:p>
    <w:p>
      <w:pPr>
        <w:pStyle w:val="0"/>
        <w:spacing w:before="200" w:line-rule="auto"/>
        <w:ind w:firstLine="540"/>
        <w:jc w:val="both"/>
      </w:pPr>
      <w:r>
        <w:rPr>
          <w:sz w:val="20"/>
        </w:rPr>
        <w:t xml:space="preserve">Для заявителей, указанных в </w:t>
      </w:r>
      <w:hyperlink w:history="0" w:anchor="P1157" w:tooltip="13(6).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свыше 150 кВт (с учетом ранее присоединенных в данной точке присоединения энергопринимающих устройств), и объектов микрогенерации, должны быть указаны:">
        <w:r>
          <w:rPr>
            <w:sz w:val="20"/>
            <w:color w:val="0000ff"/>
          </w:rPr>
          <w:t xml:space="preserve">пункте 13(6)</w:t>
        </w:r>
      </w:hyperlink>
      <w:r>
        <w:rPr>
          <w:sz w:val="20"/>
        </w:rPr>
        <w:t xml:space="preserve"> настоящих Правил, требования, указанные в </w:t>
      </w:r>
      <w:hyperlink w:history="0" w:anchor="P1502" w:tooltip="б) обоснованные требования к усилению существующей электрической сети сетевых организаций, а также смежных сетевых организаций в связи с присоединением новых м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установка устройств регулирования напряжения для обеспечения надежности и качества электроснабжения), а также обоснованные требования к строительству (реконст...">
        <w:r>
          <w:rPr>
            <w:sz w:val="20"/>
            <w:color w:val="0000ff"/>
          </w:rPr>
          <w:t xml:space="preserve">подпункте "б"</w:t>
        </w:r>
      </w:hyperlink>
      <w:r>
        <w:rPr>
          <w:sz w:val="20"/>
        </w:rPr>
        <w:t xml:space="preserve"> настоящего пункта, должны обеспечивать потребление электрической энергии присоединяемыми энергопринимающими устройствами без учета выработки электрической энергии объектами микрогенерации.</w:t>
      </w:r>
    </w:p>
    <w:p>
      <w:pPr>
        <w:pStyle w:val="0"/>
        <w:jc w:val="both"/>
      </w:pPr>
      <w:r>
        <w:rPr>
          <w:sz w:val="20"/>
        </w:rPr>
        <w:t xml:space="preserve">(абзац введен </w:t>
      </w:r>
      <w:hyperlink w:history="0" r:id="rId869"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Постановлением</w:t>
        </w:r>
      </w:hyperlink>
      <w:r>
        <w:rPr>
          <w:sz w:val="20"/>
        </w:rPr>
        <w:t xml:space="preserve"> Правительства РФ от 02.03.2021 N 299)</w:t>
      </w:r>
    </w:p>
    <w:bookmarkStart w:id="1524" w:name="P1524"/>
    <w:bookmarkEnd w:id="1524"/>
    <w:p>
      <w:pPr>
        <w:pStyle w:val="0"/>
        <w:spacing w:before="200" w:line-rule="auto"/>
        <w:ind w:firstLine="540"/>
        <w:jc w:val="both"/>
      </w:pPr>
      <w:r>
        <w:rPr>
          <w:sz w:val="20"/>
        </w:rPr>
        <w:t xml:space="preserve">25(1). В технических условиях для заявителей, предусмотренных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пунктами 12.1</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должны быть указаны:</w:t>
      </w:r>
    </w:p>
    <w:p>
      <w:pPr>
        <w:pStyle w:val="0"/>
        <w:spacing w:before="200" w:line-rule="auto"/>
        <w:ind w:firstLine="540"/>
        <w:jc w:val="both"/>
      </w:pPr>
      <w:r>
        <w:rPr>
          <w:sz w:val="20"/>
        </w:rPr>
        <w:t xml:space="preserve">а) точки присоединения, которые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 При этом определение точки присоединения вне границ участка, на котором располагаются (будут располагаться) присоединяемые объекты заявителя, возможно исключительно в случае, когда такое расположение точки присоединения не налагает на заявителя обязанности по урегулированию отношений с иными лицами, включая сетевые организации, в том числе по оформлению земельно-имущественных отношений в соответствии с законодательством Российской Федерации;</w:t>
      </w:r>
    </w:p>
    <w:p>
      <w:pPr>
        <w:pStyle w:val="0"/>
        <w:jc w:val="both"/>
      </w:pPr>
      <w:r>
        <w:rPr>
          <w:sz w:val="20"/>
        </w:rPr>
        <w:t xml:space="preserve">(в ред. Постановлений Правительства РФ от 01.04.2020 </w:t>
      </w:r>
      <w:hyperlink w:history="0" r:id="rId870"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N 403</w:t>
        </w:r>
      </w:hyperlink>
      <w:r>
        <w:rPr>
          <w:sz w:val="20"/>
        </w:rPr>
        <w:t xml:space="preserve">, от 30.06.2022 </w:t>
      </w:r>
      <w:hyperlink w:history="0" r:id="rId871"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1178</w:t>
        </w:r>
      </w:hyperlink>
      <w:r>
        <w:rPr>
          <w:sz w:val="20"/>
        </w:rPr>
        <w:t xml:space="preserve">)</w:t>
      </w:r>
    </w:p>
    <w:p>
      <w:pPr>
        <w:pStyle w:val="0"/>
        <w:spacing w:before="200" w:line-rule="auto"/>
        <w:ind w:firstLine="540"/>
        <w:jc w:val="both"/>
      </w:pPr>
      <w:r>
        <w:rPr>
          <w:sz w:val="20"/>
        </w:rPr>
        <w:t xml:space="preserve">а(1)) максимальная мощность в соответствии с заявкой и ее распределение по каждой точке присоединения к объектам электросетевого хозяйства;</w:t>
      </w:r>
    </w:p>
    <w:p>
      <w:pPr>
        <w:pStyle w:val="0"/>
        <w:jc w:val="both"/>
      </w:pPr>
      <w:r>
        <w:rPr>
          <w:sz w:val="20"/>
        </w:rPr>
        <w:t xml:space="preserve">(пп. "а(1)" введен </w:t>
      </w:r>
      <w:hyperlink w:history="0" r:id="rId872"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Постановлением</w:t>
        </w:r>
      </w:hyperlink>
      <w:r>
        <w:rPr>
          <w:sz w:val="20"/>
        </w:rPr>
        <w:t xml:space="preserve"> Правительства РФ от 04.05.2012 N 442)</w:t>
      </w:r>
    </w:p>
    <w:p>
      <w:pPr>
        <w:pStyle w:val="0"/>
        <w:spacing w:before="200" w:line-rule="auto"/>
        <w:ind w:firstLine="540"/>
        <w:jc w:val="both"/>
      </w:pPr>
      <w:r>
        <w:rPr>
          <w:sz w:val="20"/>
        </w:rPr>
        <w:t xml:space="preserve">б) обоснованные требования к усилению существующей электрической сети в связи с присоединением новых мощностей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электросетевого хозяйства, установка устройств регулирования напряжения для обеспечения надежности и качества электрической энергии), обязательные для исполнения сетевой организацией за счет ее средств;</w:t>
      </w:r>
    </w:p>
    <w:p>
      <w:pPr>
        <w:pStyle w:val="0"/>
        <w:spacing w:before="200" w:line-rule="auto"/>
        <w:ind w:firstLine="540"/>
        <w:jc w:val="both"/>
      </w:pPr>
      <w:r>
        <w:rPr>
          <w:sz w:val="20"/>
        </w:rPr>
        <w:t xml:space="preserve">в) требования к приборам учета электрической энергии (мощности) и иному оборудованию, которые необходимы для обеспечения коммерческого учета электрической энергии (мощности), устройствам релейной защиты и устройствам, обеспечивающим контроль величины максимальной мощности;</w:t>
      </w:r>
    </w:p>
    <w:p>
      <w:pPr>
        <w:pStyle w:val="0"/>
        <w:jc w:val="both"/>
      </w:pPr>
      <w:r>
        <w:rPr>
          <w:sz w:val="20"/>
        </w:rPr>
        <w:t xml:space="preserve">(в ред. </w:t>
      </w:r>
      <w:hyperlink w:history="0" r:id="rId873" w:tooltip="Постановление Правительства РФ от 18.04.2020 N 55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18.04.2020 N 554)</w:t>
      </w:r>
    </w:p>
    <w:p>
      <w:pPr>
        <w:pStyle w:val="0"/>
        <w:spacing w:before="200" w:line-rule="auto"/>
        <w:ind w:firstLine="540"/>
        <w:jc w:val="both"/>
      </w:pPr>
      <w:r>
        <w:rPr>
          <w:sz w:val="20"/>
        </w:rPr>
        <w:t xml:space="preserve">г) распределение обязанностей между сторонами по исполнению технических условий (выполнению каждой из сторон мероприятий по технологическому присоединению до точки присоединения, при этом урегулирование отношений с иными лицами осуществляется сетевой организацией).</w:t>
      </w:r>
    </w:p>
    <w:p>
      <w:pPr>
        <w:pStyle w:val="0"/>
        <w:jc w:val="both"/>
      </w:pPr>
      <w:r>
        <w:rPr>
          <w:sz w:val="20"/>
        </w:rPr>
        <w:t xml:space="preserve">(пп. "г" в ред. </w:t>
      </w:r>
      <w:hyperlink w:history="0" r:id="rId874"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Постановления</w:t>
        </w:r>
      </w:hyperlink>
      <w:r>
        <w:rPr>
          <w:sz w:val="20"/>
        </w:rPr>
        <w:t xml:space="preserve"> Правительства РФ от 01.04.2020 N 403)</w:t>
      </w:r>
    </w:p>
    <w:p>
      <w:pPr>
        <w:pStyle w:val="0"/>
        <w:jc w:val="both"/>
      </w:pPr>
      <w:r>
        <w:rPr>
          <w:sz w:val="20"/>
        </w:rPr>
        <w:t xml:space="preserve">(п. 25(1) введен </w:t>
      </w:r>
      <w:hyperlink w:history="0" r:id="rId875"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антПлюс}">
        <w:r>
          <w:rPr>
            <w:sz w:val="20"/>
            <w:color w:val="0000ff"/>
          </w:rPr>
          <w:t xml:space="preserve">Постановлением</w:t>
        </w:r>
      </w:hyperlink>
      <w:r>
        <w:rPr>
          <w:sz w:val="20"/>
        </w:rPr>
        <w:t xml:space="preserve"> Правительства РФ от 21.04.2009 N 334)</w:t>
      </w:r>
    </w:p>
    <w:p>
      <w:pPr>
        <w:pStyle w:val="0"/>
        <w:spacing w:before="200" w:line-rule="auto"/>
        <w:ind w:firstLine="540"/>
        <w:jc w:val="both"/>
      </w:pPr>
      <w:r>
        <w:rPr>
          <w:sz w:val="20"/>
        </w:rPr>
        <w:t xml:space="preserve">25(2). В случае технологического присоединения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сетевой организацией при разработке технических условий должна предусматриваться возможность введения ограничения режима потребления заявителя в предусмотренных законодательством Российской Федерации случаях при обеспечении поставки электрической энергии другим потребителям без ограничения режима их потребления.</w:t>
      </w:r>
    </w:p>
    <w:p>
      <w:pPr>
        <w:pStyle w:val="0"/>
        <w:jc w:val="both"/>
      </w:pPr>
      <w:r>
        <w:rPr>
          <w:sz w:val="20"/>
        </w:rPr>
        <w:t xml:space="preserve">(п. 25(2) в ред. </w:t>
      </w:r>
      <w:hyperlink w:history="0" r:id="rId876"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21.12.2018 N 1622)</w:t>
      </w:r>
    </w:p>
    <w:p>
      <w:pPr>
        <w:pStyle w:val="0"/>
        <w:spacing w:before="200" w:line-rule="auto"/>
        <w:ind w:firstLine="540"/>
        <w:jc w:val="both"/>
      </w:pPr>
      <w:r>
        <w:rPr>
          <w:sz w:val="20"/>
        </w:rPr>
        <w:t xml:space="preserve">25(3). Определение требований, включаемых в технические условия на технологическое присоединение, и разработка заявителем (за исключением заявителей,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098" w:tooltip="12(2). Предусмотренные пунктом 12(1) настоящих Правил заявители, за исключением заявителей, соответствующих критериям, указанным в абзаце двадцать шестом пункта 17 настоящих Правил, при желании воспользоваться рассрочкой платежа за технологическое присоединение указывают об этом в направляемой ими заявке.">
        <w:r>
          <w:rPr>
            <w:sz w:val="20"/>
            <w:color w:val="0000ff"/>
          </w:rPr>
          <w:t xml:space="preserve">12(2)</w:t>
        </w:r>
      </w:hyperlink>
      <w:r>
        <w:rPr>
          <w:sz w:val="20"/>
        </w:rPr>
        <w:t xml:space="preserve">,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и сетевой организацией проектной документации в рамках выполнения мероприятий по технологическому присоединению должны осуществляться с соблюдением требований, установленных </w:t>
      </w:r>
      <w:hyperlink w:history="0" r:id="rId877"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Правилами</w:t>
        </w:r>
      </w:hyperlink>
      <w:r>
        <w:rPr>
          <w:sz w:val="20"/>
        </w:rPr>
        <w:t xml:space="preserve"> технологического функционирования электроэнергетических систем.</w:t>
      </w:r>
    </w:p>
    <w:p>
      <w:pPr>
        <w:pStyle w:val="0"/>
        <w:jc w:val="both"/>
      </w:pPr>
      <w:r>
        <w:rPr>
          <w:sz w:val="20"/>
        </w:rPr>
        <w:t xml:space="preserve">(п. 25(3) введен </w:t>
      </w:r>
      <w:hyperlink w:history="0" r:id="rId878"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13.08.2018 N 937; в ред. </w:t>
      </w:r>
      <w:hyperlink w:history="0" r:id="rId879"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Постановления</w:t>
        </w:r>
      </w:hyperlink>
      <w:r>
        <w:rPr>
          <w:sz w:val="20"/>
        </w:rPr>
        <w:t xml:space="preserve"> Правительства РФ от 02.03.2021 N 299)</w:t>
      </w:r>
    </w:p>
    <w:p>
      <w:pPr>
        <w:pStyle w:val="0"/>
        <w:spacing w:before="200" w:line-rule="auto"/>
        <w:ind w:firstLine="540"/>
        <w:jc w:val="both"/>
      </w:pPr>
      <w:r>
        <w:rPr>
          <w:sz w:val="20"/>
        </w:rPr>
        <w:t xml:space="preserve">25(4). В технических условиях для заявителей - сетевых организаций, которые подают заявки в соответствии с </w:t>
      </w:r>
      <w:hyperlink w:history="0" w:anchor="P1111" w:tooltip="13(1). В заявке, направляемой сетевой организацией в смежную сетевую организацию в соответствии с пунктами 41 и 42 настоящих Правил, должны быть указаны:">
        <w:r>
          <w:rPr>
            <w:sz w:val="20"/>
            <w:color w:val="0000ff"/>
          </w:rPr>
          <w:t xml:space="preserve">пунктом 13(1)</w:t>
        </w:r>
      </w:hyperlink>
      <w:r>
        <w:rPr>
          <w:sz w:val="20"/>
        </w:rPr>
        <w:t xml:space="preserve"> настоящих Правил, должны быть указаны:</w:t>
      </w:r>
    </w:p>
    <w:bookmarkStart w:id="1540" w:name="P1540"/>
    <w:bookmarkEnd w:id="1540"/>
    <w:p>
      <w:pPr>
        <w:pStyle w:val="0"/>
        <w:spacing w:before="200" w:line-rule="auto"/>
        <w:ind w:firstLine="540"/>
        <w:jc w:val="both"/>
      </w:pPr>
      <w:r>
        <w:rPr>
          <w:sz w:val="20"/>
        </w:rPr>
        <w:t xml:space="preserve">схемы выдачи или приема мощности и точки присоединения;</w:t>
      </w:r>
    </w:p>
    <w:bookmarkStart w:id="1541" w:name="P1541"/>
    <w:bookmarkEnd w:id="1541"/>
    <w:p>
      <w:pPr>
        <w:pStyle w:val="0"/>
        <w:spacing w:before="200" w:line-rule="auto"/>
        <w:ind w:firstLine="540"/>
        <w:jc w:val="both"/>
      </w:pPr>
      <w:r>
        <w:rPr>
          <w:sz w:val="20"/>
        </w:rPr>
        <w:t xml:space="preserve">максимальная мощность в соответствии с заявкой и ее распределение по каждой точке присоединения к объектам электросетевого хозяйства;</w:t>
      </w:r>
    </w:p>
    <w:p>
      <w:pPr>
        <w:pStyle w:val="0"/>
        <w:spacing w:before="200" w:line-rule="auto"/>
        <w:ind w:firstLine="540"/>
        <w:jc w:val="both"/>
      </w:pPr>
      <w:r>
        <w:rPr>
          <w:sz w:val="20"/>
        </w:rPr>
        <w:t xml:space="preserve">распределение обязанностей между сторонами по исполнению технических условий;</w:t>
      </w:r>
    </w:p>
    <w:bookmarkStart w:id="1543" w:name="P1543"/>
    <w:bookmarkEnd w:id="1543"/>
    <w:p>
      <w:pPr>
        <w:pStyle w:val="0"/>
        <w:spacing w:before="200" w:line-rule="auto"/>
        <w:ind w:firstLine="540"/>
        <w:jc w:val="both"/>
      </w:pPr>
      <w:r>
        <w:rPr>
          <w:sz w:val="20"/>
        </w:rPr>
        <w:t xml:space="preserve">обоснованные требования к усилению электрической сети смежной сетевой организации, в которую подана заявка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электросетевого хозяйства, установка устройств регулирования напряжения для обеспечения надежности и качества электроснабжения);</w:t>
      </w:r>
    </w:p>
    <w:bookmarkStart w:id="1544" w:name="P1544"/>
    <w:bookmarkEnd w:id="1544"/>
    <w:p>
      <w:pPr>
        <w:pStyle w:val="0"/>
        <w:spacing w:before="200" w:line-rule="auto"/>
        <w:ind w:firstLine="540"/>
        <w:jc w:val="both"/>
      </w:pPr>
      <w:r>
        <w:rPr>
          <w:sz w:val="20"/>
        </w:rPr>
        <w:t xml:space="preserve">требования, указанные в </w:t>
      </w:r>
      <w:hyperlink w:history="0" w:anchor="P1504" w:tooltip="в) требования к устройствам релейной защиты, сетевой, противоаварийной и режимной автоматики, регистрации аварийных событий и процессов, телемеханике, связи, изоляции и защите от перенапряжения, к контролю и поддержанию качества электрической энергии, а также к приборам учета электрической энергии и иному оборудованию, которые необходимы для обеспечения коммерческого учета электрической энергии (мощности). В целях выполнения указанных требований сетевая организация осуществляет в том числе урегулирование...">
        <w:r>
          <w:rPr>
            <w:sz w:val="20"/>
            <w:color w:val="0000ff"/>
          </w:rPr>
          <w:t xml:space="preserve">подпунктах "в"</w:t>
        </w:r>
      </w:hyperlink>
      <w:r>
        <w:rPr>
          <w:sz w:val="20"/>
        </w:rPr>
        <w:t xml:space="preserve"> - </w:t>
      </w:r>
      <w:hyperlink w:history="0" w:anchor="P1508" w:tooltip="д) требования к оснащению энергопринимающих устройств устройствами релейной защиты, сетевой, противоаварийной и режимной автоматики, регистрации аварийных событий и процессов, размещению устройств, обеспечивающих дистанционный ввод графиков временного отключения потребления в соответствии с требованиями соответствующего субъекта оперативно-диспетчерского управления. В целях выполнения указанных требований сетевая организация осуществляет в том числе урегулирование отношений со смежными сетевыми организац...">
        <w:r>
          <w:rPr>
            <w:sz w:val="20"/>
            <w:color w:val="0000ff"/>
          </w:rPr>
          <w:t xml:space="preserve">"д"</w:t>
        </w:r>
      </w:hyperlink>
      <w:r>
        <w:rPr>
          <w:sz w:val="20"/>
        </w:rPr>
        <w:t xml:space="preserve"> и </w:t>
      </w:r>
      <w:hyperlink w:history="0" w:anchor="P1512" w:tooltip="ж) требования к параметрам работы и характеристикам линий электропередачи, оборудования и устройств объектов электроэнергетики, обеспечивающим функционирование объектов заявителя в составе энергосистемы и их участие в режимном и противоаварийном управлении в соответствии с Правилами технологического функционирования электроэнергетических систем и иными обязательными требованиями, установленными нормативными правовыми актами Российской Федерации, регулирующими отношения в сфере электроэнергетики. В целях ...">
        <w:r>
          <w:rPr>
            <w:sz w:val="20"/>
            <w:color w:val="0000ff"/>
          </w:rPr>
          <w:t xml:space="preserve">"ж" пункта 25</w:t>
        </w:r>
      </w:hyperlink>
      <w:r>
        <w:rPr>
          <w:sz w:val="20"/>
        </w:rPr>
        <w:t xml:space="preserve"> настоящих Правил.</w:t>
      </w:r>
    </w:p>
    <w:p>
      <w:pPr>
        <w:pStyle w:val="0"/>
        <w:spacing w:before="200" w:line-rule="auto"/>
        <w:ind w:firstLine="540"/>
        <w:jc w:val="both"/>
      </w:pPr>
      <w:r>
        <w:rPr>
          <w:sz w:val="20"/>
        </w:rPr>
        <w:t xml:space="preserve">Сведения, указанные в </w:t>
      </w:r>
      <w:hyperlink w:history="0" w:anchor="P1540" w:tooltip="схемы выдачи или приема мощности и точки присоединения;">
        <w:r>
          <w:rPr>
            <w:sz w:val="20"/>
            <w:color w:val="0000ff"/>
          </w:rPr>
          <w:t xml:space="preserve">абзацах втором</w:t>
        </w:r>
      </w:hyperlink>
      <w:r>
        <w:rPr>
          <w:sz w:val="20"/>
        </w:rPr>
        <w:t xml:space="preserve"> и </w:t>
      </w:r>
      <w:hyperlink w:history="0" w:anchor="P1541" w:tooltip="максимальная мощность в соответствии с заявкой и ее распределение по каждой точке присоединения к объектам электросетевого хозяйства;">
        <w:r>
          <w:rPr>
            <w:sz w:val="20"/>
            <w:color w:val="0000ff"/>
          </w:rPr>
          <w:t xml:space="preserve">третьем</w:t>
        </w:r>
      </w:hyperlink>
      <w:r>
        <w:rPr>
          <w:sz w:val="20"/>
        </w:rPr>
        <w:t xml:space="preserve"> настоящего пункта, указываются только для случаев, предусмотренных </w:t>
      </w:r>
      <w:hyperlink w:history="0" w:anchor="P1843" w:tooltip="сумма максимальных мощностей энергопринимающих устройств потребителей, присоединенных к ее объектам электросетевого хозяйства, и (или) объем максимальных мощностей присоединяемых объектов, указанный в заключенных договорах на технологическое присоединение к ее объектам электросетевого хозяйства, превышает объем максимальной мощности, согласованный сетевой организацией и смежной сетевой организацией в акте о разграничении балансовой принадлежности электрических сетей или в акте об осуществлении технологич...">
        <w:r>
          <w:rPr>
            <w:sz w:val="20"/>
            <w:color w:val="0000ff"/>
          </w:rPr>
          <w:t xml:space="preserve">абзацем вторым пункта 41</w:t>
        </w:r>
      </w:hyperlink>
      <w:r>
        <w:rPr>
          <w:sz w:val="20"/>
        </w:rPr>
        <w:t xml:space="preserve"> настоящих Правил.</w:t>
      </w:r>
    </w:p>
    <w:p>
      <w:pPr>
        <w:pStyle w:val="0"/>
        <w:spacing w:before="200" w:line-rule="auto"/>
        <w:ind w:firstLine="540"/>
        <w:jc w:val="both"/>
      </w:pPr>
      <w:r>
        <w:rPr>
          <w:sz w:val="20"/>
        </w:rPr>
        <w:t xml:space="preserve">Требования, указанные в </w:t>
      </w:r>
      <w:hyperlink w:history="0" w:anchor="P1543" w:tooltip="обоснованные требования к усилению электрической сети смежной сетевой организации, в которую подана заявка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о хозяйства, установка устройств регулирования напряжения для обеспечения надежности и качества электроснабжения);">
        <w:r>
          <w:rPr>
            <w:sz w:val="20"/>
            <w:color w:val="0000ff"/>
          </w:rPr>
          <w:t xml:space="preserve">абзацах пятом</w:t>
        </w:r>
      </w:hyperlink>
      <w:r>
        <w:rPr>
          <w:sz w:val="20"/>
        </w:rPr>
        <w:t xml:space="preserve"> и </w:t>
      </w:r>
      <w:hyperlink w:history="0" w:anchor="P1544" w:tooltip="требования, указанные в подпунктах &quot;в&quot; - &quot;д&quot; и &quot;ж&quot; пункта 25 настоящих Правил.">
        <w:r>
          <w:rPr>
            <w:sz w:val="20"/>
            <w:color w:val="0000ff"/>
          </w:rPr>
          <w:t xml:space="preserve">шестом</w:t>
        </w:r>
      </w:hyperlink>
      <w:r>
        <w:rPr>
          <w:sz w:val="20"/>
        </w:rPr>
        <w:t xml:space="preserve"> настоящего пункта, определяются исходя из требований технических условий (их проекта) для заявителя, технологическое присоединение энергопринимающих устройств которого послужило основанием для обращения сетевой организации в смежную сетевую организацию.</w:t>
      </w:r>
    </w:p>
    <w:p>
      <w:pPr>
        <w:pStyle w:val="0"/>
        <w:jc w:val="both"/>
      </w:pPr>
      <w:r>
        <w:rPr>
          <w:sz w:val="20"/>
        </w:rPr>
        <w:t xml:space="preserve">(п. 25(4) введен </w:t>
      </w:r>
      <w:hyperlink w:history="0" r:id="rId880" w:tooltip="Постановление Правительства РФ от 29.05.2019 N 682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технологического присоединения к электрическим сетям&quot; {КонсультантПлюс}">
        <w:r>
          <w:rPr>
            <w:sz w:val="20"/>
            <w:color w:val="0000ff"/>
          </w:rPr>
          <w:t xml:space="preserve">Постановлением</w:t>
        </w:r>
      </w:hyperlink>
      <w:r>
        <w:rPr>
          <w:sz w:val="20"/>
        </w:rPr>
        <w:t xml:space="preserve"> Правительства РФ от 29.05.2019 N 682)</w:t>
      </w:r>
    </w:p>
    <w:p>
      <w:pPr>
        <w:pStyle w:val="0"/>
        <w:spacing w:before="200" w:line-rule="auto"/>
        <w:ind w:firstLine="540"/>
        <w:jc w:val="both"/>
      </w:pPr>
      <w:r>
        <w:rPr>
          <w:sz w:val="20"/>
        </w:rPr>
        <w:t xml:space="preserve">25(5). При выполнении сторонами договора мероприятий по технологическому присоединению, предусмотренных договором, мероприятия по обеспечению учета электрической энергии (мощности), за исключением обеспечения учета в отношении многоквартирного дома, подлежат исполнению сетевой организацией.</w:t>
      </w:r>
    </w:p>
    <w:p>
      <w:pPr>
        <w:pStyle w:val="0"/>
        <w:jc w:val="both"/>
      </w:pPr>
      <w:r>
        <w:rPr>
          <w:sz w:val="20"/>
        </w:rPr>
        <w:t xml:space="preserve">(в ред. </w:t>
      </w:r>
      <w:hyperlink w:history="0" r:id="rId881" w:tooltip="Постановление Правительства РФ от 21.12.2020 N 2184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Постановления</w:t>
        </w:r>
      </w:hyperlink>
      <w:r>
        <w:rPr>
          <w:sz w:val="20"/>
        </w:rPr>
        <w:t xml:space="preserve"> Правительства РФ от 21.12.2020 N 2184)</w:t>
      </w:r>
    </w:p>
    <w:p>
      <w:pPr>
        <w:pStyle w:val="0"/>
        <w:spacing w:before="200" w:line-rule="auto"/>
        <w:ind w:firstLine="540"/>
        <w:jc w:val="both"/>
      </w:pPr>
      <w:r>
        <w:rPr>
          <w:sz w:val="20"/>
        </w:rPr>
        <w:t xml:space="preserve">В случаях если в соответствии с законодательством Российской Федерации расположение приборов учета электрической энергии и (или) иного оборудования, необходимого для обеспечения коммерческого учета электрической энергии, возможно только на объектах заявителя, заявитель обязан на безвозмездной основе обеспечить предоставление сетевой организации мест размещения приборов учета электрической энергии и (или) иного оборудования, необходимого для обеспечения коммерческого учета электрической энергии, и доступа к таким местам размещения приборов учета и указанного оборудования для их установки.</w:t>
      </w:r>
    </w:p>
    <w:p>
      <w:pPr>
        <w:pStyle w:val="0"/>
        <w:jc w:val="both"/>
      </w:pPr>
      <w:r>
        <w:rPr>
          <w:sz w:val="20"/>
        </w:rPr>
        <w:t xml:space="preserve">(п. 25(5) введен </w:t>
      </w:r>
      <w:hyperlink w:history="0" r:id="rId882" w:tooltip="Постановление Правительства РФ от 18.04.2020 N 55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18.04.2020 N 554)</w:t>
      </w:r>
    </w:p>
    <w:bookmarkStart w:id="1552" w:name="P1552"/>
    <w:bookmarkEnd w:id="1552"/>
    <w:p>
      <w:pPr>
        <w:pStyle w:val="0"/>
        <w:spacing w:before="200" w:line-rule="auto"/>
        <w:ind w:firstLine="540"/>
        <w:jc w:val="both"/>
      </w:pPr>
      <w:r>
        <w:rPr>
          <w:sz w:val="20"/>
        </w:rPr>
        <w:t xml:space="preserve">25(6). В технических условиях для заявителей, предусмотренных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пунктами 13(2)</w:t>
        </w:r>
      </w:hyperlink>
      <w:r>
        <w:rPr>
          <w:sz w:val="20"/>
        </w:rPr>
        <w:t xml:space="preserve"> и </w:t>
      </w:r>
      <w:hyperlink w:history="0" w:anchor="P1139" w:tooltip="13(4). В заявке, направляемой заявителем - физическим лицом в целях технологического присоединения объекта микрогенерации к объектам электросетевого хозяйства с уровнем напряжения до 1000 В, должны быть указаны:">
        <w:r>
          <w:rPr>
            <w:sz w:val="20"/>
            <w:color w:val="0000ff"/>
          </w:rPr>
          <w:t xml:space="preserve">13(4)</w:t>
        </w:r>
      </w:hyperlink>
      <w:r>
        <w:rPr>
          <w:sz w:val="20"/>
        </w:rPr>
        <w:t xml:space="preserve"> настоящих Правил, должны быть указаны:</w:t>
      </w:r>
    </w:p>
    <w:p>
      <w:pPr>
        <w:pStyle w:val="0"/>
        <w:spacing w:before="200" w:line-rule="auto"/>
        <w:ind w:firstLine="540"/>
        <w:jc w:val="both"/>
      </w:pPr>
      <w:r>
        <w:rPr>
          <w:sz w:val="20"/>
        </w:rPr>
        <w:t xml:space="preserve">а) точки присоединения, которые соответствуют точкам присоединения ранее присоединенных энергопринимающих устройств заявителя;</w:t>
      </w:r>
    </w:p>
    <w:p>
      <w:pPr>
        <w:pStyle w:val="0"/>
        <w:spacing w:before="200" w:line-rule="auto"/>
        <w:ind w:firstLine="540"/>
        <w:jc w:val="both"/>
      </w:pPr>
      <w:r>
        <w:rPr>
          <w:sz w:val="20"/>
        </w:rPr>
        <w:t xml:space="preserve">б) максимальная мощность объектов микрогенерации в соответствии с заявкой и ее распределение по каждой точке присоединения к объектам электросетевого хозяйства;</w:t>
      </w:r>
    </w:p>
    <w:p>
      <w:pPr>
        <w:pStyle w:val="0"/>
        <w:spacing w:before="200" w:line-rule="auto"/>
        <w:ind w:firstLine="540"/>
        <w:jc w:val="both"/>
      </w:pPr>
      <w:r>
        <w:rPr>
          <w:sz w:val="20"/>
        </w:rPr>
        <w:t xml:space="preserve">в) требования по обеспечению технического ограничения выдачи электрической энергии в сеть с максимальной мощностью, не превышающей величину максимальной мощности энергопринимающих устройств потребителя электрической энергии, которому принадлежат на праве собственности или на ином законном основании объекты микрогенерации, и составляющей не более 15 кВт, установке устройств регулирования напряжения для обеспечения надежности и качества электрической энергии, требования по обеспечению возможности дистанционного отключения объектов микрогенерации, обязательные для исполнения сетевой организацией за счет ее средств;</w:t>
      </w:r>
    </w:p>
    <w:p>
      <w:pPr>
        <w:pStyle w:val="0"/>
        <w:spacing w:before="200" w:line-rule="auto"/>
        <w:ind w:firstLine="540"/>
        <w:jc w:val="both"/>
      </w:pPr>
      <w:r>
        <w:rPr>
          <w:sz w:val="20"/>
        </w:rPr>
        <w:t xml:space="preserve">г) требования к приборам учета электрической энергии (мощности) и иному оборудованию, которые необходимы для обеспечения коммерческого учета электрической энергии (мощности), устройствам релейной защиты;</w:t>
      </w:r>
    </w:p>
    <w:p>
      <w:pPr>
        <w:pStyle w:val="0"/>
        <w:spacing w:before="200" w:line-rule="auto"/>
        <w:ind w:firstLine="540"/>
        <w:jc w:val="both"/>
      </w:pPr>
      <w:r>
        <w:rPr>
          <w:sz w:val="20"/>
        </w:rPr>
        <w:t xml:space="preserve">д) распределение обязанностей между сторонами по исполнению технических условий (выполнению каждой из сторон мероприятий по технологическому присоединению до точки присоединения, при этом урегулирование отношений с иными лицами осуществляется сетевой организацией).</w:t>
      </w:r>
    </w:p>
    <w:p>
      <w:pPr>
        <w:pStyle w:val="0"/>
        <w:jc w:val="both"/>
      </w:pPr>
      <w:r>
        <w:rPr>
          <w:sz w:val="20"/>
        </w:rPr>
        <w:t xml:space="preserve">(п. 25(6) введен </w:t>
      </w:r>
      <w:hyperlink w:history="0" r:id="rId883"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Постановлением</w:t>
        </w:r>
      </w:hyperlink>
      <w:r>
        <w:rPr>
          <w:sz w:val="20"/>
        </w:rPr>
        <w:t xml:space="preserve"> Правительства РФ от 02.03.2021 N 299)</w:t>
      </w:r>
    </w:p>
    <w:bookmarkStart w:id="1559" w:name="P1559"/>
    <w:bookmarkEnd w:id="1559"/>
    <w:p>
      <w:pPr>
        <w:pStyle w:val="0"/>
        <w:spacing w:before="200" w:line-rule="auto"/>
        <w:ind w:firstLine="540"/>
        <w:jc w:val="both"/>
      </w:pPr>
      <w:r>
        <w:rPr>
          <w:sz w:val="20"/>
        </w:rPr>
        <w:t xml:space="preserve">25(7). В технических условиях для заявителей, предусмотренных </w:t>
      </w:r>
      <w:hyperlink w:history="0" w:anchor="P1132" w:tooltip="13(3).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электроснабжение которых предусматривается по одному источнику, и объектов микрогенерации, должны быть ука...">
        <w:r>
          <w:rPr>
            <w:sz w:val="20"/>
            <w:color w:val="0000ff"/>
          </w:rPr>
          <w:t xml:space="preserve">пунктами 13(3)</w:t>
        </w:r>
      </w:hyperlink>
      <w:r>
        <w:rPr>
          <w:sz w:val="20"/>
        </w:rPr>
        <w:t xml:space="preserve"> и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настоящих Правил, должны быть указаны:</w:t>
      </w:r>
    </w:p>
    <w:p>
      <w:pPr>
        <w:pStyle w:val="0"/>
        <w:spacing w:before="200" w:line-rule="auto"/>
        <w:ind w:firstLine="540"/>
        <w:jc w:val="both"/>
      </w:pPr>
      <w:r>
        <w:rPr>
          <w:sz w:val="20"/>
        </w:rPr>
        <w:t xml:space="preserve">а) точки присоединения, которые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 При этом определение точки присоединения вне границ участка, на котором располагаются (будут располагаться) присоединяемые объекты заявителя, возможно исключительно в случае, если такое расположение точки присоединения не налагает на заявителя обязанности по урегулированию отношений с иными лицами, в том числе по оформлению земельно-имущественных отношений в соответствии с законодательством Российской Федерации;</w:t>
      </w:r>
    </w:p>
    <w:p>
      <w:pPr>
        <w:pStyle w:val="0"/>
        <w:spacing w:before="200" w:line-rule="auto"/>
        <w:ind w:firstLine="540"/>
        <w:jc w:val="both"/>
      </w:pPr>
      <w:r>
        <w:rPr>
          <w:sz w:val="20"/>
        </w:rPr>
        <w:t xml:space="preserve">б) максимальная мощность в соответствии с заявкой и ее распределение по каждой точке присоединения к объектам электросетевого хозяйства;</w:t>
      </w:r>
    </w:p>
    <w:p>
      <w:pPr>
        <w:pStyle w:val="0"/>
        <w:spacing w:before="200" w:line-rule="auto"/>
        <w:ind w:firstLine="540"/>
        <w:jc w:val="both"/>
      </w:pPr>
      <w:r>
        <w:rPr>
          <w:sz w:val="20"/>
        </w:rPr>
        <w:t xml:space="preserve">в) максимальная мощность объектов микрогенерации в соответствии с заявкой и ее распределение по каждой точке присоединения к объектам электросетевого хозяйства;</w:t>
      </w:r>
    </w:p>
    <w:p>
      <w:pPr>
        <w:pStyle w:val="0"/>
        <w:spacing w:before="200" w:line-rule="auto"/>
        <w:ind w:firstLine="540"/>
        <w:jc w:val="both"/>
      </w:pPr>
      <w:r>
        <w:rPr>
          <w:sz w:val="20"/>
        </w:rPr>
        <w:t xml:space="preserve">г) требования к усилению существующей электрической сети в связи с присоединением новых мощностей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электросетевого хозяйства, установка устройств регулирования напряжения для обеспечения надежности и качества электрической энергии), обеспечивающие потребление электрической энергии присоединяемыми энергопринимающими устройствами без учета выработки электрической энергии объектами микрогенерации, а также по обеспечению технического ограничения выдачи объектами микрогенерации электрической энергии в сеть с максимальной мощностью, не превышающей величину максимальной мощности энергопринимающих устройств потребителя электрической энергии, которому принадлежат на праве собственности или на ином законном основании объекты микрогенерации, и составляющей не более 15 кВт, установке устройств регулирования напряжения для обеспечения надежности и качества электрической энергии в связи с присоединением объектов микрогенерации, требования по обеспечению возможности дистанционного отключения объектов микрогенерации, обязательные для исполнения сетевой организацией за счет ее средств;</w:t>
      </w:r>
    </w:p>
    <w:p>
      <w:pPr>
        <w:pStyle w:val="0"/>
        <w:spacing w:before="200" w:line-rule="auto"/>
        <w:ind w:firstLine="540"/>
        <w:jc w:val="both"/>
      </w:pPr>
      <w:r>
        <w:rPr>
          <w:sz w:val="20"/>
        </w:rPr>
        <w:t xml:space="preserve">д) требования к приборам учета электрической энергии (мощности) и иному оборудованию, которые необходимы для обеспечения коммерческого учета электрической энергии (мощности), устройствам релейной защиты и устройствам, обеспечивающим контроль величины максимальной мощности;</w:t>
      </w:r>
    </w:p>
    <w:p>
      <w:pPr>
        <w:pStyle w:val="0"/>
        <w:spacing w:before="200" w:line-rule="auto"/>
        <w:ind w:firstLine="540"/>
        <w:jc w:val="both"/>
      </w:pPr>
      <w:r>
        <w:rPr>
          <w:sz w:val="20"/>
        </w:rPr>
        <w:t xml:space="preserve">е) распределение обязанностей между сторонами по исполнению технических условий (выполнению каждой из сторон мероприятий по технологическому присоединению до точки присоединения, при этом урегулирование отношений с иными лицами осуществляется сетевой организацией).</w:t>
      </w:r>
    </w:p>
    <w:p>
      <w:pPr>
        <w:pStyle w:val="0"/>
        <w:jc w:val="both"/>
      </w:pPr>
      <w:r>
        <w:rPr>
          <w:sz w:val="20"/>
        </w:rPr>
        <w:t xml:space="preserve">(п. 25(7) введен </w:t>
      </w:r>
      <w:hyperlink w:history="0" r:id="rId884"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Постановлением</w:t>
        </w:r>
      </w:hyperlink>
      <w:r>
        <w:rPr>
          <w:sz w:val="20"/>
        </w:rPr>
        <w:t xml:space="preserve"> Правительства РФ от 02.03.2021 N 299)</w:t>
      </w:r>
    </w:p>
    <w:p>
      <w:pPr>
        <w:pStyle w:val="0"/>
        <w:spacing w:before="200" w:line-rule="auto"/>
        <w:ind w:firstLine="540"/>
        <w:jc w:val="both"/>
      </w:pPr>
      <w:r>
        <w:rPr>
          <w:sz w:val="20"/>
        </w:rPr>
        <w:t xml:space="preserve">26. Требования, указанные в </w:t>
      </w:r>
      <w:hyperlink w:history="0" w:anchor="P1504" w:tooltip="в) требования к устройствам релейной защиты, сетевой, противоаварийной и режимной автоматики, регистрации аварийных событий и процессов, телемеханике, связи, изоляции и защите от перенапряжения, к контролю и поддержанию качества электрической энергии, а также к приборам учета электрической энергии и иному оборудованию, которые необходимы для обеспечения коммерческого учета электрической энергии (мощности). В целях выполнения указанных требований сетевая организация осуществляет в том числе урегулирование...">
        <w:r>
          <w:rPr>
            <w:sz w:val="20"/>
            <w:color w:val="0000ff"/>
          </w:rPr>
          <w:t xml:space="preserve">подпунктах "в"</w:t>
        </w:r>
      </w:hyperlink>
      <w:r>
        <w:rPr>
          <w:sz w:val="20"/>
        </w:rPr>
        <w:t xml:space="preserve"> - </w:t>
      </w:r>
      <w:hyperlink w:history="0" w:anchor="P1508" w:tooltip="д) требования к оснащению энергопринимающих устройств устройствами релейной защиты, сетевой, противоаварийной и режимной автоматики, регистрации аварийных событий и процессов, размещению устройств, обеспечивающих дистанционный ввод графиков временного отключения потребления в соответствии с требованиями соответствующего субъекта оперативно-диспетчерского управления. В целях выполнения указанных требований сетевая организация осуществляет в том числе урегулирование отношений со смежными сетевыми организац...">
        <w:r>
          <w:rPr>
            <w:sz w:val="20"/>
            <w:color w:val="0000ff"/>
          </w:rPr>
          <w:t xml:space="preserve">"д" пункта 25</w:t>
        </w:r>
      </w:hyperlink>
      <w:r>
        <w:rPr>
          <w:sz w:val="20"/>
        </w:rPr>
        <w:t xml:space="preserve"> настоящих Правил, обязательны для выполнения как заявителем, так и сетевой организацией. При этом разграничение обязательств по выполнению этих требований определяется в договоре и учитывается соответственно при расчете платы за технологическое присоединение.</w:t>
      </w:r>
    </w:p>
    <w:p>
      <w:pPr>
        <w:pStyle w:val="0"/>
        <w:spacing w:before="200" w:line-rule="auto"/>
        <w:ind w:firstLine="540"/>
        <w:jc w:val="both"/>
      </w:pPr>
      <w:r>
        <w:rPr>
          <w:sz w:val="20"/>
        </w:rPr>
        <w:t xml:space="preserve">Для заявителей (за исключением лиц,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максимальная мощность энергопринимающих устройств которых свыше 150 кВт и менее 670 кВт, указываются сведения, предусмотренные </w:t>
      </w:r>
      <w:hyperlink w:history="0" w:anchor="P1497" w:tooltip="а) схемы выдачи или приема мощности и точки присоединения (вводные распределительные устройства, линии электропередачи, базовые подстанции, генераторы);">
        <w:r>
          <w:rPr>
            <w:sz w:val="20"/>
            <w:color w:val="0000ff"/>
          </w:rPr>
          <w:t xml:space="preserve">подпунктами "а"</w:t>
        </w:r>
      </w:hyperlink>
      <w:r>
        <w:rPr>
          <w:sz w:val="20"/>
        </w:rPr>
        <w:t xml:space="preserve"> - </w:t>
      </w:r>
      <w:hyperlink w:history="0" w:anchor="P1504" w:tooltip="в) требования к устройствам релейной защиты, сетевой, противоаварийной и режимной автоматики, регистрации аварийных событий и процессов, телемеханике, связи, изоляции и защите от перенапряжения, к контролю и поддержанию качества электрической энергии, а также к приборам учета электрической энергии и иному оборудованию, которые необходимы для обеспечения коммерческого учета электрической энергии (мощности). В целях выполнения указанных требований сетевая организация осуществляет в том числе урегулирование...">
        <w:r>
          <w:rPr>
            <w:sz w:val="20"/>
            <w:color w:val="0000ff"/>
          </w:rPr>
          <w:t xml:space="preserve">"в"</w:t>
        </w:r>
      </w:hyperlink>
      <w:r>
        <w:rPr>
          <w:sz w:val="20"/>
        </w:rPr>
        <w:t xml:space="preserve"> и </w:t>
      </w:r>
      <w:hyperlink w:history="0" w:anchor="P1508" w:tooltip="д) требования к оснащению энергопринимающих устройств устройствами релейной защиты, сетевой, противоаварийной и режимной автоматики, регистрации аварийных событий и процессов, размещению устройств, обеспечивающих дистанционный ввод графиков временного отключения потребления в соответствии с требованиями соответствующего субъекта оперативно-диспетчерского управления. В целях выполнения указанных требований сетевая организация осуществляет в том числе урегулирование отношений со смежными сетевыми организац...">
        <w:r>
          <w:rPr>
            <w:sz w:val="20"/>
            <w:color w:val="0000ff"/>
          </w:rPr>
          <w:t xml:space="preserve">"д" пункта 25</w:t>
        </w:r>
      </w:hyperlink>
      <w:r>
        <w:rPr>
          <w:sz w:val="20"/>
        </w:rPr>
        <w:t xml:space="preserve"> настоящих Правил.</w:t>
      </w:r>
    </w:p>
    <w:p>
      <w:pPr>
        <w:pStyle w:val="0"/>
        <w:jc w:val="both"/>
      </w:pPr>
      <w:r>
        <w:rPr>
          <w:sz w:val="20"/>
        </w:rPr>
        <w:t xml:space="preserve">(в ред. Постановлений Правительства РФ от 21.04.2009 </w:t>
      </w:r>
      <w:hyperlink w:history="0" r:id="rId885"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антПлюс}">
        <w:r>
          <w:rPr>
            <w:sz w:val="20"/>
            <w:color w:val="0000ff"/>
          </w:rPr>
          <w:t xml:space="preserve">N 334</w:t>
        </w:r>
      </w:hyperlink>
      <w:r>
        <w:rPr>
          <w:sz w:val="20"/>
        </w:rPr>
        <w:t xml:space="preserve">, от 04.05.2012 </w:t>
      </w:r>
      <w:hyperlink w:history="0" r:id="rId886"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N 442</w:t>
        </w:r>
      </w:hyperlink>
      <w:r>
        <w:rPr>
          <w:sz w:val="20"/>
        </w:rPr>
        <w:t xml:space="preserve">, от 26.08.2013 </w:t>
      </w:r>
      <w:hyperlink w:history="0" r:id="rId887" w:tooltip="Постановление Правительства РФ от 26.08.2013 N 737 (ред. от 10.03.2020) &quot;О внесении изменений в некоторые акты Правительства Российской Федерации по вопросу осуществления временного технологического присоединения к электрическим сетям&quot; {КонсультантПлюс}">
        <w:r>
          <w:rPr>
            <w:sz w:val="20"/>
            <w:color w:val="0000ff"/>
          </w:rPr>
          <w:t xml:space="preserve">N 737</w:t>
        </w:r>
      </w:hyperlink>
      <w:r>
        <w:rPr>
          <w:sz w:val="20"/>
        </w:rPr>
        <w:t xml:space="preserve">)</w:t>
      </w:r>
    </w:p>
    <w:p>
      <w:pPr>
        <w:pStyle w:val="0"/>
        <w:spacing w:before="200" w:line-rule="auto"/>
        <w:ind w:firstLine="540"/>
        <w:jc w:val="both"/>
      </w:pPr>
      <w:r>
        <w:rPr>
          <w:sz w:val="20"/>
        </w:rPr>
        <w:t xml:space="preserve">Требования, предъявляемые к приборам учета электрической энергии и иному оборудованию, которые необходимы для обеспечения коммерческого учета электрической энергии (мощности), в соответствии с </w:t>
      </w:r>
      <w:hyperlink w:history="0" w:anchor="P1495" w:tooltip="25. В технических условиях для заявителей, за исключением лиц, указанных в пунктах 12(1), 13(2) - 13(5) и 14 настоящих Правил, должны быть указаны:">
        <w:r>
          <w:rPr>
            <w:sz w:val="20"/>
            <w:color w:val="0000ff"/>
          </w:rPr>
          <w:t xml:space="preserve">пунктами 25</w:t>
        </w:r>
      </w:hyperlink>
      <w:r>
        <w:rPr>
          <w:sz w:val="20"/>
        </w:rPr>
        <w:t xml:space="preserve">, </w:t>
      </w:r>
      <w:hyperlink w:history="0" w:anchor="P1524" w:tooltip="25(1). В технических условиях для заявителей, предусмотренных пунктами 12.1 и 14 настоящих Правил, должны быть указаны:">
        <w:r>
          <w:rPr>
            <w:sz w:val="20"/>
            <w:color w:val="0000ff"/>
          </w:rPr>
          <w:t xml:space="preserve">25(1)</w:t>
        </w:r>
      </w:hyperlink>
      <w:r>
        <w:rPr>
          <w:sz w:val="20"/>
        </w:rPr>
        <w:t xml:space="preserve">, </w:t>
      </w:r>
      <w:hyperlink w:history="0" w:anchor="P1552" w:tooltip="25(6). В технических условиях для заявителей, предусмотренных пунктами 13(2) и 13(4) настоящих Правил, должны быть указаны:">
        <w:r>
          <w:rPr>
            <w:sz w:val="20"/>
            <w:color w:val="0000ff"/>
          </w:rPr>
          <w:t xml:space="preserve">25(6)</w:t>
        </w:r>
      </w:hyperlink>
      <w:r>
        <w:rPr>
          <w:sz w:val="20"/>
        </w:rPr>
        <w:t xml:space="preserve"> и </w:t>
      </w:r>
      <w:hyperlink w:history="0" w:anchor="P1559" w:tooltip="25(7). В технических условиях для заявителей, предусмотренных пунктами 13(3) и 13(5) настоящих Правил, должны быть указаны:">
        <w:r>
          <w:rPr>
            <w:sz w:val="20"/>
            <w:color w:val="0000ff"/>
          </w:rPr>
          <w:t xml:space="preserve">25(7)</w:t>
        </w:r>
      </w:hyperlink>
      <w:r>
        <w:rPr>
          <w:sz w:val="20"/>
        </w:rPr>
        <w:t xml:space="preserve"> настоящих Правил, включая требования к местам их установки, а также разграничение обязательств по выполнению этих требований должны соответствовать требованиям, установленным Основными положениями функционирования розничных рынков электрической энергии.</w:t>
      </w:r>
    </w:p>
    <w:p>
      <w:pPr>
        <w:pStyle w:val="0"/>
        <w:jc w:val="both"/>
      </w:pPr>
      <w:r>
        <w:rPr>
          <w:sz w:val="20"/>
        </w:rPr>
        <w:t xml:space="preserve">(в ред. Постановлений Правительства РФ от 18.04.2020 </w:t>
      </w:r>
      <w:hyperlink w:history="0" r:id="rId888" w:tooltip="Постановление Правительства РФ от 18.04.2020 N 55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554</w:t>
        </w:r>
      </w:hyperlink>
      <w:r>
        <w:rPr>
          <w:sz w:val="20"/>
        </w:rPr>
        <w:t xml:space="preserve">, от 02.03.2021 </w:t>
      </w:r>
      <w:hyperlink w:history="0" r:id="rId889"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N 299</w:t>
        </w:r>
      </w:hyperlink>
      <w:r>
        <w:rPr>
          <w:sz w:val="20"/>
        </w:rPr>
        <w:t xml:space="preserve">)</w:t>
      </w:r>
    </w:p>
    <w:bookmarkStart w:id="1572" w:name="P1572"/>
    <w:bookmarkEnd w:id="1572"/>
    <w:p>
      <w:pPr>
        <w:pStyle w:val="0"/>
        <w:spacing w:before="200" w:line-rule="auto"/>
        <w:ind w:firstLine="540"/>
        <w:jc w:val="both"/>
      </w:pPr>
      <w:r>
        <w:rPr>
          <w:sz w:val="20"/>
        </w:rPr>
        <w:t xml:space="preserve">27.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сетевая организация по обращению заявителя вправе продлить срок действия ранее выданных технических условий. При этом дополнительная плата не взимается.</w:t>
      </w:r>
    </w:p>
    <w:p>
      <w:pPr>
        <w:pStyle w:val="0"/>
        <w:spacing w:before="200" w:line-rule="auto"/>
        <w:ind w:firstLine="540"/>
        <w:jc w:val="both"/>
      </w:pPr>
      <w:r>
        <w:rPr>
          <w:sz w:val="20"/>
        </w:rPr>
        <w:t xml:space="preserve">При изменении условий технологического присоединения по окончании срока действия технических условий сетевая организация вправе выдать заявителю новые технические условия, учитывающие выполненные по ранее выданным техническим условиям мероприятия. В этом случае выдача новых технических условий не влечет за собой недействительность договора при условии согласования сроков выполнения сторонами мероприятий по технологическому присоединению.</w:t>
      </w:r>
    </w:p>
    <w:p>
      <w:pPr>
        <w:pStyle w:val="0"/>
        <w:spacing w:before="200" w:line-rule="auto"/>
        <w:ind w:firstLine="540"/>
        <w:jc w:val="both"/>
      </w:pPr>
      <w:r>
        <w:rPr>
          <w:sz w:val="20"/>
        </w:rPr>
        <w:t xml:space="preserve">Выдача новых технических условий в рамках действующего договора заявителям - физическим лицам осуществляется без взимания дополнительной платы.</w:t>
      </w:r>
    </w:p>
    <w:p>
      <w:pPr>
        <w:pStyle w:val="0"/>
        <w:spacing w:before="200" w:line-rule="auto"/>
        <w:ind w:firstLine="540"/>
        <w:jc w:val="both"/>
      </w:pPr>
      <w:r>
        <w:rPr>
          <w:sz w:val="20"/>
        </w:rPr>
        <w:t xml:space="preserve">Абзацы четвертый - восьмой утратили силу с 25 марта 2014 года. - </w:t>
      </w:r>
      <w:hyperlink w:history="0" r:id="rId890"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sz w:val="20"/>
            <w:color w:val="0000ff"/>
          </w:rPr>
          <w:t xml:space="preserve">Постановление</w:t>
        </w:r>
      </w:hyperlink>
      <w:r>
        <w:rPr>
          <w:sz w:val="20"/>
        </w:rPr>
        <w:t xml:space="preserve"> Правительства РФ от 20.02.2014 N 130.</w:t>
      </w:r>
    </w:p>
    <w:p>
      <w:pPr>
        <w:pStyle w:val="0"/>
        <w:ind w:firstLine="540"/>
        <w:jc w:val="both"/>
      </w:pPr>
      <w:r>
        <w:rPr>
          <w:sz w:val="20"/>
        </w:rPr>
      </w:r>
    </w:p>
    <w:bookmarkStart w:id="1577" w:name="P1577"/>
    <w:bookmarkEnd w:id="1577"/>
    <w:p>
      <w:pPr>
        <w:pStyle w:val="2"/>
        <w:outlineLvl w:val="1"/>
        <w:jc w:val="center"/>
      </w:pPr>
      <w:r>
        <w:rPr>
          <w:sz w:val="20"/>
        </w:rPr>
        <w:t xml:space="preserve">III. Критерии наличия (отсутствия)</w:t>
      </w:r>
    </w:p>
    <w:p>
      <w:pPr>
        <w:pStyle w:val="2"/>
        <w:jc w:val="center"/>
      </w:pPr>
      <w:r>
        <w:rPr>
          <w:sz w:val="20"/>
        </w:rPr>
        <w:t xml:space="preserve">технической возможности технологического присоединения</w:t>
      </w:r>
    </w:p>
    <w:p>
      <w:pPr>
        <w:pStyle w:val="2"/>
        <w:jc w:val="center"/>
      </w:pPr>
      <w:r>
        <w:rPr>
          <w:sz w:val="20"/>
        </w:rPr>
        <w:t xml:space="preserve">и особенности осуществления технологического присоединения</w:t>
      </w:r>
    </w:p>
    <w:p>
      <w:pPr>
        <w:pStyle w:val="2"/>
        <w:jc w:val="center"/>
      </w:pPr>
      <w:r>
        <w:rPr>
          <w:sz w:val="20"/>
        </w:rPr>
        <w:t xml:space="preserve">по индивидуальному проекту</w:t>
      </w:r>
    </w:p>
    <w:p>
      <w:pPr>
        <w:pStyle w:val="0"/>
        <w:jc w:val="center"/>
      </w:pPr>
      <w:r>
        <w:rPr>
          <w:sz w:val="20"/>
        </w:rPr>
        <w:t xml:space="preserve">(в ред. </w:t>
      </w:r>
      <w:hyperlink w:history="0" r:id="rId891"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sz w:val="20"/>
            <w:color w:val="0000ff"/>
          </w:rPr>
          <w:t xml:space="preserve">Постановления</w:t>
        </w:r>
      </w:hyperlink>
      <w:r>
        <w:rPr>
          <w:sz w:val="20"/>
        </w:rPr>
        <w:t xml:space="preserve"> Правительства РФ от 24.09.2010 N 759)</w:t>
      </w:r>
    </w:p>
    <w:p>
      <w:pPr>
        <w:pStyle w:val="0"/>
        <w:ind w:firstLine="540"/>
        <w:jc w:val="both"/>
      </w:pPr>
      <w:r>
        <w:rPr>
          <w:sz w:val="20"/>
        </w:rPr>
      </w:r>
    </w:p>
    <w:bookmarkStart w:id="1583" w:name="P1583"/>
    <w:bookmarkEnd w:id="1583"/>
    <w:p>
      <w:pPr>
        <w:pStyle w:val="0"/>
        <w:ind w:firstLine="540"/>
        <w:jc w:val="both"/>
      </w:pPr>
      <w:r>
        <w:rPr>
          <w:sz w:val="20"/>
        </w:rPr>
        <w:t xml:space="preserve">28. Критериями наличия технической возможности технологического присоединения являются:</w:t>
      </w:r>
    </w:p>
    <w:bookmarkStart w:id="1584" w:name="P1584"/>
    <w:bookmarkEnd w:id="1584"/>
    <w:p>
      <w:pPr>
        <w:pStyle w:val="0"/>
        <w:spacing w:before="200" w:line-rule="auto"/>
        <w:ind w:firstLine="540"/>
        <w:jc w:val="both"/>
      </w:pPr>
      <w:r>
        <w:rPr>
          <w:sz w:val="20"/>
        </w:rPr>
        <w:t xml:space="preserve">а) сохранение условий электроснабжения (установленной категории надежности электроснабжения и сохранения качества электроэнергии) для прочих потребителей, энергопринимающие установки которых на момент подачи заявки заявителя присоединены к электрическим сетям сетевой организации или смежных сетевых организаций, а также неухудшение условий работы объектов электроэнергетики, ранее присоединенных к объектам электросетевого хозяйства;</w:t>
      </w:r>
    </w:p>
    <w:p>
      <w:pPr>
        <w:pStyle w:val="0"/>
        <w:jc w:val="both"/>
      </w:pPr>
      <w:r>
        <w:rPr>
          <w:sz w:val="20"/>
        </w:rPr>
        <w:t xml:space="preserve">(в ред. </w:t>
      </w:r>
      <w:hyperlink w:history="0" r:id="rId892"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13.08.2018 N 937)</w:t>
      </w:r>
    </w:p>
    <w:p>
      <w:pPr>
        <w:pStyle w:val="0"/>
        <w:spacing w:before="200" w:line-rule="auto"/>
        <w:ind w:firstLine="540"/>
        <w:jc w:val="both"/>
      </w:pPr>
      <w:r>
        <w:rPr>
          <w:sz w:val="20"/>
        </w:rPr>
        <w:t xml:space="preserve">б) отсутствие ограничений на максимальную мощность в объектах электросетевого хозяйства, к которым надлежит произвести технологическое присоединение;</w:t>
      </w:r>
    </w:p>
    <w:p>
      <w:pPr>
        <w:pStyle w:val="0"/>
        <w:jc w:val="both"/>
      </w:pPr>
      <w:r>
        <w:rPr>
          <w:sz w:val="20"/>
        </w:rPr>
        <w:t xml:space="preserve">(в ред. </w:t>
      </w:r>
      <w:hyperlink w:history="0" r:id="rId893"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spacing w:before="200" w:line-rule="auto"/>
        <w:ind w:firstLine="540"/>
        <w:jc w:val="both"/>
      </w:pPr>
      <w:r>
        <w:rPr>
          <w:sz w:val="20"/>
        </w:rPr>
        <w:t xml:space="preserve">в) отсутствие необходимости реконструкции или расширения (сооружения новых) объектов электросетевого хозяйства смежных сетевых организаций либо строительства (реконструкции) генерирующих объектов для удовлетворения потребности заявителя;</w:t>
      </w:r>
    </w:p>
    <w:p>
      <w:pPr>
        <w:pStyle w:val="0"/>
        <w:jc w:val="both"/>
      </w:pPr>
      <w:r>
        <w:rPr>
          <w:sz w:val="20"/>
        </w:rPr>
        <w:t xml:space="preserve">(в ред. </w:t>
      </w:r>
      <w:hyperlink w:history="0" r:id="rId894" w:tooltip="Постановление Правительства РФ от 12.08.2013 N 691 (ред. от 10.03.2020) &quot;О внесении изменений в некоторые акты Правительства Российской Федерации по вопросам технологического присоединения к электрическим сетям&quot; {КонсультантПлюс}">
        <w:r>
          <w:rPr>
            <w:sz w:val="20"/>
            <w:color w:val="0000ff"/>
          </w:rPr>
          <w:t xml:space="preserve">Постановления</w:t>
        </w:r>
      </w:hyperlink>
      <w:r>
        <w:rPr>
          <w:sz w:val="20"/>
        </w:rPr>
        <w:t xml:space="preserve"> Правительства РФ от 12.08.2013 N 691)</w:t>
      </w:r>
    </w:p>
    <w:bookmarkStart w:id="1590" w:name="P1590"/>
    <w:bookmarkEnd w:id="1590"/>
    <w:p>
      <w:pPr>
        <w:pStyle w:val="0"/>
        <w:spacing w:before="200" w:line-rule="auto"/>
        <w:ind w:firstLine="540"/>
        <w:jc w:val="both"/>
      </w:pPr>
      <w:r>
        <w:rPr>
          <w:sz w:val="20"/>
        </w:rPr>
        <w:t xml:space="preserve">г) обеспечение в случае технологического присоединения энергопринимающих устройств заявителя допустимых параметров электроэнергетического режима энергосистемы, в том числе с учетом нормативных возмущений, определяемых в соответствии с </w:t>
      </w:r>
      <w:hyperlink w:history="0" r:id="rId895" w:tooltip="Приказ Минэнерго России от 03.08.2018 N 630 (ред. от 28.12.2020)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Методические указания по устойчивости энергосистем&quot; (Зарегистрировано в Минюсте России 29.08.2018 N 52023) {КонсультантПлюс}">
        <w:r>
          <w:rPr>
            <w:sz w:val="20"/>
            <w:color w:val="0000ff"/>
          </w:rPr>
          <w:t xml:space="preserve">методическими указаниями</w:t>
        </w:r>
      </w:hyperlink>
      <w:r>
        <w:rPr>
          <w:sz w:val="20"/>
        </w:rPr>
        <w:t xml:space="preserve"> по устойчивости энергосистем,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pPr>
        <w:pStyle w:val="0"/>
        <w:jc w:val="both"/>
      </w:pPr>
      <w:r>
        <w:rPr>
          <w:sz w:val="20"/>
        </w:rPr>
        <w:t xml:space="preserve">(пп. "г" введен </w:t>
      </w:r>
      <w:hyperlink w:history="0" r:id="rId896"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13.08.2018 N 937)</w:t>
      </w:r>
    </w:p>
    <w:bookmarkStart w:id="1592" w:name="P1592"/>
    <w:bookmarkEnd w:id="1592"/>
    <w:p>
      <w:pPr>
        <w:pStyle w:val="0"/>
        <w:spacing w:before="200" w:line-rule="auto"/>
        <w:ind w:firstLine="540"/>
        <w:jc w:val="both"/>
      </w:pPr>
      <w:r>
        <w:rPr>
          <w:sz w:val="20"/>
        </w:rPr>
        <w:t xml:space="preserve">29. В случае несоблюдения любого из указанных в </w:t>
      </w:r>
      <w:hyperlink w:history="0" w:anchor="P1583" w:tooltip="28. Критериями наличия технической возможности технологического присоединения являются:">
        <w:r>
          <w:rPr>
            <w:sz w:val="20"/>
            <w:color w:val="0000ff"/>
          </w:rPr>
          <w:t xml:space="preserve">пункте 28</w:t>
        </w:r>
      </w:hyperlink>
      <w:r>
        <w:rPr>
          <w:sz w:val="20"/>
        </w:rPr>
        <w:t xml:space="preserve"> настоящих Правил критериев считается, что техническая возможность технологического присоединения отсутствует.</w:t>
      </w:r>
    </w:p>
    <w:p>
      <w:pPr>
        <w:pStyle w:val="0"/>
        <w:spacing w:before="200" w:line-rule="auto"/>
        <w:ind w:firstLine="540"/>
        <w:jc w:val="both"/>
      </w:pPr>
      <w:r>
        <w:rPr>
          <w:sz w:val="20"/>
        </w:rPr>
        <w:t xml:space="preserve">Включение мероприятий по реконструкции или расширению (сооружению новых) объектов электросетевого хозяйства (за исключением объектов заявителей, указанных в </w:t>
      </w:r>
      <w:hyperlink w:history="0" w:anchor="P1101" w:tooltip="13. В заявке, направляемой заявителем в целях временного технологического присоединения, предусмотренного разделом VII настоящих Правил, указывается:">
        <w:r>
          <w:rPr>
            <w:sz w:val="20"/>
            <w:color w:val="0000ff"/>
          </w:rPr>
          <w:t xml:space="preserve">пункте 13</w:t>
        </w:r>
      </w:hyperlink>
      <w:r>
        <w:rPr>
          <w:sz w:val="20"/>
        </w:rPr>
        <w:t xml:space="preserve"> настоящих Правил) и (или) мероприятий по строительству (реконструкции) генерирующих объектов, проведение которых необходимо для обеспечения присоединения объектов заявителя, в инвестиционные программы сетевых организаций, в том числе смежных сетевых организаций, и (или) наличие обязательств производителей электрической энергии по предоставлению мощности, предусматривающих осуществление указанных мероприятий, означают наличие технической возможности технологического присоединения и являются основанием для заключения договора независимо от соответствия критериям, указанным в </w:t>
      </w:r>
      <w:hyperlink w:history="0" w:anchor="P1584" w:tooltip="а) сохранение условий электроснабжения (установленной категории надежности электроснабжения и сохранения качества электроэнергии) для прочих потребителей, энергопринимающие установки которых на момент подачи заявки заявителя присоединены к электрическим сетям сетевой организации или смежных сетевых организаций, а также неухудшение условий работы объектов электроэнергетики, ранее присоединенных к объектам электросетевого хозяйства;">
        <w:r>
          <w:rPr>
            <w:sz w:val="20"/>
            <w:color w:val="0000ff"/>
          </w:rPr>
          <w:t xml:space="preserve">подпунктах "а"</w:t>
        </w:r>
      </w:hyperlink>
      <w:r>
        <w:rPr>
          <w:sz w:val="20"/>
        </w:rPr>
        <w:t xml:space="preserve"> - </w:t>
      </w:r>
      <w:hyperlink w:history="0" w:anchor="P1590" w:tooltip="г) обеспечение в случае технологического присоединения энергопринимающих устройств заявителя допустимых параметров электроэнергетического режима энергосистемы, в том числе с учетом нормативных возмущений, определяемых в соответствии с методическими указаниями по устойчивости энергосистем,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
        <w:r>
          <w:rPr>
            <w:sz w:val="20"/>
            <w:color w:val="0000ff"/>
          </w:rPr>
          <w:t xml:space="preserve">"г" пункта 28</w:t>
        </w:r>
      </w:hyperlink>
      <w:r>
        <w:rPr>
          <w:sz w:val="20"/>
        </w:rPr>
        <w:t xml:space="preserve"> настоящих Правил.</w:t>
      </w:r>
    </w:p>
    <w:p>
      <w:pPr>
        <w:pStyle w:val="0"/>
        <w:jc w:val="both"/>
      </w:pPr>
      <w:r>
        <w:rPr>
          <w:sz w:val="20"/>
        </w:rPr>
        <w:t xml:space="preserve">(в ред. Постановлений Правительства РФ от 12.08.2013 </w:t>
      </w:r>
      <w:hyperlink w:history="0" r:id="rId897" w:tooltip="Постановление Правительства РФ от 12.08.2013 N 691 (ред. от 10.03.2020) &quot;О внесении изменений в некоторые акты Правительства Российской Федерации по вопросам технологического присоединения к электрическим сетям&quot; {КонсультантПлюс}">
        <w:r>
          <w:rPr>
            <w:sz w:val="20"/>
            <w:color w:val="0000ff"/>
          </w:rPr>
          <w:t xml:space="preserve">N 691</w:t>
        </w:r>
      </w:hyperlink>
      <w:r>
        <w:rPr>
          <w:sz w:val="20"/>
        </w:rPr>
        <w:t xml:space="preserve">, от 13.08.2018 </w:t>
      </w:r>
      <w:hyperlink w:history="0" r:id="rId898"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N 937</w:t>
        </w:r>
      </w:hyperlink>
      <w:r>
        <w:rPr>
          <w:sz w:val="20"/>
        </w:rPr>
        <w:t xml:space="preserve">)</w:t>
      </w:r>
    </w:p>
    <w:p>
      <w:pPr>
        <w:pStyle w:val="0"/>
        <w:spacing w:before="200" w:line-rule="auto"/>
        <w:ind w:firstLine="540"/>
        <w:jc w:val="both"/>
      </w:pPr>
      <w:r>
        <w:rPr>
          <w:sz w:val="20"/>
        </w:rPr>
        <w:t xml:space="preserve">30. В случае если у сетевой организации отсутствует техническая возможность технологического присоединения энергопринимающих устройств, указанных в заявке, технологическое присоединение осуществляется по индивидуальному проекту в порядке, установленном настоящими Правилами, с учетом особенностей, установленных настоящим разделом.</w:t>
      </w:r>
    </w:p>
    <w:p>
      <w:pPr>
        <w:pStyle w:val="0"/>
        <w:jc w:val="both"/>
      </w:pPr>
      <w:r>
        <w:rPr>
          <w:sz w:val="20"/>
        </w:rPr>
        <w:t xml:space="preserve">(п. 30 в ред. </w:t>
      </w:r>
      <w:hyperlink w:history="0" r:id="rId899"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sz w:val="20"/>
            <w:color w:val="0000ff"/>
          </w:rPr>
          <w:t xml:space="preserve">Постановления</w:t>
        </w:r>
      </w:hyperlink>
      <w:r>
        <w:rPr>
          <w:sz w:val="20"/>
        </w:rPr>
        <w:t xml:space="preserve"> Правительства РФ от 24.09.2010 N 759)</w:t>
      </w:r>
    </w:p>
    <w:bookmarkStart w:id="1597" w:name="P1597"/>
    <w:bookmarkEnd w:id="1597"/>
    <w:p>
      <w:pPr>
        <w:pStyle w:val="0"/>
        <w:spacing w:before="200" w:line-rule="auto"/>
        <w:ind w:firstLine="540"/>
        <w:jc w:val="both"/>
      </w:pPr>
      <w:r>
        <w:rPr>
          <w:sz w:val="20"/>
        </w:rPr>
        <w:t xml:space="preserve">30.1. Если присоединение энергопринимающих устройств требует строительства (реконструкции) объекта электросетевого хозяйства, не включенного в указанные в </w:t>
      </w:r>
      <w:hyperlink w:history="0" w:anchor="P1592" w:tooltip="29. В случае несоблюдения любого из указанных в пункте 28 настоящих Правил критериев считается, что техническая возможность технологического присоединения отсутствует.">
        <w:r>
          <w:rPr>
            <w:sz w:val="20"/>
            <w:color w:val="0000ff"/>
          </w:rPr>
          <w:t xml:space="preserve">пункте 29</w:t>
        </w:r>
      </w:hyperlink>
      <w:r>
        <w:rPr>
          <w:sz w:val="20"/>
        </w:rPr>
        <w:t xml:space="preserve"> настоящих Правил инвестиционные программы на очередной период регулирования, и (или) строительства (реконструкции) генерирующего объекта, не включенного в обязательства производителей электрической энергии по предоставлению мощности, сетевая организация в 30-дневный срок после получения заявки направляет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по индивидуальному проекту (далее - заявление об установлении платы). В случае технологического присоединения к объектам единой национальной (общероссийской) электрической сети сетевая организация обращается в уполномоченный орган исполнительной власти в области государственного регулирования тарифов для расчета платы за технологическое присоединение по индивидуальному проекту не позднее 15 месяцев с даты заключения соглашения о порядке взаимодействия заявителя и сетевой организации в целях выполнения мероприятий по технологическому присоединению по индивидуальному проекту (далее - соглашение о порядке взаимодействия), заключенного в соответствии с </w:t>
      </w:r>
      <w:hyperlink w:history="0" w:anchor="P1610" w:tooltip="30(1-2). При технологическом присоединении по индивидуальному проекту к объектам единой национальной (общероссийской) электрической сети в соответствии с пунктом 30(1) настоящих Правил заключается до дня заключения соответствующего договора между сторонами соглашение о порядке взаимодействия, которое содержит положения по взаимодействию сторон при разработке индивидуальных технических условий и проектной документации, а также устанавливает ответственность за неисполнение либо ненадлежащее исполнение стор...">
        <w:r>
          <w:rPr>
            <w:sz w:val="20"/>
            <w:color w:val="0000ff"/>
          </w:rPr>
          <w:t xml:space="preserve">пунктом 30(1-2)</w:t>
        </w:r>
      </w:hyperlink>
      <w:r>
        <w:rPr>
          <w:sz w:val="20"/>
        </w:rPr>
        <w:t xml:space="preserve"> настоящих Правил. К заявлению об установлении платы прилагаются следующие материалы:</w:t>
      </w:r>
    </w:p>
    <w:p>
      <w:pPr>
        <w:pStyle w:val="0"/>
        <w:jc w:val="both"/>
      </w:pPr>
      <w:r>
        <w:rPr>
          <w:sz w:val="20"/>
        </w:rPr>
        <w:t xml:space="preserve">(в ред. Постановлений Правительства РФ от 12.08.2013 </w:t>
      </w:r>
      <w:hyperlink w:history="0" r:id="rId900" w:tooltip="Постановление Правительства РФ от 12.08.2013 N 691 (ред. от 10.03.2020) &quot;О внесении изменений в некоторые акты Правительства Российской Федерации по вопросам технологического присоединения к электрическим сетям&quot; {КонсультантПлюс}">
        <w:r>
          <w:rPr>
            <w:sz w:val="20"/>
            <w:color w:val="0000ff"/>
          </w:rPr>
          <w:t xml:space="preserve">N 691</w:t>
        </w:r>
      </w:hyperlink>
      <w:r>
        <w:rPr>
          <w:sz w:val="20"/>
        </w:rPr>
        <w:t xml:space="preserve">, от 13.04.2015 </w:t>
      </w:r>
      <w:hyperlink w:history="0" r:id="rId901" w:tooltip="Постановление Правительства РФ от 13.04.2015 N 35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350</w:t>
        </w:r>
      </w:hyperlink>
      <w:r>
        <w:rPr>
          <w:sz w:val="20"/>
        </w:rPr>
        <w:t xml:space="preserve">, от 19.04.2019 </w:t>
      </w:r>
      <w:hyperlink w:history="0" r:id="rId902" w:tooltip="Постановление Правительства РФ от 19.04.2019 N 47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470</w:t>
        </w:r>
      </w:hyperlink>
      <w:r>
        <w:rPr>
          <w:sz w:val="20"/>
        </w:rPr>
        <w:t xml:space="preserve">)</w:t>
      </w:r>
    </w:p>
    <w:p>
      <w:pPr>
        <w:pStyle w:val="0"/>
        <w:spacing w:before="200" w:line-rule="auto"/>
        <w:ind w:firstLine="540"/>
        <w:jc w:val="both"/>
      </w:pPr>
      <w:r>
        <w:rPr>
          <w:sz w:val="20"/>
        </w:rPr>
        <w:t xml:space="preserve">а) проект договора;</w:t>
      </w:r>
    </w:p>
    <w:p>
      <w:pPr>
        <w:pStyle w:val="0"/>
        <w:spacing w:before="200" w:line-rule="auto"/>
        <w:ind w:firstLine="540"/>
        <w:jc w:val="both"/>
      </w:pPr>
      <w:r>
        <w:rPr>
          <w:sz w:val="20"/>
        </w:rPr>
        <w:t xml:space="preserve">б) проектная документация (в случае технологического присоединения к объектам единой национальной (общероссийской) электрической сети);</w:t>
      </w:r>
    </w:p>
    <w:p>
      <w:pPr>
        <w:pStyle w:val="0"/>
        <w:spacing w:before="200" w:line-rule="auto"/>
        <w:ind w:firstLine="540"/>
        <w:jc w:val="both"/>
      </w:pPr>
      <w:r>
        <w:rPr>
          <w:sz w:val="20"/>
        </w:rPr>
        <w:t xml:space="preserve">в) индивидуальные технические условия, являющиеся неотъемлемым приложением к договору (в случае, если индивидуальные технические условия в соответствии с настоящими Правилами подлежат согласованию с системным оператором, - индивидуальные технические условия, согласованные с системным оператором);</w:t>
      </w:r>
    </w:p>
    <w:p>
      <w:pPr>
        <w:pStyle w:val="0"/>
        <w:spacing w:before="200" w:line-rule="auto"/>
        <w:ind w:firstLine="540"/>
        <w:jc w:val="both"/>
      </w:pPr>
      <w:r>
        <w:rPr>
          <w:sz w:val="20"/>
        </w:rPr>
        <w:t xml:space="preserve">г) калькуляция затрат на технологическое присоединение с выделением стоимости каждого мероприятия, необходимого для осуществления сетевой организацией технологического присоединения по индивидуальному проекту;</w:t>
      </w:r>
    </w:p>
    <w:p>
      <w:pPr>
        <w:pStyle w:val="0"/>
        <w:spacing w:before="200" w:line-rule="auto"/>
        <w:ind w:firstLine="540"/>
        <w:jc w:val="both"/>
      </w:pPr>
      <w:r>
        <w:rPr>
          <w:sz w:val="20"/>
        </w:rPr>
        <w:t xml:space="preserve">д) расчет необходимой валовой выручки по технологическому присоединению с приложением экономического обоснования исходных данных (с указанием применяемых норм и нормативов расчета), выполненный в соответствии с методическими указаниями, утверждаемыми Федеральной антимонопольной службой.</w:t>
      </w:r>
    </w:p>
    <w:p>
      <w:pPr>
        <w:pStyle w:val="0"/>
        <w:jc w:val="both"/>
      </w:pPr>
      <w:r>
        <w:rPr>
          <w:sz w:val="20"/>
        </w:rPr>
        <w:t xml:space="preserve">(п. 30.1 введен </w:t>
      </w:r>
      <w:hyperlink w:history="0" r:id="rId903"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sz w:val="20"/>
            <w:color w:val="0000ff"/>
          </w:rPr>
          <w:t xml:space="preserve">Постановлением</w:t>
        </w:r>
      </w:hyperlink>
      <w:r>
        <w:rPr>
          <w:sz w:val="20"/>
        </w:rPr>
        <w:t xml:space="preserve"> Правительства РФ от 24.09.2010 N 759; в ред. </w:t>
      </w:r>
      <w:hyperlink w:history="0" r:id="rId904" w:tooltip="Постановление Правительства РФ от 04.09.2015 N 941 (ред. от 25.12.2021) &quot;О внесении изменений,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едеральной антимонопольной службой решений об определении (установлении) цен (тарифов) и (или) их предельных уровней в сфере деятельности субъектов естественных монополий и иных регулируемых организаций&quot; {КонсультантПлюс}">
        <w:r>
          <w:rPr>
            <w:sz w:val="20"/>
            <w:color w:val="0000ff"/>
          </w:rPr>
          <w:t xml:space="preserve">Постановления</w:t>
        </w:r>
      </w:hyperlink>
      <w:r>
        <w:rPr>
          <w:sz w:val="20"/>
        </w:rPr>
        <w:t xml:space="preserve"> Правительства РФ от 04.09.2015 N 941)</w:t>
      </w:r>
    </w:p>
    <w:p>
      <w:pPr>
        <w:pStyle w:val="0"/>
        <w:spacing w:before="200" w:line-rule="auto"/>
        <w:ind w:firstLine="540"/>
        <w:jc w:val="both"/>
      </w:pPr>
      <w:r>
        <w:rPr>
          <w:sz w:val="20"/>
        </w:rPr>
        <w:t xml:space="preserve">30(1-1). В случае нарушения по вине сетевой организации установленных сроков и порядка направления в уполномоченный орган исполнительной власти в области государственного регулирования тарифов заявления об установлении платы за технологическое присоединение по индивидуальному проекту сетевая организация обязана:</w:t>
      </w:r>
    </w:p>
    <w:bookmarkStart w:id="1606" w:name="P1606"/>
    <w:bookmarkEnd w:id="1606"/>
    <w:p>
      <w:pPr>
        <w:pStyle w:val="0"/>
        <w:spacing w:before="200" w:line-rule="auto"/>
        <w:ind w:firstLine="540"/>
        <w:jc w:val="both"/>
      </w:pPr>
      <w:r>
        <w:rPr>
          <w:sz w:val="20"/>
        </w:rPr>
        <w:t xml:space="preserve">в соответствии с условиями соглашения о порядке взаимодействия уплатить заявителю не позднее наступления даты полной оплаты заявителем услуги по технологическому присоединению по индивидуальному проекту, предусмотренной договором, неустойку, рассчитанную за каждый день просрочки как произведение 0,014 ключевой </w:t>
      </w:r>
      <w:hyperlink w:history="0" r:id="rId905"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ставки</w:t>
        </w:r>
      </w:hyperlink>
      <w:r>
        <w:rPr>
          <w:sz w:val="20"/>
        </w:rPr>
        <w:t xml:space="preserve"> Центрального банка Российской Федерации, установленной на дату заключения договора, и стоимости мероприятий, связанных с подготовкой индивидуальных технических условий и разработкой проектной документации (в случае, если заявка была подана на технологическое присоединение к объектам единой национальной (общероссийской) электрической сети), в размере, указанном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pPr>
        <w:pStyle w:val="0"/>
        <w:spacing w:before="200" w:line-rule="auto"/>
        <w:ind w:firstLine="540"/>
        <w:jc w:val="both"/>
      </w:pPr>
      <w:r>
        <w:rPr>
          <w:sz w:val="20"/>
        </w:rPr>
        <w:t xml:space="preserve">возместить заявителю понесенные им расходы, связанные с необходимостью принудительного взыскания неустойки, предусмотренной </w:t>
      </w:r>
      <w:hyperlink w:history="0" w:anchor="P1606" w:tooltip="в соответствии с условиями соглашения о порядке взаимодействия уплатить заявителю не позднее наступления даты полной оплаты заявителем услуги по технологическому присоединению по индивидуальному проекту, предусмотренной договором, неустойку, рассчитанную за каждый день просрочки как произведение 0,014 ключевой ставки Центрального банка Российской Федерации, установленной на дату заключения договора, и стоимости мероприятий, связанных с подготовкой индивидуальных технических условий и разработкой проектно...">
        <w:r>
          <w:rPr>
            <w:sz w:val="20"/>
            <w:color w:val="0000ff"/>
          </w:rPr>
          <w:t xml:space="preserve">абзацем вторым</w:t>
        </w:r>
      </w:hyperlink>
      <w:r>
        <w:rPr>
          <w:sz w:val="20"/>
        </w:rPr>
        <w:t xml:space="preserve"> настоящего пункта, в размере и порядке, которые определяются в судебном акте.</w:t>
      </w:r>
    </w:p>
    <w:p>
      <w:pPr>
        <w:pStyle w:val="0"/>
        <w:spacing w:before="200" w:line-rule="auto"/>
        <w:ind w:firstLine="540"/>
        <w:jc w:val="both"/>
      </w:pPr>
      <w:r>
        <w:rPr>
          <w:sz w:val="20"/>
        </w:rPr>
        <w:t xml:space="preserve">Совокупный размер неустойки не может превышать размер неустойки, предусмотренный </w:t>
      </w:r>
      <w:hyperlink w:history="0" w:anchor="P1606" w:tooltip="в соответствии с условиями соглашения о порядке взаимодействия уплатить заявителю не позднее наступления даты полной оплаты заявителем услуги по технологическому присоединению по индивидуальному проекту, предусмотренной договором, неустойку, рассчитанную за каждый день просрочки как произведение 0,014 ключевой ставки Центрального банка Российской Федерации, установленной на дату заключения договора, и стоимости мероприятий, связанных с подготовкой индивидуальных технических условий и разработкой проектно...">
        <w:r>
          <w:rPr>
            <w:sz w:val="20"/>
            <w:color w:val="0000ff"/>
          </w:rPr>
          <w:t xml:space="preserve">абзацем вторым</w:t>
        </w:r>
      </w:hyperlink>
      <w:r>
        <w:rPr>
          <w:sz w:val="20"/>
        </w:rPr>
        <w:t xml:space="preserve"> настоящего пункта, за год просрочки.</w:t>
      </w:r>
    </w:p>
    <w:p>
      <w:pPr>
        <w:pStyle w:val="0"/>
        <w:jc w:val="both"/>
      </w:pPr>
      <w:r>
        <w:rPr>
          <w:sz w:val="20"/>
        </w:rPr>
        <w:t xml:space="preserve">(п. 30(1-1) в ред. </w:t>
      </w:r>
      <w:hyperlink w:history="0" r:id="rId906" w:tooltip="Постановление Правительства РФ от 19.04.2019 N 47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19.04.2019 N 470)</w:t>
      </w:r>
    </w:p>
    <w:bookmarkStart w:id="1610" w:name="P1610"/>
    <w:bookmarkEnd w:id="1610"/>
    <w:p>
      <w:pPr>
        <w:pStyle w:val="0"/>
        <w:spacing w:before="200" w:line-rule="auto"/>
        <w:ind w:firstLine="540"/>
        <w:jc w:val="both"/>
      </w:pPr>
      <w:r>
        <w:rPr>
          <w:sz w:val="20"/>
        </w:rPr>
        <w:t xml:space="preserve">30(1-2). При технологическом присоединении по индивидуальному проекту к объектам единой национальной (общероссийской) электрической сети в соответствии с </w:t>
      </w:r>
      <w:hyperlink w:history="0" w:anchor="P1597" w:tooltip="30.1. Если присоединение энергопринимающих устройств требует строительства (реконструкции) объекта электросетевого хозяйства, не включенного в указанные в пункте 29 настоящих Правил инвестиционные программы на очередной период регулирования, и (или) строительства (реконструкции) генерирующего объекта, не включенного в обязательства производителей электрической энергии по предоставлению мощности, сетевая организация в 30-дневный срок после получения заявки направляет в уполномоченный орган исполнительной ...">
        <w:r>
          <w:rPr>
            <w:sz w:val="20"/>
            <w:color w:val="0000ff"/>
          </w:rPr>
          <w:t xml:space="preserve">пунктом 30(1)</w:t>
        </w:r>
      </w:hyperlink>
      <w:r>
        <w:rPr>
          <w:sz w:val="20"/>
        </w:rPr>
        <w:t xml:space="preserve"> настоящих Правил заключается до дня заключения соответствующего договора между сторонами соглашение о порядке взаимодействия, которое содержит положения по взаимодействию сторон при разработке индивидуальных технических условий и проектной документации, а также устанавливает ответственность за неисполнение либо ненадлежащее исполнение сторонами условий соглашения о порядке взаимодействия.</w:t>
      </w:r>
    </w:p>
    <w:p>
      <w:pPr>
        <w:pStyle w:val="0"/>
        <w:spacing w:before="200" w:line-rule="auto"/>
        <w:ind w:firstLine="540"/>
        <w:jc w:val="both"/>
      </w:pPr>
      <w:r>
        <w:rPr>
          <w:sz w:val="20"/>
        </w:rPr>
        <w:t xml:space="preserve">Сетевая организация в течение 10 рабочих дней со дня поступления заявки направляет в адрес заявителя оформленный и подписанный в 2 экземплярах проект соглашения о порядке взаимодействия способом, позволяющим подтвердить факт его получения заявителем.</w:t>
      </w:r>
    </w:p>
    <w:p>
      <w:pPr>
        <w:pStyle w:val="0"/>
        <w:spacing w:before="200" w:line-rule="auto"/>
        <w:ind w:firstLine="540"/>
        <w:jc w:val="both"/>
      </w:pPr>
      <w:r>
        <w:rPr>
          <w:sz w:val="20"/>
        </w:rPr>
        <w:t xml:space="preserve">Соглашение о порядке взаимодействия оформляется сетевой организацией в соответствии с типовым соглашением по </w:t>
      </w:r>
      <w:hyperlink w:history="0" w:anchor="P5383" w:tooltip="ТИПОВОЕ СОГЛАШЕНИЕ">
        <w:r>
          <w:rPr>
            <w:sz w:val="20"/>
            <w:color w:val="0000ff"/>
          </w:rPr>
          <w:t xml:space="preserve">форме</w:t>
        </w:r>
      </w:hyperlink>
      <w:r>
        <w:rPr>
          <w:sz w:val="20"/>
        </w:rPr>
        <w:t xml:space="preserve"> согласно приложению N 15(1).</w:t>
      </w:r>
    </w:p>
    <w:p>
      <w:pPr>
        <w:pStyle w:val="0"/>
        <w:spacing w:before="200" w:line-rule="auto"/>
        <w:ind w:firstLine="540"/>
        <w:jc w:val="both"/>
      </w:pPr>
      <w:r>
        <w:rPr>
          <w:sz w:val="20"/>
        </w:rPr>
        <w:t xml:space="preserve">Соглашение о порядке взаимодействия устанавливает порядок осуществления мероприятий по технологическому присоединению по индивидуальному проекту в части:</w:t>
      </w:r>
    </w:p>
    <w:p>
      <w:pPr>
        <w:pStyle w:val="0"/>
        <w:spacing w:before="200" w:line-rule="auto"/>
        <w:ind w:firstLine="540"/>
        <w:jc w:val="both"/>
      </w:pPr>
      <w:r>
        <w:rPr>
          <w:sz w:val="20"/>
        </w:rPr>
        <w:t xml:space="preserve">обязательств сетевой организации по разработке индивидуальных технических условий, включая их согласование с системным оператором в случаях, предусмотренных </w:t>
      </w:r>
      <w:hyperlink w:history="0" w:anchor="P1474" w:tooltip="21. В целях подготовки технических условий сетевая организация:">
        <w:r>
          <w:rPr>
            <w:sz w:val="20"/>
            <w:color w:val="0000ff"/>
          </w:rPr>
          <w:t xml:space="preserve">пунктом 21</w:t>
        </w:r>
      </w:hyperlink>
      <w:r>
        <w:rPr>
          <w:sz w:val="20"/>
        </w:rPr>
        <w:t xml:space="preserve"> настоящих Правил;</w:t>
      </w:r>
    </w:p>
    <w:p>
      <w:pPr>
        <w:pStyle w:val="0"/>
        <w:spacing w:before="200" w:line-rule="auto"/>
        <w:ind w:firstLine="540"/>
        <w:jc w:val="both"/>
      </w:pPr>
      <w:r>
        <w:rPr>
          <w:sz w:val="20"/>
        </w:rPr>
        <w:t xml:space="preserve">сроков разработки сетевой организацией проектной документации;</w:t>
      </w:r>
    </w:p>
    <w:p>
      <w:pPr>
        <w:pStyle w:val="0"/>
        <w:spacing w:before="200" w:line-rule="auto"/>
        <w:ind w:firstLine="540"/>
        <w:jc w:val="both"/>
      </w:pPr>
      <w:r>
        <w:rPr>
          <w:sz w:val="20"/>
        </w:rPr>
        <w:t xml:space="preserve">прав и обязанностей сетевой организации и заявителя, связанных с взаимодействием при разработке индивидуальных технических условий и проектной документации и возмещением расходов на их осуществление;</w:t>
      </w:r>
    </w:p>
    <w:p>
      <w:pPr>
        <w:pStyle w:val="0"/>
        <w:spacing w:before="200" w:line-rule="auto"/>
        <w:ind w:firstLine="540"/>
        <w:jc w:val="both"/>
      </w:pPr>
      <w:r>
        <w:rPr>
          <w:sz w:val="20"/>
        </w:rPr>
        <w:t xml:space="preserve">прав и обязанностей сетевой организации и заявителя, связанных с предоставлением информации о технических характеристиках технологического присоединения.</w:t>
      </w:r>
    </w:p>
    <w:p>
      <w:pPr>
        <w:pStyle w:val="0"/>
        <w:spacing w:before="200" w:line-rule="auto"/>
        <w:ind w:firstLine="540"/>
        <w:jc w:val="both"/>
      </w:pPr>
      <w:r>
        <w:rPr>
          <w:sz w:val="20"/>
        </w:rPr>
        <w:t xml:space="preserve">Заявитель в течение 10 рабочих дней со дня получения проекта соглашения о порядке взаимодействия подписывает оба экземпляра и направляет 1 экземпляр сетевой организации с приложением к нему документов, подтверждающих полномочия лица, подписавшего соглашение о порядке взаимодействия.</w:t>
      </w:r>
    </w:p>
    <w:p>
      <w:pPr>
        <w:pStyle w:val="0"/>
        <w:spacing w:before="200" w:line-rule="auto"/>
        <w:ind w:firstLine="540"/>
        <w:jc w:val="both"/>
      </w:pPr>
      <w:r>
        <w:rPr>
          <w:sz w:val="20"/>
        </w:rPr>
        <w:t xml:space="preserve">В случае несогласия с представленным сетевой организацией проектом соглашения о порядке взаимодействия и (или) несоответствия его настоящим Правилам заявитель вправе в течение 10 рабочих дней со дня получения подписанного сетевой организацией проекта соглашения о порядке взаимодействия направить сетевой организации мотивированный отказ от подписания проекта соглашения о порядке взаимодействия с предложением об изменении представленного проекта соглашения о порядке взаимодействия и требованием о приведении его в соответствие с настоящими Правилами. Указанный мотивированный отказ направляется заявителем в сетевую организацию заказным письмом с уведомлением о вручении.</w:t>
      </w:r>
    </w:p>
    <w:p>
      <w:pPr>
        <w:pStyle w:val="0"/>
        <w:spacing w:before="200" w:line-rule="auto"/>
        <w:ind w:firstLine="540"/>
        <w:jc w:val="both"/>
      </w:pPr>
      <w:r>
        <w:rPr>
          <w:sz w:val="20"/>
        </w:rPr>
        <w:t xml:space="preserve">В случае направления заявителем в течение 10 рабочих дней после получения от сетевой организации проекта соглашения о порядке взаимодействия мотивированного отказа от подписания проекта соглашения о порядке взаимодействия с требованием приведения его в соответствие с настоящими Правилами сетевая организация обязана привести проект соглашения о порядке взаимодействия в соответствие с настоящими Правилами в течение 10 рабочих дней со дня получения такого требования и направить заявителю новую редакцию проекта соглашения о порядке взаимодействия для подписания.</w:t>
      </w:r>
    </w:p>
    <w:p>
      <w:pPr>
        <w:pStyle w:val="0"/>
        <w:spacing w:before="200" w:line-rule="auto"/>
        <w:ind w:firstLine="540"/>
        <w:jc w:val="both"/>
      </w:pPr>
      <w:r>
        <w:rPr>
          <w:sz w:val="20"/>
        </w:rPr>
        <w:t xml:space="preserve">Соглашение о порядке взаимодействия считается заключенным со дня получения сетевой организацией подписанного заявителем соглашения о порядке взаимодействия, если иное не установлено соглашением о порядке взаимодействия.</w:t>
      </w:r>
    </w:p>
    <w:p>
      <w:pPr>
        <w:pStyle w:val="0"/>
        <w:spacing w:before="200" w:line-rule="auto"/>
        <w:ind w:firstLine="540"/>
        <w:jc w:val="both"/>
      </w:pPr>
      <w:r>
        <w:rPr>
          <w:sz w:val="20"/>
        </w:rPr>
        <w:t xml:space="preserve">При осуществлении технологического присоединения по индивидуальному проекту к объектам единой национальной (общероссийской) электрической сети поданная заявителем заявка аннулируется сетевой организацией в случае:</w:t>
      </w:r>
    </w:p>
    <w:p>
      <w:pPr>
        <w:pStyle w:val="0"/>
        <w:spacing w:before="200" w:line-rule="auto"/>
        <w:ind w:firstLine="540"/>
        <w:jc w:val="both"/>
      </w:pPr>
      <w:r>
        <w:rPr>
          <w:sz w:val="20"/>
        </w:rPr>
        <w:t xml:space="preserve">поступления в сетевую организацию отказа заявителя от подписания соглашения о порядке взаимодействия, за исключением мотивированного отказа с требованием приведения соглашения о порядке взаимодействия в соответствие с настоящими Правилами;</w:t>
      </w:r>
    </w:p>
    <w:p>
      <w:pPr>
        <w:pStyle w:val="0"/>
        <w:spacing w:before="200" w:line-rule="auto"/>
        <w:ind w:firstLine="540"/>
        <w:jc w:val="both"/>
      </w:pPr>
      <w:r>
        <w:rPr>
          <w:sz w:val="20"/>
        </w:rPr>
        <w:t xml:space="preserve">ненаправления заявителем подписанного проекта соглашения о порядке взаимодействия, но не ранее чем через 30 рабочих дней со дня получения заявителем подписанного сетевой организацией проекта соглашения о порядке взаимодействия.</w:t>
      </w:r>
    </w:p>
    <w:p>
      <w:pPr>
        <w:pStyle w:val="0"/>
        <w:spacing w:before="200" w:line-rule="auto"/>
        <w:ind w:firstLine="540"/>
        <w:jc w:val="both"/>
      </w:pPr>
      <w:r>
        <w:rPr>
          <w:sz w:val="20"/>
        </w:rPr>
        <w:t xml:space="preserve">Заявитель вправе в одностороннем порядке отказаться от исполнения соглашения о порядке взаимодействия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при условии предварительного письменного уведомления сетевой организации, направленного не позднее чем за 10 рабочих дней до дня, указанного заявителем, начиная с которого заявитель отказывается от исполнения обязательств, и при условии возмещения сетевой организации фактически понесенных ею расходов, связанных с подготовкой индивидуальных технических условий и разработкой проектной документации.</w:t>
      </w:r>
    </w:p>
    <w:p>
      <w:pPr>
        <w:pStyle w:val="0"/>
        <w:spacing w:before="200" w:line-rule="auto"/>
        <w:ind w:firstLine="540"/>
        <w:jc w:val="both"/>
      </w:pPr>
      <w:r>
        <w:rPr>
          <w:sz w:val="20"/>
        </w:rPr>
        <w:t xml:space="preserve">Возмещение расходов, понесенных сетевой организацией в ходе выполнения мероприятий по подготовке индивидуальных технических условий и разработке проектной документации, осуществляется заявителем в течение 10 дней со дня поступления соответствующих требований от сетевой организации с учетом особенностей, предусмотренных </w:t>
      </w:r>
      <w:hyperlink w:history="0" w:anchor="P1656" w:tooltip="В случае если в соответствии с соглашением о порядке взаимодействия заявителем был выплачен авансовый платеж, сетевая организация вправе предъявить требования о возмещении расходов в соответствии с абзацем пятым настоящего пункта только в части превышения размера таких расходов над размером авансового платежа.">
        <w:r>
          <w:rPr>
            <w:sz w:val="20"/>
            <w:color w:val="0000ff"/>
          </w:rPr>
          <w:t xml:space="preserve">абзацем шестым пункта 30(4)</w:t>
        </w:r>
      </w:hyperlink>
      <w:r>
        <w:rPr>
          <w:sz w:val="20"/>
        </w:rPr>
        <w:t xml:space="preserve"> настоящих Правил.</w:t>
      </w:r>
    </w:p>
    <w:p>
      <w:pPr>
        <w:pStyle w:val="0"/>
        <w:spacing w:before="200" w:line-rule="auto"/>
        <w:ind w:firstLine="540"/>
        <w:jc w:val="both"/>
      </w:pPr>
      <w:r>
        <w:rPr>
          <w:sz w:val="20"/>
        </w:rPr>
        <w:t xml:space="preserve">По инициативе заявителя с согласия сетевой организации в соглашение о порядке взаимодействия могут быть включены обязательства заявителя:</w:t>
      </w:r>
    </w:p>
    <w:p>
      <w:pPr>
        <w:pStyle w:val="0"/>
        <w:spacing w:before="200" w:line-rule="auto"/>
        <w:ind w:firstLine="540"/>
        <w:jc w:val="both"/>
      </w:pPr>
      <w:r>
        <w:rPr>
          <w:sz w:val="20"/>
        </w:rPr>
        <w:t xml:space="preserve">по разработке проектной документации и передаче ее сетевой организации;</w:t>
      </w:r>
    </w:p>
    <w:p>
      <w:pPr>
        <w:pStyle w:val="0"/>
        <w:spacing w:before="200" w:line-rule="auto"/>
        <w:ind w:firstLine="540"/>
        <w:jc w:val="both"/>
      </w:pPr>
      <w:r>
        <w:rPr>
          <w:sz w:val="20"/>
        </w:rPr>
        <w:t xml:space="preserve">по внесению авансового платежа за осуществление сетевой организацией мероприятий по технологическому присоединению, связанных с разработкой проектной документации и индивидуальных технических условий.</w:t>
      </w:r>
    </w:p>
    <w:p>
      <w:pPr>
        <w:pStyle w:val="0"/>
        <w:spacing w:before="200" w:line-rule="auto"/>
        <w:ind w:firstLine="540"/>
        <w:jc w:val="both"/>
      </w:pPr>
      <w:r>
        <w:rPr>
          <w:sz w:val="20"/>
        </w:rPr>
        <w:t xml:space="preserve">В случае включения в соглашение о порядке взаимодействия обязательств заявителя по внесению авансового платежа такой платеж засчитывается в качестве:</w:t>
      </w:r>
    </w:p>
    <w:p>
      <w:pPr>
        <w:pStyle w:val="0"/>
        <w:spacing w:before="200" w:line-rule="auto"/>
        <w:ind w:firstLine="540"/>
        <w:jc w:val="both"/>
      </w:pPr>
      <w:r>
        <w:rPr>
          <w:sz w:val="20"/>
        </w:rPr>
        <w:t xml:space="preserve">возмещения расходов сетевой организации на подготовку индивидуальных технических условий и разработку проектной документации, если заявитель в одностороннем порядке отказался от исполнения соглашения о порядке взаимодействия или заключения договора;</w:t>
      </w:r>
    </w:p>
    <w:p>
      <w:pPr>
        <w:pStyle w:val="0"/>
        <w:spacing w:before="200" w:line-rule="auto"/>
        <w:ind w:firstLine="540"/>
        <w:jc w:val="both"/>
      </w:pPr>
      <w:r>
        <w:rPr>
          <w:sz w:val="20"/>
        </w:rPr>
        <w:t xml:space="preserve">оплаты по договору об осуществлении технологического присоединения в части стоимости мероприятий по подготовке индивидуальных технических условий и разработке проектной документации, включенной в установленную плату за технологическое присоединение по индивидуальному проекту.</w:t>
      </w:r>
    </w:p>
    <w:p>
      <w:pPr>
        <w:pStyle w:val="0"/>
        <w:spacing w:before="200" w:line-rule="auto"/>
        <w:ind w:firstLine="540"/>
        <w:jc w:val="both"/>
      </w:pPr>
      <w:r>
        <w:rPr>
          <w:sz w:val="20"/>
        </w:rPr>
        <w:t xml:space="preserve">Денежные средства, полученные сетевой организацией в качестве авансового платежа по соглашению о порядке взаимодействия, превышающие стоимость мероприятий по подготовке индивидуальных технических условий и разработке проектной документации, подлежат возврату заявителю в течение 10 дней:</w:t>
      </w:r>
    </w:p>
    <w:p>
      <w:pPr>
        <w:pStyle w:val="0"/>
        <w:spacing w:before="200" w:line-rule="auto"/>
        <w:ind w:firstLine="540"/>
        <w:jc w:val="both"/>
      </w:pPr>
      <w:r>
        <w:rPr>
          <w:sz w:val="20"/>
        </w:rPr>
        <w:t xml:space="preserve">со дня получения сетевой организацией уведомления заявителя об отказе от исполнения соглашения о порядке взаимодействия или заключения договора в размере, превышающем фактическую стоимость указанных мероприятий;</w:t>
      </w:r>
    </w:p>
    <w:p>
      <w:pPr>
        <w:pStyle w:val="0"/>
        <w:spacing w:before="200" w:line-rule="auto"/>
        <w:ind w:firstLine="540"/>
        <w:jc w:val="both"/>
      </w:pPr>
      <w:r>
        <w:rPr>
          <w:sz w:val="20"/>
        </w:rPr>
        <w:t xml:space="preserve">со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в размере, превышающем стоимость указанных мероприятий, включенную в плату за технологическое присоединение по индивидуальному проекту, если иное не установлено договором по индивидуальному проекту.</w:t>
      </w:r>
    </w:p>
    <w:p>
      <w:pPr>
        <w:pStyle w:val="0"/>
        <w:jc w:val="both"/>
      </w:pPr>
      <w:r>
        <w:rPr>
          <w:sz w:val="20"/>
        </w:rPr>
        <w:t xml:space="preserve">(п. 30(1-2) введен </w:t>
      </w:r>
      <w:hyperlink w:history="0" r:id="rId907" w:tooltip="Постановление Правительства РФ от 19.04.2019 N 47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19.04.2019 N 470)</w:t>
      </w:r>
    </w:p>
    <w:p>
      <w:pPr>
        <w:pStyle w:val="0"/>
        <w:spacing w:before="200" w:line-rule="auto"/>
        <w:ind w:firstLine="540"/>
        <w:jc w:val="both"/>
      </w:pPr>
      <w:r>
        <w:rPr>
          <w:sz w:val="20"/>
        </w:rPr>
        <w:t xml:space="preserve">30.2. Сетевая организация уведомляет заявителя о направлении заявления об установлении платы с приложенными к нему материалами в уполномоченный орган исполнительной власти в области государственного регулирования тарифов в срок не позднее 3 рабочих дней со дня их направления. По запросу заявителя сетевая организация в течение 3 рабочих дней со дня получения такого запроса направляет заявителю копию указанного заявления и материалов, а также сведений и документов, которые в соответствии с </w:t>
      </w:r>
      <w:hyperlink w:history="0" w:anchor="P1643" w:tooltip="При отсутствии документов и сведений, необходимых для расчета платы за технологическое присоединение по индивидуальному проекту, уполномоченный орган исполнительной власти в области государственного регулирования тарифов в течение 7 дней со дня поступления заявления об установлении платы уведомляет об этом сетевую организацию, а сетевая организация направляет в уполномоченный орган исполнительной власти в области государственного регулирования тарифов соответствующие документы и сведения в срок не поздне...">
        <w:r>
          <w:rPr>
            <w:sz w:val="20"/>
            <w:color w:val="0000ff"/>
          </w:rPr>
          <w:t xml:space="preserve">абзацем вторым пункта 30(3)</w:t>
        </w:r>
      </w:hyperlink>
      <w:r>
        <w:rPr>
          <w:sz w:val="20"/>
        </w:rPr>
        <w:t xml:space="preserve"> настоящих Правил направлялись в уполномоченный орган исполнительной власти в области государственного регулирования тарифов.</w:t>
      </w:r>
    </w:p>
    <w:p>
      <w:pPr>
        <w:pStyle w:val="0"/>
        <w:jc w:val="both"/>
      </w:pPr>
      <w:r>
        <w:rPr>
          <w:sz w:val="20"/>
        </w:rPr>
        <w:t xml:space="preserve">(в ред. </w:t>
      </w:r>
      <w:hyperlink w:history="0" r:id="rId908"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29.12.2021 N 2566)</w:t>
      </w:r>
    </w:p>
    <w:p>
      <w:pPr>
        <w:pStyle w:val="0"/>
        <w:spacing w:before="200" w:line-rule="auto"/>
        <w:ind w:firstLine="540"/>
        <w:jc w:val="both"/>
      </w:pPr>
      <w:r>
        <w:rPr>
          <w:sz w:val="20"/>
        </w:rPr>
        <w:t xml:space="preserve">Сетевая организация уведомляет заявителя о принятии решения об изменениях технических характеристик технологического присоединения, которые возникли в процессе и (или) по результатам разработки проектной документации и которые могут повлиять на разработку проектной документации заявителя в пределах границ его участка. Сетевая организация должна уведомить заявителя в течение 5 рабочих дней со дня принятия такого решения в случае, если сведения о технических характеристиках технологического присоединения ранее направлялись заявителю по его запросу.</w:t>
      </w:r>
    </w:p>
    <w:p>
      <w:pPr>
        <w:pStyle w:val="0"/>
        <w:jc w:val="both"/>
      </w:pPr>
      <w:r>
        <w:rPr>
          <w:sz w:val="20"/>
        </w:rPr>
        <w:t xml:space="preserve">(абзац введен </w:t>
      </w:r>
      <w:hyperlink w:history="0" r:id="rId909" w:tooltip="Постановление Правительства РФ от 19.04.2019 N 47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19.04.2019 N 470)</w:t>
      </w:r>
    </w:p>
    <w:p>
      <w:pPr>
        <w:pStyle w:val="0"/>
        <w:jc w:val="both"/>
      </w:pPr>
      <w:r>
        <w:rPr>
          <w:sz w:val="20"/>
        </w:rPr>
        <w:t xml:space="preserve">(п. 30.2 введен </w:t>
      </w:r>
      <w:hyperlink w:history="0" r:id="rId910"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sz w:val="20"/>
            <w:color w:val="0000ff"/>
          </w:rPr>
          <w:t xml:space="preserve">Постановлением</w:t>
        </w:r>
      </w:hyperlink>
      <w:r>
        <w:rPr>
          <w:sz w:val="20"/>
        </w:rPr>
        <w:t xml:space="preserve"> Правительства РФ от 24.09.2010 N 759)</w:t>
      </w:r>
    </w:p>
    <w:p>
      <w:pPr>
        <w:pStyle w:val="0"/>
        <w:spacing w:before="200" w:line-rule="auto"/>
        <w:ind w:firstLine="540"/>
        <w:jc w:val="both"/>
      </w:pPr>
      <w:r>
        <w:rPr>
          <w:sz w:val="20"/>
        </w:rPr>
        <w:t xml:space="preserve">30.3. Уполномоченный орган исполнительной власти в области государственного регулирования тарифов 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технологического присоединения по индивидуальному проекту, в течение 30 рабочих дней со дня поступления заявления об установлении платы.</w:t>
      </w:r>
    </w:p>
    <w:bookmarkStart w:id="1643" w:name="P1643"/>
    <w:bookmarkEnd w:id="1643"/>
    <w:p>
      <w:pPr>
        <w:pStyle w:val="0"/>
        <w:spacing w:before="200" w:line-rule="auto"/>
        <w:ind w:firstLine="540"/>
        <w:jc w:val="both"/>
      </w:pPr>
      <w:r>
        <w:rPr>
          <w:sz w:val="20"/>
        </w:rPr>
        <w:t xml:space="preserve">При отсутствии документов и сведений, необходимых для расчета платы за технологическое присоединение по индивидуальному проекту, уполномоченный орган исполнительной власти в области государственного регулирования тарифов в течение 7 дней со дня поступления заявления об установлении платы уведомляет об этом сетевую организацию, а сетевая организация направляет в уполномоченный орган исполнительной власти в области государственного регулирования тарифов соответствующие документы и сведения в срок не позднее 5 дней со дня получения соответствующего уведомления. Уполномоченный орган исполнительной власти в области государственного регулирования тарифов 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технологического присоединения по индивидуальному проекту, в течение 30 рабочих дней со дня получения запрошенных документов и сведений.</w:t>
      </w:r>
    </w:p>
    <w:p>
      <w:pPr>
        <w:pStyle w:val="0"/>
        <w:spacing w:before="200" w:line-rule="auto"/>
        <w:ind w:firstLine="540"/>
        <w:jc w:val="both"/>
      </w:pPr>
      <w:r>
        <w:rPr>
          <w:sz w:val="20"/>
        </w:rPr>
        <w:t xml:space="preserve">В случае если технические условия подлежат в соответствии с настоящими Правилами согласованию с соответствующим субъектом оперативно-диспетчерского управления, срок утверждения платы за технологическое присоединение по индивидуальному проекту устанавливается уполномоченным органом исполнительной власти в области государственного регулирования тарифов. При этом указанный срок не может превышать 45 рабочих дней.</w:t>
      </w:r>
    </w:p>
    <w:p>
      <w:pPr>
        <w:pStyle w:val="0"/>
        <w:jc w:val="both"/>
      </w:pPr>
      <w:r>
        <w:rPr>
          <w:sz w:val="20"/>
        </w:rPr>
        <w:t xml:space="preserve">(в ред. Постановлений Правительства РФ от 04.05.2012 </w:t>
      </w:r>
      <w:hyperlink w:history="0" r:id="rId911"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N 442</w:t>
        </w:r>
      </w:hyperlink>
      <w:r>
        <w:rPr>
          <w:sz w:val="20"/>
        </w:rPr>
        <w:t xml:space="preserve">, от 29.07.2013 </w:t>
      </w:r>
      <w:hyperlink w:history="0" r:id="rId912" w:tooltip="Постановление Правительства РФ от 29.07.2013 N 64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640</w:t>
        </w:r>
      </w:hyperlink>
      <w:r>
        <w:rPr>
          <w:sz w:val="20"/>
        </w:rPr>
        <w:t xml:space="preserve">)</w:t>
      </w:r>
    </w:p>
    <w:p>
      <w:pPr>
        <w:pStyle w:val="0"/>
        <w:jc w:val="both"/>
      </w:pPr>
      <w:r>
        <w:rPr>
          <w:sz w:val="20"/>
        </w:rPr>
        <w:t xml:space="preserve">(п. 30.3 введен </w:t>
      </w:r>
      <w:hyperlink w:history="0" r:id="rId913"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sz w:val="20"/>
            <w:color w:val="0000ff"/>
          </w:rPr>
          <w:t xml:space="preserve">Постановлением</w:t>
        </w:r>
      </w:hyperlink>
      <w:r>
        <w:rPr>
          <w:sz w:val="20"/>
        </w:rPr>
        <w:t xml:space="preserve"> Правительства РФ от 24.09.2010 N 759)</w:t>
      </w:r>
    </w:p>
    <w:bookmarkStart w:id="1647" w:name="P1647"/>
    <w:bookmarkEnd w:id="1647"/>
    <w:p>
      <w:pPr>
        <w:pStyle w:val="0"/>
        <w:spacing w:before="200" w:line-rule="auto"/>
        <w:ind w:firstLine="540"/>
        <w:jc w:val="both"/>
      </w:pPr>
      <w:r>
        <w:rPr>
          <w:sz w:val="20"/>
        </w:rPr>
        <w:t xml:space="preserve">30.4. В случае осуществления технологического присоединения по индивидуальному проекту сетевая организация направляет заявителю для подписания заполненный и подписанный со своей стороны проект договора в 2 экземплярах, индивидуальные технические условия (в случае, если индивидуальные технические условия в соответствии с настоящими Правилами подлежат согласованию с системным оператором, - индивидуальные технические условия, согласованные с системным оператором), являющиеся неотъемлемым приложением к этому договору, а также копию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 не позднее 3 рабочих дней со дня вступления в силу указанного решения.</w:t>
      </w:r>
    </w:p>
    <w:p>
      <w:pPr>
        <w:pStyle w:val="0"/>
        <w:jc w:val="both"/>
      </w:pPr>
      <w:r>
        <w:rPr>
          <w:sz w:val="20"/>
        </w:rPr>
        <w:t xml:space="preserve">(в ред. </w:t>
      </w:r>
      <w:hyperlink w:history="0" r:id="rId914" w:tooltip="Постановление Правительства РФ от 19.04.2019 N 47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19.04.2019 N 470)</w:t>
      </w:r>
    </w:p>
    <w:p>
      <w:pPr>
        <w:pStyle w:val="0"/>
        <w:spacing w:before="200" w:line-rule="auto"/>
        <w:ind w:firstLine="540"/>
        <w:jc w:val="both"/>
      </w:pPr>
      <w:r>
        <w:rPr>
          <w:sz w:val="20"/>
        </w:rPr>
        <w:t xml:space="preserve">В случае если заявитель выразит согласие осуществить расчеты за технологическое присоединение по индивидуальному проекту в размере, установленном уполномоченным органом исполнительной власти в области государственного регулирования тарифов, сетевая организация не вправе отказать в заключении договора. Заявитель подписывает оба экземпляра проекта договора в течение 10 рабочих дней со дня получения подписанного сетевой организацией проекта договора и направляет в указанный срок один экземпляр договора сетевой организации с приложением к нему документов, подтверждающих полномочия лица, подписавшего такой договор.</w:t>
      </w:r>
    </w:p>
    <w:p>
      <w:pPr>
        <w:pStyle w:val="0"/>
        <w:jc w:val="both"/>
      </w:pPr>
      <w:r>
        <w:rPr>
          <w:sz w:val="20"/>
        </w:rPr>
        <w:t xml:space="preserve">(в ред. </w:t>
      </w:r>
      <w:hyperlink w:history="0" r:id="rId915" w:tooltip="Постановление Правительства РФ от 19.04.2019 N 47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19.04.2019 N 470)</w:t>
      </w:r>
    </w:p>
    <w:p>
      <w:pPr>
        <w:pStyle w:val="0"/>
        <w:spacing w:before="200" w:line-rule="auto"/>
        <w:ind w:firstLine="540"/>
        <w:jc w:val="both"/>
      </w:pPr>
      <w:r>
        <w:rPr>
          <w:sz w:val="20"/>
        </w:rPr>
        <w:t xml:space="preserve">Исполнение указанных в индивидуальных технических условиях мероприятий либо их части может быть осуществлено как сетевой организацией, так и заявителем (по выбору заявителя). В отношении заявителей, границы участков которых подлежат определению в соответствии с </w:t>
      </w:r>
      <w:hyperlink w:history="0" w:anchor="P1297" w:tooltip="При осуществлении технологического присоединения планируемого к строительству и (или) первичному вводу в эксплуатацию многоквартирного дома под границей участка заявителя понимается предусмотренное проектом на такой дом вводное устройство (вводно-распределительное устройство, главный распределительный щит).">
        <w:r>
          <w:rPr>
            <w:sz w:val="20"/>
            <w:color w:val="0000ff"/>
          </w:rPr>
          <w:t xml:space="preserve">абзацем третьим</w:t>
        </w:r>
      </w:hyperlink>
      <w:r>
        <w:rPr>
          <w:sz w:val="20"/>
        </w:rPr>
        <w:t xml:space="preserve"> или </w:t>
      </w:r>
      <w:hyperlink w:history="0" w:anchor="P1299" w:tooltip="При осуществлении технологического присоединения энергопринимающих устройств заявителя, находящихся в объектах капитального строительства, расположенных на земельном участке в границах территории, в отношении которой заключен договор о комплексном развитии территории в соответствии с Градостроительным кодексом Российской Федерации, или на земельных участках, образованных из такого земельного участка в соответствии с утвержденным проектом межевания территории, под границей участка заявителя понимается вво...">
        <w:r>
          <w:rPr>
            <w:sz w:val="20"/>
            <w:color w:val="0000ff"/>
          </w:rPr>
          <w:t xml:space="preserve">четвертым пункта 16(1)</w:t>
        </w:r>
      </w:hyperlink>
      <w:r>
        <w:rPr>
          <w:sz w:val="20"/>
        </w:rPr>
        <w:t xml:space="preserve"> настоящих Правил, реализация мероприятий по выбору заявителя производится только в случаях и порядке, предусмотренных </w:t>
      </w:r>
      <w:hyperlink w:history="0" w:anchor="P1337" w:tooltip="16(7). В случае подачи до 31 декабря 2023 г. заявки заявителем, границы участка которого подлежат определению в соответствии с абзацем третьим или четвертым пункта 16(1) настоящих Правил, заявителем по его выбору может самостоятельно обеспечиваться реализация мероприятий (части мероприятий), предусмотренных техническими условиями для осуществления:">
        <w:r>
          <w:rPr>
            <w:sz w:val="20"/>
            <w:color w:val="0000ff"/>
          </w:rPr>
          <w:t xml:space="preserve">пунктом 16(7)</w:t>
        </w:r>
      </w:hyperlink>
      <w:r>
        <w:rPr>
          <w:sz w:val="20"/>
        </w:rPr>
        <w:t xml:space="preserve"> настоящих Правил.</w:t>
      </w:r>
    </w:p>
    <w:p>
      <w:pPr>
        <w:pStyle w:val="0"/>
        <w:jc w:val="both"/>
      </w:pPr>
      <w:r>
        <w:rPr>
          <w:sz w:val="20"/>
        </w:rPr>
        <w:t xml:space="preserve">(в ред. </w:t>
      </w:r>
      <w:hyperlink w:history="0" r:id="rId916"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29.12.2021 N 2566)</w:t>
      </w:r>
    </w:p>
    <w:p>
      <w:pPr>
        <w:pStyle w:val="0"/>
        <w:spacing w:before="200" w:line-rule="auto"/>
        <w:ind w:firstLine="540"/>
        <w:jc w:val="both"/>
      </w:pPr>
      <w:r>
        <w:rPr>
          <w:sz w:val="20"/>
        </w:rPr>
        <w:t xml:space="preserve">В случае если мероприятия по технологическому присоединению по индивидуальному проекту либо их часть осуществляются заявителем, в договоре указываются конкретные мероприятия, выполняемые заявителем, при этом размер платы за технологическое присоединение для заявителя уменьшается на стоимость выполняемых им мероприятий, указанную в решении уполномоченного органа исполнительной власти в области государственного регулирования тарифов.</w:t>
      </w:r>
    </w:p>
    <w:bookmarkStart w:id="1654" w:name="P1654"/>
    <w:bookmarkEnd w:id="1654"/>
    <w:p>
      <w:pPr>
        <w:pStyle w:val="0"/>
        <w:spacing w:before="200" w:line-rule="auto"/>
        <w:ind w:firstLine="540"/>
        <w:jc w:val="both"/>
      </w:pPr>
      <w:r>
        <w:rPr>
          <w:sz w:val="20"/>
        </w:rPr>
        <w:t xml:space="preserve">В случае если после установления платы за технологическое присоединение по индивидуальному проекту сетевой организацией был получен отказ заявителя от заключения договора по индивидуальному проекту либо не направлен заявителем в адрес сетевой организации подписанный проект договора по индивидуальному проекту в течение 30 рабочих дней со дня получения такого договора заявителем, заявитель в течение 10 дней со дня предъявления соответствующих требований оплачивает сетевой организации фактически понесенные ею расходы, связанные с подготовкой индивидуальных технических условий и разработкой проектной документации (в случае, если заявка была подана на технологическое присоединение к объектам единой национальной (общероссийской) электрической сети), в размере стоимости этих мероприятий, указанной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 с учетом особенностей, предусмотренных </w:t>
      </w:r>
      <w:hyperlink w:history="0" w:anchor="P1656" w:tooltip="В случае если в соответствии с соглашением о порядке взаимодействия заявителем был выплачен авансовый платеж, сетевая организация вправе предъявить требования о возмещении расходов в соответствии с абзацем пятым настоящего пункта только в части превышения размера таких расходов над размером авансового платежа.">
        <w:r>
          <w:rPr>
            <w:sz w:val="20"/>
            <w:color w:val="0000ff"/>
          </w:rPr>
          <w:t xml:space="preserve">абзацем шестым</w:t>
        </w:r>
      </w:hyperlink>
      <w:r>
        <w:rPr>
          <w:sz w:val="20"/>
        </w:rPr>
        <w:t xml:space="preserve"> настоящего пункта.</w:t>
      </w:r>
    </w:p>
    <w:p>
      <w:pPr>
        <w:pStyle w:val="0"/>
        <w:jc w:val="both"/>
      </w:pPr>
      <w:r>
        <w:rPr>
          <w:sz w:val="20"/>
        </w:rPr>
        <w:t xml:space="preserve">(в ред. </w:t>
      </w:r>
      <w:hyperlink w:history="0" r:id="rId917" w:tooltip="Постановление Правительства РФ от 19.04.2019 N 47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19.04.2019 N 470)</w:t>
      </w:r>
    </w:p>
    <w:bookmarkStart w:id="1656" w:name="P1656"/>
    <w:bookmarkEnd w:id="1656"/>
    <w:p>
      <w:pPr>
        <w:pStyle w:val="0"/>
        <w:spacing w:before="200" w:line-rule="auto"/>
        <w:ind w:firstLine="540"/>
        <w:jc w:val="both"/>
      </w:pPr>
      <w:r>
        <w:rPr>
          <w:sz w:val="20"/>
        </w:rPr>
        <w:t xml:space="preserve">В случае если в соответствии с соглашением о порядке взаимодействия заявителем был выплачен авансовый платеж, сетевая организация вправе предъявить требования о возмещении расходов в соответствии с </w:t>
      </w:r>
      <w:hyperlink w:history="0" w:anchor="P1654" w:tooltip="В случае если после установления платы за технологическое присоединение по индивидуальному проекту сетевой организацией был получен отказ заявителя от заключения договора по индивидуальному проекту либо не направлен заявителем в адрес сетевой организации подписанный проект договора по индивидуальному проекту в течение 30 рабочих дней со дня получения такого договора заявителем, заявитель в течение 10 дней со дня предъявления соответствующих требований оплачивает сетевой организации фактически понесенные ...">
        <w:r>
          <w:rPr>
            <w:sz w:val="20"/>
            <w:color w:val="0000ff"/>
          </w:rPr>
          <w:t xml:space="preserve">абзацем пятым</w:t>
        </w:r>
      </w:hyperlink>
      <w:r>
        <w:rPr>
          <w:sz w:val="20"/>
        </w:rPr>
        <w:t xml:space="preserve"> настоящего пункта только в части превышения размера таких расходов над размером авансового платежа.</w:t>
      </w:r>
    </w:p>
    <w:p>
      <w:pPr>
        <w:pStyle w:val="0"/>
        <w:jc w:val="both"/>
      </w:pPr>
      <w:r>
        <w:rPr>
          <w:sz w:val="20"/>
        </w:rPr>
        <w:t xml:space="preserve">(абзац введен </w:t>
      </w:r>
      <w:hyperlink w:history="0" r:id="rId918" w:tooltip="Постановление Правительства РФ от 19.04.2019 N 47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19.04.2019 N 470)</w:t>
      </w:r>
    </w:p>
    <w:p>
      <w:pPr>
        <w:pStyle w:val="0"/>
        <w:jc w:val="both"/>
      </w:pPr>
      <w:r>
        <w:rPr>
          <w:sz w:val="20"/>
        </w:rPr>
        <w:t xml:space="preserve">(п. 30.4 введен </w:t>
      </w:r>
      <w:hyperlink w:history="0" r:id="rId919"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sz w:val="20"/>
            <w:color w:val="0000ff"/>
          </w:rPr>
          <w:t xml:space="preserve">Постановлением</w:t>
        </w:r>
      </w:hyperlink>
      <w:r>
        <w:rPr>
          <w:sz w:val="20"/>
        </w:rPr>
        <w:t xml:space="preserve"> Правительства РФ от 24.09.2010 N 759)</w:t>
      </w:r>
    </w:p>
    <w:p>
      <w:pPr>
        <w:pStyle w:val="0"/>
        <w:spacing w:before="200" w:line-rule="auto"/>
        <w:ind w:firstLine="540"/>
        <w:jc w:val="both"/>
      </w:pPr>
      <w:r>
        <w:rPr>
          <w:sz w:val="20"/>
        </w:rPr>
        <w:t xml:space="preserve">30.5. В случае если для осуществления технологического присоединения энергопринимающего устройства заявителя по индивидуальному проекту сетевой организации необходимо осуществление строительства (реконструкции) объекта электросетевого хозяйства, не включенного в инвестиционные программы на очередной период регулирования, и (или) сетевой организации необходимо подать заявку на осуществление технологического присоединения в вышестоящую сетевую организацию, срок направления сетевой организацией заявителю проекта договора, индивидуальных технических условий, являющихся неотъемлемым приложением к договору, и расчета платы за технологическое присоединение по индивидуальному проекту продлевается на срок, установленный для заключения договора с вышестоящей сетевой организацией, и на срок расчета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 определяемой для вышестоящей сетевой организации в отношении объектов указанного заявителя.</w:t>
      </w:r>
    </w:p>
    <w:p>
      <w:pPr>
        <w:pStyle w:val="0"/>
        <w:jc w:val="both"/>
      </w:pPr>
      <w:r>
        <w:rPr>
          <w:sz w:val="20"/>
        </w:rPr>
        <w:t xml:space="preserve">(в ред. </w:t>
      </w:r>
      <w:hyperlink w:history="0" r:id="rId920" w:tooltip="Постановление Правительства РФ от 29.05.2019 N 682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технологического присоединения к электрическим сетям&quot; {КонсультантПлюс}">
        <w:r>
          <w:rPr>
            <w:sz w:val="20"/>
            <w:color w:val="0000ff"/>
          </w:rPr>
          <w:t xml:space="preserve">Постановления</w:t>
        </w:r>
      </w:hyperlink>
      <w:r>
        <w:rPr>
          <w:sz w:val="20"/>
        </w:rPr>
        <w:t xml:space="preserve"> Правительства РФ от 29.05.2019 N 682)</w:t>
      </w:r>
    </w:p>
    <w:p>
      <w:pPr>
        <w:pStyle w:val="0"/>
        <w:spacing w:before="200" w:line-rule="auto"/>
        <w:ind w:firstLine="540"/>
        <w:jc w:val="both"/>
      </w:pPr>
      <w:r>
        <w:rPr>
          <w:sz w:val="20"/>
        </w:rPr>
        <w:t xml:space="preserve">При этом уполномоченным органом исполнительной власти в области государственного регулирования тарифов при расчете платы за технологическое присоединение по индивидуальному проекту в составе указанной платы учитывается размер платы за технологическое присоединение, утвержденный (рассчитанный) для присоединения сетевой организации к вышестоящей сетевой организации в целях присоединения указанного заявителя в запрошенных им объемах.</w:t>
      </w:r>
    </w:p>
    <w:p>
      <w:pPr>
        <w:pStyle w:val="0"/>
        <w:spacing w:before="200" w:line-rule="auto"/>
        <w:ind w:firstLine="540"/>
        <w:jc w:val="both"/>
      </w:pPr>
      <w:r>
        <w:rPr>
          <w:sz w:val="20"/>
        </w:rPr>
        <w:t xml:space="preserve">В случае если в целях осуществления технологического присоединения объектов заявителя по индивидуальному проекту необходимо осуществить технологическое присоединение сетевой организации (к электрическим сетям которой непосредственно планируется присоединение заявителя) к сетям вышестоящей сетевой организации, плата за технологическое присоединение такого заявителя по индивидуальному проекту утверждается уполномоченным органом исполнительной власти в области государственного регулирования тарифов при условии наличия утвержденной (рассчитанной) в установленном порядке платы за технологическое присоединение сетевой организации к электрическим сетям вышестоящей сетевой организации.</w:t>
      </w:r>
    </w:p>
    <w:p>
      <w:pPr>
        <w:pStyle w:val="0"/>
        <w:jc w:val="both"/>
      </w:pPr>
      <w:r>
        <w:rPr>
          <w:sz w:val="20"/>
        </w:rPr>
        <w:t xml:space="preserve">(в ред. </w:t>
      </w:r>
      <w:hyperlink w:history="0" r:id="rId921" w:tooltip="Постановление Правительства РФ от 24.12.2016 N 1476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 связи с установлением стандартизированных тарифных ставок за технологическое присоединение, единых для всех террит {КонсультантПлюс}">
        <w:r>
          <w:rPr>
            <w:sz w:val="20"/>
            <w:color w:val="0000ff"/>
          </w:rPr>
          <w:t xml:space="preserve">Постановления</w:t>
        </w:r>
      </w:hyperlink>
      <w:r>
        <w:rPr>
          <w:sz w:val="20"/>
        </w:rPr>
        <w:t xml:space="preserve"> Правительства РФ от 24.12.2016 N 1476)</w:t>
      </w:r>
    </w:p>
    <w:p>
      <w:pPr>
        <w:pStyle w:val="0"/>
        <w:jc w:val="both"/>
      </w:pPr>
      <w:r>
        <w:rPr>
          <w:sz w:val="20"/>
        </w:rPr>
        <w:t xml:space="preserve">(п. 30.5 введен </w:t>
      </w:r>
      <w:hyperlink w:history="0" r:id="rId922"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sz w:val="20"/>
            <w:color w:val="0000ff"/>
          </w:rPr>
          <w:t xml:space="preserve">Постановлением</w:t>
        </w:r>
      </w:hyperlink>
      <w:r>
        <w:rPr>
          <w:sz w:val="20"/>
        </w:rPr>
        <w:t xml:space="preserve"> Правительства РФ от 24.09.2010 N 759)</w:t>
      </w:r>
    </w:p>
    <w:p>
      <w:pPr>
        <w:pStyle w:val="0"/>
        <w:spacing w:before="200" w:line-rule="auto"/>
        <w:ind w:firstLine="540"/>
        <w:jc w:val="both"/>
      </w:pPr>
      <w:r>
        <w:rPr>
          <w:sz w:val="20"/>
        </w:rPr>
        <w:t xml:space="preserve">31. В целях проверки обоснованности установления сетевой организацией факта отсутствия технической возможности по критериям, указанным в </w:t>
      </w:r>
      <w:hyperlink w:history="0" w:anchor="P1584" w:tooltip="а) сохранение условий электроснабжения (установленной категории надежности электроснабжения и сохранения качества электроэнергии) для прочих потребителей, энергопринимающие установки которых на момент подачи заявки заявителя присоединены к электрическим сетям сетевой организации или смежных сетевых организаций, а также неухудшение условий работы объектов электроэнергетики, ранее присоединенных к объектам электросетевого хозяйства;">
        <w:r>
          <w:rPr>
            <w:sz w:val="20"/>
            <w:color w:val="0000ff"/>
          </w:rPr>
          <w:t xml:space="preserve">подпунктах "а"</w:t>
        </w:r>
      </w:hyperlink>
      <w:r>
        <w:rPr>
          <w:sz w:val="20"/>
        </w:rPr>
        <w:t xml:space="preserve"> - </w:t>
      </w:r>
      <w:hyperlink w:history="0" w:anchor="P1590" w:tooltip="г) обеспечение в случае технологического присоединения энергопринимающих устройств заявителя допустимых параметров электроэнергетического режима энергосистемы, в том числе с учетом нормативных возмущений, определяемых в соответствии с методическими указаниями по устойчивости энергосистем,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
        <w:r>
          <w:rPr>
            <w:sz w:val="20"/>
            <w:color w:val="0000ff"/>
          </w:rPr>
          <w:t xml:space="preserve">"г" пункта 28</w:t>
        </w:r>
      </w:hyperlink>
      <w:r>
        <w:rPr>
          <w:sz w:val="20"/>
        </w:rPr>
        <w:t xml:space="preserve"> настоящих Правил, заявитель вправе обратиться в орган федерального государственного энергетического надзора для получения заключения о наличии (отсутствии) технической возможности технологического присоединения сетевой организацией.</w:t>
      </w:r>
    </w:p>
    <w:p>
      <w:pPr>
        <w:pStyle w:val="0"/>
        <w:jc w:val="both"/>
      </w:pPr>
      <w:r>
        <w:rPr>
          <w:sz w:val="20"/>
        </w:rPr>
        <w:t xml:space="preserve">(в ред. Постановлений Правительства РФ от 20.12.2012 </w:t>
      </w:r>
      <w:hyperlink w:history="0" r:id="rId923" w:tooltip="Постановление Правительства РФ от 20.12.2012 N 1354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1354</w:t>
        </w:r>
      </w:hyperlink>
      <w:r>
        <w:rPr>
          <w:sz w:val="20"/>
        </w:rPr>
        <w:t xml:space="preserve">, от 13.08.2018 </w:t>
      </w:r>
      <w:hyperlink w:history="0" r:id="rId924"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N 937</w:t>
        </w:r>
      </w:hyperlink>
      <w:r>
        <w:rPr>
          <w:sz w:val="20"/>
        </w:rPr>
        <w:t xml:space="preserve">)</w:t>
      </w:r>
    </w:p>
    <w:p>
      <w:pPr>
        <w:pStyle w:val="0"/>
        <w:spacing w:before="200" w:line-rule="auto"/>
        <w:ind w:firstLine="540"/>
        <w:jc w:val="both"/>
      </w:pPr>
      <w:r>
        <w:rPr>
          <w:sz w:val="20"/>
        </w:rPr>
        <w:t xml:space="preserve">Орган федерального государственного энергетического надзора направляет заявителю заключение о наличии (отсутствии) технической возможности технологического присоединения в срок не позднее 30 дней со дня поступления соответствующего обращения.</w:t>
      </w:r>
    </w:p>
    <w:p>
      <w:pPr>
        <w:pStyle w:val="0"/>
        <w:jc w:val="both"/>
      </w:pPr>
      <w:r>
        <w:rPr>
          <w:sz w:val="20"/>
        </w:rPr>
        <w:t xml:space="preserve">(абзац введен </w:t>
      </w:r>
      <w:hyperlink w:history="0" r:id="rId925"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sz w:val="20"/>
            <w:color w:val="0000ff"/>
          </w:rPr>
          <w:t xml:space="preserve">Постановлением</w:t>
        </w:r>
      </w:hyperlink>
      <w:r>
        <w:rPr>
          <w:sz w:val="20"/>
        </w:rPr>
        <w:t xml:space="preserve"> Правительства РФ от 24.09.2010 N 759, в ред. </w:t>
      </w:r>
      <w:hyperlink w:history="0" r:id="rId926" w:tooltip="Постановление Правительства РФ от 20.12.2012 N 1354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20.12.2012 N 1354)</w:t>
      </w:r>
    </w:p>
    <w:p>
      <w:pPr>
        <w:pStyle w:val="0"/>
        <w:spacing w:before="200" w:line-rule="auto"/>
        <w:ind w:firstLine="540"/>
        <w:jc w:val="both"/>
      </w:pPr>
      <w:r>
        <w:rPr>
          <w:sz w:val="20"/>
        </w:rPr>
        <w:t xml:space="preserve">32. Ограничения на технологическое присоединение дополнительной мощности возникают в случае, если полное использование потребляемой (генерирующей) мощности всех ранее присоединенных, вновь присоединяемых энергопринимающих устройств заявителя (с учетом ранее выданных технических условий, срок действия которых не истек) может привести к загрузке объектов электросетевого хозяйства с превышением значений, определенных техническими регламентами или иными обязательными требованиями.</w:t>
      </w:r>
    </w:p>
    <w:bookmarkStart w:id="1670" w:name="P1670"/>
    <w:bookmarkEnd w:id="1670"/>
    <w:p>
      <w:pPr>
        <w:pStyle w:val="0"/>
        <w:spacing w:before="200" w:line-rule="auto"/>
        <w:ind w:firstLine="540"/>
        <w:jc w:val="both"/>
      </w:pPr>
      <w:r>
        <w:rPr>
          <w:sz w:val="20"/>
        </w:rPr>
        <w:t xml:space="preserve">33. При наличии ограничения на технологическое присоединение дополнительной мощности допускается присоединение к электрическим сетям энергопринимающих устройств в пределах величины мощности, не вызывающей ограничений в использовании потребляемой (генерирующей) мощности всех ранее присоединенных к данным сетям потребителей электрической энергии, либо в заявленном объеме по согласованию с указанными потребителями.</w:t>
      </w:r>
    </w:p>
    <w:p>
      <w:pPr>
        <w:pStyle w:val="0"/>
        <w:spacing w:before="200" w:line-rule="auto"/>
        <w:ind w:firstLine="540"/>
        <w:jc w:val="both"/>
      </w:pPr>
      <w:r>
        <w:rPr>
          <w:sz w:val="20"/>
        </w:rPr>
        <w:t xml:space="preserve">33.1. Положения настоящего раздела не применяются:</w:t>
      </w:r>
    </w:p>
    <w:p>
      <w:pPr>
        <w:pStyle w:val="0"/>
        <w:spacing w:before="200" w:line-rule="auto"/>
        <w:ind w:firstLine="540"/>
        <w:jc w:val="both"/>
      </w:pPr>
      <w:r>
        <w:rPr>
          <w:sz w:val="20"/>
        </w:rPr>
        <w:t xml:space="preserve">к лицам, указанным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в случае осуществления технологического присоединения энергопринимающих устройств указанных заявителей к электрическим сетям классом напряжения до 20 кВ включительно;</w:t>
      </w:r>
    </w:p>
    <w:p>
      <w:pPr>
        <w:pStyle w:val="0"/>
        <w:spacing w:before="200" w:line-rule="auto"/>
        <w:ind w:firstLine="540"/>
        <w:jc w:val="both"/>
      </w:pPr>
      <w:r>
        <w:rPr>
          <w:sz w:val="20"/>
        </w:rPr>
        <w:t xml:space="preserve">к лицам, указанным в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пунктах 13(2)</w:t>
        </w:r>
      </w:hyperlink>
      <w:r>
        <w:rPr>
          <w:sz w:val="20"/>
        </w:rPr>
        <w:t xml:space="preserve"> и </w:t>
      </w:r>
      <w:hyperlink w:history="0" w:anchor="P1139" w:tooltip="13(4). В заявке, направляемой заявителем - физическим лицом в целях технологического присоединения объекта микрогенерации к объектам электросетевого хозяйства с уровнем напряжения до 1000 В, должны быть указаны:">
        <w:r>
          <w:rPr>
            <w:sz w:val="20"/>
            <w:color w:val="0000ff"/>
          </w:rPr>
          <w:t xml:space="preserve">13(4)</w:t>
        </w:r>
      </w:hyperlink>
      <w:r>
        <w:rPr>
          <w:sz w:val="20"/>
        </w:rPr>
        <w:t xml:space="preserve"> настоящих Правил, в случае, если к объектам электросетевого хозяйства сетевой организации классом напряжения до 1000 В в соответствующей точке присоединения ранее присоединены принадлежащие заявителю энергопринимающие устройства;</w:t>
      </w:r>
    </w:p>
    <w:p>
      <w:pPr>
        <w:pStyle w:val="0"/>
        <w:spacing w:before="200" w:line-rule="auto"/>
        <w:ind w:firstLine="540"/>
        <w:jc w:val="both"/>
      </w:pPr>
      <w:r>
        <w:rPr>
          <w:sz w:val="20"/>
        </w:rPr>
        <w:t xml:space="preserve">к лицам, указанным в </w:t>
      </w:r>
      <w:hyperlink w:history="0" w:anchor="P1132" w:tooltip="13(3).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электроснабжение которых предусматривается по одному источнику, и объектов микрогенерации, должны быть ука...">
        <w:r>
          <w:rPr>
            <w:sz w:val="20"/>
            <w:color w:val="0000ff"/>
          </w:rPr>
          <w:t xml:space="preserve">пунктах 13(3)</w:t>
        </w:r>
      </w:hyperlink>
      <w:r>
        <w:rPr>
          <w:sz w:val="20"/>
        </w:rPr>
        <w:t xml:space="preserve"> и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настоящих Правил, в случае осуществления одновременного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и объектов микрогенерации указанных заявителей к электрическим сетям классом напряжения до 1000 В.</w:t>
      </w:r>
    </w:p>
    <w:p>
      <w:pPr>
        <w:pStyle w:val="0"/>
        <w:jc w:val="both"/>
      </w:pPr>
      <w:r>
        <w:rPr>
          <w:sz w:val="20"/>
        </w:rPr>
        <w:t xml:space="preserve">(п. 33.1 в ред. </w:t>
      </w:r>
      <w:hyperlink w:history="0" r:id="rId927"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Постановления</w:t>
        </w:r>
      </w:hyperlink>
      <w:r>
        <w:rPr>
          <w:sz w:val="20"/>
        </w:rPr>
        <w:t xml:space="preserve"> Правительства РФ от 02.03.2021 N 299)</w:t>
      </w:r>
    </w:p>
    <w:p>
      <w:pPr>
        <w:pStyle w:val="0"/>
        <w:ind w:firstLine="540"/>
        <w:jc w:val="both"/>
      </w:pPr>
      <w:r>
        <w:rPr>
          <w:sz w:val="20"/>
        </w:rPr>
      </w:r>
    </w:p>
    <w:bookmarkStart w:id="1677" w:name="P1677"/>
    <w:bookmarkEnd w:id="1677"/>
    <w:p>
      <w:pPr>
        <w:pStyle w:val="2"/>
        <w:outlineLvl w:val="1"/>
        <w:jc w:val="center"/>
      </w:pPr>
      <w:r>
        <w:rPr>
          <w:sz w:val="20"/>
        </w:rPr>
        <w:t xml:space="preserve">IV. Особенности технологического присоединения</w:t>
      </w:r>
    </w:p>
    <w:p>
      <w:pPr>
        <w:pStyle w:val="2"/>
        <w:jc w:val="center"/>
      </w:pPr>
      <w:r>
        <w:rPr>
          <w:sz w:val="20"/>
        </w:rPr>
        <w:t xml:space="preserve">энергопринимающих устройств потребителей электрической</w:t>
      </w:r>
    </w:p>
    <w:p>
      <w:pPr>
        <w:pStyle w:val="2"/>
        <w:jc w:val="center"/>
      </w:pPr>
      <w:r>
        <w:rPr>
          <w:sz w:val="20"/>
        </w:rPr>
        <w:t xml:space="preserve">энергии посредством перераспределения максимальной мощности,</w:t>
      </w:r>
    </w:p>
    <w:p>
      <w:pPr>
        <w:pStyle w:val="2"/>
        <w:jc w:val="center"/>
      </w:pPr>
      <w:r>
        <w:rPr>
          <w:sz w:val="20"/>
        </w:rPr>
        <w:t xml:space="preserve">а также особенности отказа потребителей электрической</w:t>
      </w:r>
    </w:p>
    <w:p>
      <w:pPr>
        <w:pStyle w:val="2"/>
        <w:jc w:val="center"/>
      </w:pPr>
      <w:r>
        <w:rPr>
          <w:sz w:val="20"/>
        </w:rPr>
        <w:t xml:space="preserve">энергии от максимальной мощности в пользу</w:t>
      </w:r>
    </w:p>
    <w:p>
      <w:pPr>
        <w:pStyle w:val="2"/>
        <w:jc w:val="center"/>
      </w:pPr>
      <w:r>
        <w:rPr>
          <w:sz w:val="20"/>
        </w:rPr>
        <w:t xml:space="preserve">сетевой организации</w:t>
      </w:r>
    </w:p>
    <w:p>
      <w:pPr>
        <w:pStyle w:val="0"/>
        <w:jc w:val="center"/>
      </w:pPr>
      <w:r>
        <w:rPr>
          <w:sz w:val="20"/>
        </w:rPr>
        <w:t xml:space="preserve">(в ред. </w:t>
      </w:r>
      <w:hyperlink w:history="0" r:id="rId928"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30.09.2015 N 1044)</w:t>
      </w:r>
    </w:p>
    <w:p>
      <w:pPr>
        <w:pStyle w:val="0"/>
        <w:jc w:val="center"/>
      </w:pPr>
      <w:r>
        <w:rPr>
          <w:sz w:val="20"/>
        </w:rPr>
        <w:t xml:space="preserve">(введен </w:t>
      </w:r>
      <w:hyperlink w:history="0" r:id="rId929"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антПлюс}">
        <w:r>
          <w:rPr>
            <w:sz w:val="20"/>
            <w:color w:val="0000ff"/>
          </w:rPr>
          <w:t xml:space="preserve">Постановлением</w:t>
        </w:r>
      </w:hyperlink>
      <w:r>
        <w:rPr>
          <w:sz w:val="20"/>
        </w:rPr>
        <w:t xml:space="preserve"> Правительства РФ от 21.04.2009 N 334)</w:t>
      </w:r>
    </w:p>
    <w:p>
      <w:pPr>
        <w:pStyle w:val="0"/>
        <w:ind w:firstLine="540"/>
        <w:jc w:val="both"/>
      </w:pPr>
      <w:r>
        <w:rPr>
          <w:sz w:val="20"/>
        </w:rPr>
      </w:r>
    </w:p>
    <w:bookmarkStart w:id="1686" w:name="P1686"/>
    <w:bookmarkEnd w:id="1686"/>
    <w:p>
      <w:pPr>
        <w:pStyle w:val="0"/>
        <w:ind w:firstLine="540"/>
        <w:jc w:val="both"/>
      </w:pPr>
      <w:r>
        <w:rPr>
          <w:sz w:val="20"/>
        </w:rPr>
        <w:t xml:space="preserve">34. Лица, имеющие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технологическое присоединение к электрическим сетям, вправе по соглашению с иными владельцами энергопринимающих устройств снизить объем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указанной в документах о технологическом присоединении энергопринимающих устройств заявителя, в пределах действия соответствующего центра питания (с учетом положений </w:t>
      </w:r>
      <w:hyperlink w:history="0" w:anchor="P1725" w:tooltip="34(3). Не допускается снижение объема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указанной в документах о технологическом присоединении энергопринимающих устройств, следующими лицами:">
        <w:r>
          <w:rPr>
            <w:sz w:val="20"/>
            <w:color w:val="0000ff"/>
          </w:rPr>
          <w:t xml:space="preserve">пункта 34(3)</w:t>
        </w:r>
      </w:hyperlink>
      <w:r>
        <w:rPr>
          <w:sz w:val="20"/>
        </w:rPr>
        <w:t xml:space="preserve"> настоящих Правил) (при осуществлении перераспределения максимальной мощности в электрических сетях классом напряжения от 0,4 до 35 кВ центром питания считается питающая подстанция с классом напряжения 35 кВ, при осуществлении перераспределения максимальной мощности в электрических сетях классом напряжения свыше 35 кВ центром питания считается распределительное устройство подстанции, к которому осуществлено технологическое присоединение энергопринимающих устройств лица, перераспределяющего свою максимальную мощность). При этом потребители электрической энергии, энергоснабжение энергопринимающих устройств которых осуществляется по третьей категории надежности электроснабжения, не вправе перераспределять свою максимальную мощность в пользу потребителей, энергоснабжение энергопринимающих устройств которых осуществляется по первой или второй категориям надежности электроснабжения.</w:t>
      </w:r>
    </w:p>
    <w:p>
      <w:pPr>
        <w:pStyle w:val="0"/>
        <w:jc w:val="both"/>
      </w:pPr>
      <w:r>
        <w:rPr>
          <w:sz w:val="20"/>
        </w:rPr>
        <w:t xml:space="preserve">(в ред. </w:t>
      </w:r>
      <w:hyperlink w:history="0" r:id="rId930" w:tooltip="Постановление Правительства РФ от 23.09.2016 N 95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23.09.2016 N 953)</w:t>
      </w:r>
    </w:p>
    <w:p>
      <w:pPr>
        <w:pStyle w:val="0"/>
        <w:spacing w:before="200" w:line-rule="auto"/>
        <w:ind w:firstLine="540"/>
        <w:jc w:val="both"/>
      </w:pPr>
      <w:r>
        <w:rPr>
          <w:sz w:val="20"/>
        </w:rPr>
        <w:t xml:space="preserve">Лица, заключившие соглашение о перераспределении максимальной мощности между принадлежащими им энергопринимающими устройствами (далее - соглашение о перераспределении мощности), направляют уведомление, подписанное сторонами соглашения о перераспределении мощности (далее - уведомление о перераспределении), сетевой организации, к объектам электросетевого хозяйства которой ранее были в установленном порядке присоединены энергопринимающие устройства лица, намеревающегося перераспределить свою максимальную мощность.</w:t>
      </w:r>
    </w:p>
    <w:p>
      <w:pPr>
        <w:pStyle w:val="0"/>
        <w:jc w:val="both"/>
      </w:pPr>
      <w:r>
        <w:rPr>
          <w:sz w:val="20"/>
        </w:rPr>
        <w:t xml:space="preserve">(в ред. </w:t>
      </w:r>
      <w:hyperlink w:history="0" r:id="rId931"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30.09.2015 N 1044)</w:t>
      </w:r>
    </w:p>
    <w:p>
      <w:pPr>
        <w:pStyle w:val="0"/>
        <w:spacing w:before="200" w:line-rule="auto"/>
        <w:ind w:firstLine="540"/>
        <w:jc w:val="both"/>
      </w:pPr>
      <w:r>
        <w:rPr>
          <w:sz w:val="20"/>
        </w:rPr>
        <w:t xml:space="preserve">В уведомлении о перераспределении указываются наименования и реквизиты сторон соглашения о перераспределении мощности, центр питания, к которому осуществлено технологическое присоединение энергопринимающих устройств лица, намеревающегося перераспределить свою максимальную мощность, местонахождение этих устройств (электрических сетей) и объем перераспределяемой мощности. К уведомлению о перераспределении прилагаются:</w:t>
      </w:r>
    </w:p>
    <w:p>
      <w:pPr>
        <w:pStyle w:val="0"/>
        <w:jc w:val="both"/>
      </w:pPr>
      <w:r>
        <w:rPr>
          <w:sz w:val="20"/>
        </w:rPr>
        <w:t xml:space="preserve">(в ред. </w:t>
      </w:r>
      <w:hyperlink w:history="0" r:id="rId932"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30.09.2015 N 1044)</w:t>
      </w:r>
    </w:p>
    <w:p>
      <w:pPr>
        <w:pStyle w:val="0"/>
        <w:spacing w:before="200" w:line-rule="auto"/>
        <w:ind w:firstLine="540"/>
        <w:jc w:val="both"/>
      </w:pPr>
      <w:r>
        <w:rPr>
          <w:sz w:val="20"/>
        </w:rPr>
        <w:t xml:space="preserve">копии технических условий, выданных лицу, максимальная мощность энергопринимающих устройств которого перераспределяется;</w:t>
      </w:r>
    </w:p>
    <w:p>
      <w:pPr>
        <w:pStyle w:val="0"/>
        <w:spacing w:before="200" w:line-rule="auto"/>
        <w:ind w:firstLine="540"/>
        <w:jc w:val="both"/>
      </w:pPr>
      <w:r>
        <w:rPr>
          <w:sz w:val="20"/>
        </w:rPr>
        <w:t xml:space="preserve">копия акта об осуществлении технологического присоединения;</w:t>
      </w:r>
    </w:p>
    <w:p>
      <w:pPr>
        <w:pStyle w:val="0"/>
        <w:spacing w:before="200" w:line-rule="auto"/>
        <w:ind w:firstLine="540"/>
        <w:jc w:val="both"/>
      </w:pPr>
      <w:r>
        <w:rPr>
          <w:sz w:val="20"/>
        </w:rPr>
        <w:t xml:space="preserve">заявка на технологическое присоединение энергопринимающих устройств лица, в пользу которого предполагается перераспределить избыток максимальной мощности;</w:t>
      </w:r>
    </w:p>
    <w:p>
      <w:pPr>
        <w:pStyle w:val="0"/>
        <w:spacing w:before="200" w:line-rule="auto"/>
        <w:ind w:firstLine="540"/>
        <w:jc w:val="both"/>
      </w:pPr>
      <w:r>
        <w:rPr>
          <w:sz w:val="20"/>
        </w:rPr>
        <w:t xml:space="preserve">заверенная копия заключенного соглашения о перераспределении мощности.</w:t>
      </w:r>
    </w:p>
    <w:p>
      <w:pPr>
        <w:pStyle w:val="0"/>
        <w:spacing w:before="200" w:line-rule="auto"/>
        <w:ind w:firstLine="540"/>
        <w:jc w:val="both"/>
      </w:pPr>
      <w:r>
        <w:rPr>
          <w:sz w:val="20"/>
        </w:rPr>
        <w:t xml:space="preserve">При отсутствии сведений и документов, прилагаемых к уведомлению о перераспределении, технологическое присоединение посредством перераспределения мощности не осуществляется.</w:t>
      </w:r>
    </w:p>
    <w:p>
      <w:pPr>
        <w:pStyle w:val="0"/>
        <w:jc w:val="both"/>
      </w:pPr>
      <w:r>
        <w:rPr>
          <w:sz w:val="20"/>
        </w:rPr>
        <w:t xml:space="preserve">(в ред. </w:t>
      </w:r>
      <w:hyperlink w:history="0" r:id="rId933"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30.09.2015 N 1044)</w:t>
      </w:r>
    </w:p>
    <w:p>
      <w:pPr>
        <w:pStyle w:val="0"/>
        <w:spacing w:before="200" w:line-rule="auto"/>
        <w:ind w:firstLine="540"/>
        <w:jc w:val="both"/>
      </w:pPr>
      <w:r>
        <w:rPr>
          <w:sz w:val="20"/>
        </w:rPr>
        <w:t xml:space="preserve">Допускается перераспределение объема максимальной мощности нескольких лиц в пользу одного лица в пределах действия одного центра питания.</w:t>
      </w:r>
    </w:p>
    <w:p>
      <w:pPr>
        <w:pStyle w:val="0"/>
        <w:spacing w:before="200" w:line-rule="auto"/>
        <w:ind w:firstLine="540"/>
        <w:jc w:val="both"/>
      </w:pPr>
      <w:r>
        <w:rPr>
          <w:sz w:val="20"/>
        </w:rPr>
        <w:t xml:space="preserve">Сетевая организация в течение 5 рабочих дней со дня получения уведомления о перераспределении направляет его копию, а также копии приложенных к нему документов субъекту оперативно-диспетчерского управления в следующих случаях:</w:t>
      </w:r>
    </w:p>
    <w:p>
      <w:pPr>
        <w:pStyle w:val="0"/>
        <w:jc w:val="both"/>
      </w:pPr>
      <w:r>
        <w:rPr>
          <w:sz w:val="20"/>
        </w:rPr>
        <w:t xml:space="preserve">(в ред. </w:t>
      </w:r>
      <w:hyperlink w:history="0" r:id="rId934"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30.09.2015 N 1044)</w:t>
      </w:r>
    </w:p>
    <w:p>
      <w:pPr>
        <w:pStyle w:val="0"/>
        <w:spacing w:before="200" w:line-rule="auto"/>
        <w:ind w:firstLine="540"/>
        <w:jc w:val="both"/>
      </w:pPr>
      <w:r>
        <w:rPr>
          <w:sz w:val="20"/>
        </w:rPr>
        <w:t xml:space="preserve">технические условия, которые сетевая организация должна выдать лицу, в пользу которого предполагается перераспределить максимальную мощность, в соответствии с настоящими Правилами подлежат согласованию с субъектом оперативно-диспетчерского управления;</w:t>
      </w:r>
    </w:p>
    <w:p>
      <w:pPr>
        <w:pStyle w:val="0"/>
        <w:spacing w:before="200" w:line-rule="auto"/>
        <w:ind w:firstLine="540"/>
        <w:jc w:val="both"/>
      </w:pPr>
      <w:r>
        <w:rPr>
          <w:sz w:val="20"/>
        </w:rPr>
        <w:t xml:space="preserve">технические условия, ранее выданные лицу, максимальная мощность энергопринимающих устройств которого перераспределяется, в соответствии с настоящими Правилами были согласованы с субъектом оперативно-диспетчерского управления.</w:t>
      </w:r>
    </w:p>
    <w:p>
      <w:pPr>
        <w:pStyle w:val="0"/>
        <w:spacing w:before="200" w:line-rule="auto"/>
        <w:ind w:firstLine="540"/>
        <w:jc w:val="both"/>
      </w:pPr>
      <w:r>
        <w:rPr>
          <w:sz w:val="20"/>
        </w:rPr>
        <w:t xml:space="preserve">В соглашении о перераспределении мощности предусматриваются следующие обязательства сторон:</w:t>
      </w:r>
    </w:p>
    <w:p>
      <w:pPr>
        <w:pStyle w:val="0"/>
        <w:spacing w:before="200" w:line-rule="auto"/>
        <w:ind w:firstLine="540"/>
        <w:jc w:val="both"/>
      </w:pPr>
      <w:r>
        <w:rPr>
          <w:sz w:val="20"/>
        </w:rPr>
        <w:t xml:space="preserve">выполнить в полном объеме мероприятия по технологическому присоединению энергопринимающих устройств, предусмотренные техническими условиями, выданными сетевой организацией лицу, максимальная мощность энергопринимающих устройств которого перераспределяется, а также лицу, в пользу которого осуществляется перераспределение мощности;</w:t>
      </w:r>
    </w:p>
    <w:p>
      <w:pPr>
        <w:pStyle w:val="0"/>
        <w:spacing w:before="200" w:line-rule="auto"/>
        <w:ind w:firstLine="540"/>
        <w:jc w:val="both"/>
      </w:pPr>
      <w:r>
        <w:rPr>
          <w:sz w:val="20"/>
        </w:rPr>
        <w:t xml:space="preserve">вносить изменения и (или) подписывать новые документы о технологическом присоединении, фиксирующие объем максимальной мощности после ее перераспределения (технические условия, </w:t>
      </w:r>
      <w:hyperlink w:history="0" w:anchor="P2914" w:tooltip="                                ЗАЯВКА &lt;1&gt;">
        <w:r>
          <w:rPr>
            <w:sz w:val="20"/>
            <w:color w:val="0000ff"/>
          </w:rPr>
          <w:t xml:space="preserve">акт</w:t>
        </w:r>
      </w:hyperlink>
      <w:r>
        <w:rPr>
          <w:sz w:val="20"/>
        </w:rPr>
        <w:t xml:space="preserve"> об осуществлении технологического присоединения), а также документы, определяющие порядок взаимодействия сторон соглашения о перераспределении мощности с сетевой организацией, до осуществления фактического технологического присоединения лица, в пользу которого перераспределяется максимальная мощность.</w:t>
      </w:r>
    </w:p>
    <w:p>
      <w:pPr>
        <w:pStyle w:val="0"/>
        <w:spacing w:before="200" w:line-rule="auto"/>
        <w:ind w:firstLine="540"/>
        <w:jc w:val="both"/>
      </w:pPr>
      <w:r>
        <w:rPr>
          <w:sz w:val="20"/>
        </w:rPr>
        <w:t xml:space="preserve">Соглашение о перераспределении максимальной мощности заключается по форме согласно </w:t>
      </w:r>
      <w:hyperlink w:history="0" w:anchor="P5067" w:tooltip="СОГЛАШЕНИЕ">
        <w:r>
          <w:rPr>
            <w:sz w:val="20"/>
            <w:color w:val="0000ff"/>
          </w:rPr>
          <w:t xml:space="preserve">приложению N 14</w:t>
        </w:r>
      </w:hyperlink>
      <w:r>
        <w:rPr>
          <w:sz w:val="20"/>
        </w:rPr>
        <w:t xml:space="preserve">.</w:t>
      </w:r>
    </w:p>
    <w:p>
      <w:pPr>
        <w:pStyle w:val="0"/>
        <w:jc w:val="both"/>
      </w:pPr>
      <w:r>
        <w:rPr>
          <w:sz w:val="20"/>
        </w:rPr>
        <w:t xml:space="preserve">(абзац введен </w:t>
      </w:r>
      <w:hyperlink w:history="0" r:id="rId935" w:tooltip="Постановление Правительства РФ от 11.06.2015 N 588 (ред. от 10.03.2020, с изм. от 30.06.2022) &quot;О внесении изменений в постановление Правительства Российской Федерации от 27 декабря 2004 г. N 861&quot; {КонсультантПлюс}">
        <w:r>
          <w:rPr>
            <w:sz w:val="20"/>
            <w:color w:val="0000ff"/>
          </w:rPr>
          <w:t xml:space="preserve">Постановлением</w:t>
        </w:r>
      </w:hyperlink>
      <w:r>
        <w:rPr>
          <w:sz w:val="20"/>
        </w:rPr>
        <w:t xml:space="preserve"> Правительства РФ от 11.06.2015 N 588)</w:t>
      </w:r>
    </w:p>
    <w:p>
      <w:pPr>
        <w:pStyle w:val="0"/>
        <w:jc w:val="both"/>
      </w:pPr>
      <w:r>
        <w:rPr>
          <w:sz w:val="20"/>
        </w:rPr>
        <w:t xml:space="preserve">(п. 34 в ред. </w:t>
      </w:r>
      <w:hyperlink w:history="0" r:id="rId936" w:tooltip="Постановление Правительства РФ от 28.10.2013 N 96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28.10.2013 N 967)</w:t>
      </w:r>
    </w:p>
    <w:p>
      <w:pPr>
        <w:pStyle w:val="0"/>
        <w:spacing w:before="200" w:line-rule="auto"/>
        <w:ind w:firstLine="540"/>
        <w:jc w:val="both"/>
      </w:pPr>
      <w:r>
        <w:rPr>
          <w:sz w:val="20"/>
        </w:rPr>
        <w:t xml:space="preserve">34(1). Лица, указанные в </w:t>
      </w:r>
      <w:hyperlink w:history="0" w:anchor="P1686" w:tooltip="34. Лица, имеющие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технологическое присоединение к электрическим сетям, вправе по соглашению с иными владельцами энергопринимающих устройств снизить объем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
        <w:r>
          <w:rPr>
            <w:sz w:val="20"/>
            <w:color w:val="0000ff"/>
          </w:rPr>
          <w:t xml:space="preserve">абзаце первом пункта 34</w:t>
        </w:r>
      </w:hyperlink>
      <w:r>
        <w:rPr>
          <w:sz w:val="20"/>
        </w:rPr>
        <w:t xml:space="preserve"> настоящих Правил, вправе представить в сетевую организацию, к объектам которой непосредственно технологически присоединены соответствующие энергопринимающие устройства, заявление о намерении перераспределить максимальную мощность принадлежащих им энергопринимающих устройств в пользу иных лиц.</w:t>
      </w:r>
    </w:p>
    <w:p>
      <w:pPr>
        <w:pStyle w:val="0"/>
        <w:spacing w:before="200" w:line-rule="auto"/>
        <w:ind w:firstLine="540"/>
        <w:jc w:val="both"/>
      </w:pPr>
      <w:r>
        <w:rPr>
          <w:sz w:val="20"/>
        </w:rPr>
        <w:t xml:space="preserve">В заявлении должны быть указаны следующие сведения:</w:t>
      </w:r>
    </w:p>
    <w:p>
      <w:pPr>
        <w:pStyle w:val="0"/>
        <w:spacing w:before="200" w:line-rule="auto"/>
        <w:ind w:firstLine="540"/>
        <w:jc w:val="both"/>
      </w:pPr>
      <w:r>
        <w:rPr>
          <w:sz w:val="20"/>
        </w:rPr>
        <w:t xml:space="preserve">наименование лица, которое намеревается осуществить перераспределение максимальной мощности принадлежащих ему энергопринимающих устройств, и его контактные данные;</w:t>
      </w:r>
    </w:p>
    <w:p>
      <w:pPr>
        <w:pStyle w:val="0"/>
        <w:spacing w:before="200" w:line-rule="auto"/>
        <w:ind w:firstLine="540"/>
        <w:jc w:val="both"/>
      </w:pPr>
      <w:r>
        <w:rPr>
          <w:sz w:val="20"/>
        </w:rPr>
        <w:t xml:space="preserve">место нахождения энергопринимающих устройств указанного лица;</w:t>
      </w:r>
    </w:p>
    <w:p>
      <w:pPr>
        <w:pStyle w:val="0"/>
        <w:spacing w:before="200" w:line-rule="auto"/>
        <w:ind w:firstLine="540"/>
        <w:jc w:val="both"/>
      </w:pPr>
      <w:r>
        <w:rPr>
          <w:sz w:val="20"/>
        </w:rPr>
        <w:t xml:space="preserve">объем планируемой к перераспределению максимальной мощности.</w:t>
      </w:r>
    </w:p>
    <w:p>
      <w:pPr>
        <w:pStyle w:val="0"/>
        <w:spacing w:before="200" w:line-rule="auto"/>
        <w:ind w:firstLine="540"/>
        <w:jc w:val="both"/>
      </w:pPr>
      <w:r>
        <w:rPr>
          <w:sz w:val="20"/>
        </w:rPr>
        <w:t xml:space="preserve">К заявлению прилагаются:</w:t>
      </w:r>
    </w:p>
    <w:p>
      <w:pPr>
        <w:pStyle w:val="0"/>
        <w:spacing w:before="200" w:line-rule="auto"/>
        <w:ind w:firstLine="540"/>
        <w:jc w:val="both"/>
      </w:pPr>
      <w:r>
        <w:rPr>
          <w:sz w:val="20"/>
        </w:rPr>
        <w:t xml:space="preserve">копия акта об осуществлении технологического присоединения или иных документов, подтверждающих объем максимальной мощности;</w:t>
      </w:r>
    </w:p>
    <w:p>
      <w:pPr>
        <w:pStyle w:val="0"/>
        <w:spacing w:before="200" w:line-rule="auto"/>
        <w:ind w:firstLine="540"/>
        <w:jc w:val="both"/>
      </w:pPr>
      <w:r>
        <w:rPr>
          <w:sz w:val="20"/>
        </w:rPr>
        <w:t xml:space="preserve">согласие на предоставление сведений, представленных в заявлении, иным лицам, в том числе согласие на публикацию таких сведений на официальном сайте сетевой организации или едином портале (в случае обеспечения сетевой организацией, в которую подается заявка, возможности реализации прав и обязанностей заявителей, возникающих в ходе осуществления процедуры технологического присоединения энергопринимающих устройств к электрическим сетям, с использованием единого портала).</w:t>
      </w:r>
    </w:p>
    <w:p>
      <w:pPr>
        <w:pStyle w:val="0"/>
        <w:jc w:val="both"/>
      </w:pPr>
      <w:r>
        <w:rPr>
          <w:sz w:val="20"/>
        </w:rPr>
        <w:t xml:space="preserve">(в ред. </w:t>
      </w:r>
      <w:hyperlink w:history="0" r:id="rId937"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14.03.2022 N 360)</w:t>
      </w:r>
    </w:p>
    <w:p>
      <w:pPr>
        <w:pStyle w:val="0"/>
        <w:spacing w:before="200" w:line-rule="auto"/>
        <w:ind w:firstLine="540"/>
        <w:jc w:val="both"/>
      </w:pPr>
      <w:r>
        <w:rPr>
          <w:sz w:val="20"/>
        </w:rPr>
        <w:t xml:space="preserve">Сетевая организация не вправе отказать лицам, указанным в </w:t>
      </w:r>
      <w:hyperlink w:history="0" w:anchor="P1686" w:tooltip="34. Лица, имеющие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технологическое присоединение к электрическим сетям, вправе по соглашению с иными владельцами энергопринимающих устройств снизить объем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
        <w:r>
          <w:rPr>
            <w:sz w:val="20"/>
            <w:color w:val="0000ff"/>
          </w:rPr>
          <w:t xml:space="preserve">абзаце первом пункта 34</w:t>
        </w:r>
      </w:hyperlink>
      <w:r>
        <w:rPr>
          <w:sz w:val="20"/>
        </w:rPr>
        <w:t xml:space="preserve"> настоящих Правил и намеревающимся перераспределить максимальную мощность принадлежащих им энергопринимающих устройств в пользу иных лиц, в принятии таких заявлений и обязана опубликовать информацию о наименовании лица, которое намеревается осуществить перераспределение максимальной мощности принадлежащих ему энергопринимающих устройств, и его контактные данные, об объеме планируемой к перераспределению максимальной мощности, а также о наименовании и месте нахождения центра питания в соответствии со </w:t>
      </w:r>
      <w:hyperlink w:history="0" r:id="rId938" w:tooltip="Постановление Правительства РФ от 21.01.2004 N 24 (ред. от 18.05.2022) &quot;Об утверждении стандартов раскрытия информации субъектами оптового и розничных рынков электрической энергии&quot; {КонсультантПлюс}">
        <w:r>
          <w:rPr>
            <w:sz w:val="20"/>
            <w:color w:val="0000ff"/>
          </w:rPr>
          <w:t xml:space="preserve">стандартами</w:t>
        </w:r>
      </w:hyperlink>
      <w:r>
        <w:rPr>
          <w:sz w:val="20"/>
        </w:rP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pPr>
        <w:pStyle w:val="0"/>
        <w:spacing w:before="200" w:line-rule="auto"/>
        <w:ind w:firstLine="540"/>
        <w:jc w:val="both"/>
      </w:pPr>
      <w:r>
        <w:rPr>
          <w:sz w:val="20"/>
        </w:rPr>
        <w:t xml:space="preserve">Принятие заявлений от лиц, указанных в </w:t>
      </w:r>
      <w:hyperlink w:history="0" w:anchor="P1686" w:tooltip="34. Лица, имеющие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технологическое присоединение к электрическим сетям, вправе по соглашению с иными владельцами энергопринимающих устройств снизить объем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
        <w:r>
          <w:rPr>
            <w:sz w:val="20"/>
            <w:color w:val="0000ff"/>
          </w:rPr>
          <w:t xml:space="preserve">абзаце первом пункта 34</w:t>
        </w:r>
      </w:hyperlink>
      <w:r>
        <w:rPr>
          <w:sz w:val="20"/>
        </w:rPr>
        <w:t xml:space="preserve"> настоящих Правил и намеревающихся перераспределить максимальную мощность принадлежащих им энергопринимающих устройств в пользу иных лиц, и публикация информации о таких лицах сетевой организацией осуществляется без взимания платы.</w:t>
      </w:r>
    </w:p>
    <w:p>
      <w:pPr>
        <w:pStyle w:val="0"/>
        <w:jc w:val="both"/>
      </w:pPr>
      <w:r>
        <w:rPr>
          <w:sz w:val="20"/>
        </w:rPr>
        <w:t xml:space="preserve">(п. 34(1) введен </w:t>
      </w:r>
      <w:hyperlink w:history="0" r:id="rId939" w:tooltip="Постановление Правительства РФ от 26.07.2013 N 630 &quot;О внесении изменений в некоторые акты Правительства Российской Федерации в целях повышения доступности энергетической инфраструктуры&quot; {КонсультантПлюс}">
        <w:r>
          <w:rPr>
            <w:sz w:val="20"/>
            <w:color w:val="0000ff"/>
          </w:rPr>
          <w:t xml:space="preserve">Постановлением</w:t>
        </w:r>
      </w:hyperlink>
      <w:r>
        <w:rPr>
          <w:sz w:val="20"/>
        </w:rPr>
        <w:t xml:space="preserve"> Правительства РФ от 26.07.2013 N 630)</w:t>
      </w:r>
    </w:p>
    <w:p>
      <w:pPr>
        <w:pStyle w:val="0"/>
        <w:spacing w:before="200" w:line-rule="auto"/>
        <w:ind w:firstLine="540"/>
        <w:jc w:val="both"/>
      </w:pPr>
      <w:r>
        <w:rPr>
          <w:sz w:val="20"/>
        </w:rPr>
        <w:t xml:space="preserve">34(2). Лицо, заинтересованное в перераспределении в свою пользу максимальной мощности других лиц, вправе обратиться в сетевую организацию за информацией о лицах, которые намереваются осуществить перераспределение максимальной мощности принадлежащих им энергопринимающих устройств в пользу иных лиц.</w:t>
      </w:r>
    </w:p>
    <w:p>
      <w:pPr>
        <w:pStyle w:val="0"/>
        <w:spacing w:before="200" w:line-rule="auto"/>
        <w:ind w:firstLine="540"/>
        <w:jc w:val="both"/>
      </w:pPr>
      <w:r>
        <w:rPr>
          <w:sz w:val="20"/>
        </w:rPr>
        <w:t xml:space="preserve">В обращении должно быть указано наименование лица, заинтересованного в перераспределении мощности в свою пользу, с указанием места нахождения присоединяемых (присоединенных) энергопринимающих устройств, точек присоединения к электрической сети (при их наличии), наименование центра питания (по желанию обратившегося лица) и объема необходимой мощности.</w:t>
      </w:r>
    </w:p>
    <w:p>
      <w:pPr>
        <w:pStyle w:val="0"/>
        <w:spacing w:before="200" w:line-rule="auto"/>
        <w:ind w:firstLine="540"/>
        <w:jc w:val="both"/>
      </w:pPr>
      <w:r>
        <w:rPr>
          <w:sz w:val="20"/>
        </w:rPr>
        <w:t xml:space="preserve">Сетевая организация по обращению указанных лиц обязана направить им в письменном виде информацию о лицах, подавших заявление о намерении перераспределить максимальную мощность принадлежащих им энергопринимающих устройств, находящихся в пределах действия указанного центра питания, либо, если центр питания не указан в обращении, находящихся в пределах действия центра питания, ближайшего к месту нахождения энергопринимающих устройств, указанных в обращении, в пользу иных лиц в необходимом объеме, в порядке и за плату в соответствии со </w:t>
      </w:r>
      <w:hyperlink w:history="0" r:id="rId940" w:tooltip="Постановление Правительства РФ от 21.01.2004 N 24 (ред. от 18.05.2022) &quot;Об утверждении стандартов раскрытия информации субъектами оптового и розничных рынков электрической энергии&quot; {КонсультантПлюс}">
        <w:r>
          <w:rPr>
            <w:sz w:val="20"/>
            <w:color w:val="0000ff"/>
          </w:rPr>
          <w:t xml:space="preserve">стандартами</w:t>
        </w:r>
      </w:hyperlink>
      <w:r>
        <w:rPr>
          <w:sz w:val="20"/>
        </w:rP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pPr>
        <w:pStyle w:val="0"/>
        <w:jc w:val="both"/>
      </w:pPr>
      <w:r>
        <w:rPr>
          <w:sz w:val="20"/>
        </w:rPr>
        <w:t xml:space="preserve">(п. 34(2) введен </w:t>
      </w:r>
      <w:hyperlink w:history="0" r:id="rId941" w:tooltip="Постановление Правительства РФ от 26.07.2013 N 630 &quot;О внесении изменений в некоторые акты Правительства Российской Федерации в целях повышения доступности энергетической инфраструктуры&quot; {КонсультантПлюс}">
        <w:r>
          <w:rPr>
            <w:sz w:val="20"/>
            <w:color w:val="0000ff"/>
          </w:rPr>
          <w:t xml:space="preserve">Постановлением</w:t>
        </w:r>
      </w:hyperlink>
      <w:r>
        <w:rPr>
          <w:sz w:val="20"/>
        </w:rPr>
        <w:t xml:space="preserve"> Правительства РФ от 26.07.2013 N 630)</w:t>
      </w:r>
    </w:p>
    <w:bookmarkStart w:id="1725" w:name="P1725"/>
    <w:bookmarkEnd w:id="1725"/>
    <w:p>
      <w:pPr>
        <w:pStyle w:val="0"/>
        <w:spacing w:before="200" w:line-rule="auto"/>
        <w:ind w:firstLine="540"/>
        <w:jc w:val="both"/>
      </w:pPr>
      <w:r>
        <w:rPr>
          <w:sz w:val="20"/>
        </w:rPr>
        <w:t xml:space="preserve">34(3). Не допускается снижение объема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указанной в документах о технологическом присоединении энергопринимающих устройств, следующими лицами:</w:t>
      </w:r>
    </w:p>
    <w:p>
      <w:pPr>
        <w:pStyle w:val="0"/>
        <w:spacing w:before="200" w:line-rule="auto"/>
        <w:ind w:firstLine="540"/>
        <w:jc w:val="both"/>
      </w:pPr>
      <w:r>
        <w:rPr>
          <w:sz w:val="20"/>
        </w:rPr>
        <w:t xml:space="preserve">а) юридические лица или индивидуальные предприниматели, осуществившие технологическое присоединение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по третьей категории надежности;</w:t>
      </w:r>
    </w:p>
    <w:p>
      <w:pPr>
        <w:pStyle w:val="0"/>
        <w:spacing w:before="200" w:line-rule="auto"/>
        <w:ind w:firstLine="540"/>
        <w:jc w:val="both"/>
      </w:pPr>
      <w:r>
        <w:rPr>
          <w:sz w:val="20"/>
        </w:rPr>
        <w:t xml:space="preserve">б) лица, технологическое присоединение которых осуществлено по временной схеме электроснабжения;</w:t>
      </w:r>
    </w:p>
    <w:p>
      <w:pPr>
        <w:pStyle w:val="0"/>
        <w:spacing w:before="200" w:line-rule="auto"/>
        <w:ind w:firstLine="540"/>
        <w:jc w:val="both"/>
      </w:pPr>
      <w:r>
        <w:rPr>
          <w:sz w:val="20"/>
        </w:rPr>
        <w:t xml:space="preserve">в) физические лица в отношении энергопринимающих устройств, максимальная мощность которых составляет до 15 кВт включительно;</w:t>
      </w:r>
    </w:p>
    <w:p>
      <w:pPr>
        <w:pStyle w:val="0"/>
        <w:spacing w:before="200" w:line-rule="auto"/>
        <w:ind w:firstLine="540"/>
        <w:jc w:val="both"/>
      </w:pPr>
      <w:r>
        <w:rPr>
          <w:sz w:val="20"/>
        </w:rPr>
        <w:t xml:space="preserve">г) лица, энергопринимающие устройства которых присоединены к объектам электросетевого хозяйства, соответствующим критериям отнесения объектов к единой национальной (общероссийской) электрической сети;</w:t>
      </w:r>
    </w:p>
    <w:p>
      <w:pPr>
        <w:pStyle w:val="0"/>
        <w:spacing w:before="200" w:line-rule="auto"/>
        <w:ind w:firstLine="540"/>
        <w:jc w:val="both"/>
      </w:pPr>
      <w:r>
        <w:rPr>
          <w:sz w:val="20"/>
        </w:rPr>
        <w:t xml:space="preserve">д) лица, не внесшие плату за технологическое присоединение либо внесшие плату за технологическое присоединение не в полном объеме.</w:t>
      </w:r>
    </w:p>
    <w:p>
      <w:pPr>
        <w:pStyle w:val="0"/>
        <w:jc w:val="both"/>
      </w:pPr>
      <w:r>
        <w:rPr>
          <w:sz w:val="20"/>
        </w:rPr>
        <w:t xml:space="preserve">(п. 34(3) введен </w:t>
      </w:r>
      <w:hyperlink w:history="0" r:id="rId942" w:tooltip="Постановление Правительства РФ от 23.09.2016 N 95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23.09.2016 N 953)</w:t>
      </w:r>
    </w:p>
    <w:bookmarkStart w:id="1732" w:name="P1732"/>
    <w:bookmarkEnd w:id="1732"/>
    <w:p>
      <w:pPr>
        <w:pStyle w:val="0"/>
        <w:spacing w:before="200" w:line-rule="auto"/>
        <w:ind w:firstLine="540"/>
        <w:jc w:val="both"/>
      </w:pPr>
      <w:r>
        <w:rPr>
          <w:sz w:val="20"/>
        </w:rPr>
        <w:t xml:space="preserve">35. Любое лицо, заинтересованное в перераспределении в свою пользу максимальной мощности других лиц, энергопринимающие устройства которых присоединены в установленном порядке к электрическим сетям, вправе при наличии согласия этих лиц обратиться в сетевую организацию, к сетям которой присоединены их энергопринимающие устройства, за расчетом стоимости технологического присоединения посредством перераспределения максимальной мощности (далее - запрос расчета).</w:t>
      </w:r>
    </w:p>
    <w:p>
      <w:pPr>
        <w:pStyle w:val="0"/>
        <w:jc w:val="both"/>
      </w:pPr>
      <w:r>
        <w:rPr>
          <w:sz w:val="20"/>
        </w:rPr>
        <w:t xml:space="preserve">(в ред. Постановлений Правительства РФ от 04.05.2012 </w:t>
      </w:r>
      <w:hyperlink w:history="0" r:id="rId943"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N 442</w:t>
        </w:r>
      </w:hyperlink>
      <w:r>
        <w:rPr>
          <w:sz w:val="20"/>
        </w:rPr>
        <w:t xml:space="preserve">, от 28.10.2013 </w:t>
      </w:r>
      <w:hyperlink w:history="0" r:id="rId944" w:tooltip="Постановление Правительства РФ от 28.10.2013 N 96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967</w:t>
        </w:r>
      </w:hyperlink>
      <w:r>
        <w:rPr>
          <w:sz w:val="20"/>
        </w:rPr>
        <w:t xml:space="preserve">)</w:t>
      </w:r>
    </w:p>
    <w:p>
      <w:pPr>
        <w:pStyle w:val="0"/>
        <w:spacing w:before="200" w:line-rule="auto"/>
        <w:ind w:firstLine="540"/>
        <w:jc w:val="both"/>
      </w:pPr>
      <w:r>
        <w:rPr>
          <w:sz w:val="20"/>
        </w:rPr>
        <w:t xml:space="preserve">В запросе расчета указываются:</w:t>
      </w:r>
    </w:p>
    <w:p>
      <w:pPr>
        <w:pStyle w:val="0"/>
        <w:spacing w:before="200" w:line-rule="auto"/>
        <w:ind w:firstLine="540"/>
        <w:jc w:val="both"/>
      </w:pPr>
      <w:r>
        <w:rPr>
          <w:sz w:val="20"/>
        </w:rPr>
        <w:t xml:space="preserve">наименование лица, максимальная мощность энергопринимающих устройств которого перераспределяется (с указанием местонахождения энергопринимающих устройств, точек присоединения к электрической сети и перераспределяемой мощности);</w:t>
      </w:r>
    </w:p>
    <w:p>
      <w:pPr>
        <w:pStyle w:val="0"/>
        <w:jc w:val="both"/>
      </w:pPr>
      <w:r>
        <w:rPr>
          <w:sz w:val="20"/>
        </w:rPr>
        <w:t xml:space="preserve">(в ред. </w:t>
      </w:r>
      <w:hyperlink w:history="0" r:id="rId945"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spacing w:before="200" w:line-rule="auto"/>
        <w:ind w:firstLine="540"/>
        <w:jc w:val="both"/>
      </w:pPr>
      <w:r>
        <w:rPr>
          <w:sz w:val="20"/>
        </w:rPr>
        <w:t xml:space="preserve">наименование лица, в пользу которого перераспределяется максимальная мощность, с указанием местонахождения присоединяемых (присоединенных) энергопринимающих устройств, точек присоединения к электрической сети (при их наличии) и объема перераспределяемой максимальной мощности.</w:t>
      </w:r>
    </w:p>
    <w:p>
      <w:pPr>
        <w:pStyle w:val="0"/>
        <w:jc w:val="both"/>
      </w:pPr>
      <w:r>
        <w:rPr>
          <w:sz w:val="20"/>
        </w:rPr>
        <w:t xml:space="preserve">(в ред. </w:t>
      </w:r>
      <w:hyperlink w:history="0" r:id="rId946"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spacing w:before="200" w:line-rule="auto"/>
        <w:ind w:firstLine="540"/>
        <w:jc w:val="both"/>
      </w:pPr>
      <w:r>
        <w:rPr>
          <w:sz w:val="20"/>
        </w:rPr>
        <w:t xml:space="preserve">В случае если лицом, максимальная мощность энергопринимающих устройств которого перераспределяется, ранее не подавалось заявление о намерении перераспределить свою максимальную мощность в пользу иных лиц, к запросу расчета прилагаются копии акта об осуществлении технологического присоединения или иного документа, подтверждающего объем максимальной мощности такого лица.</w:t>
      </w:r>
    </w:p>
    <w:p>
      <w:pPr>
        <w:pStyle w:val="0"/>
        <w:jc w:val="both"/>
      </w:pPr>
      <w:r>
        <w:rPr>
          <w:sz w:val="20"/>
        </w:rPr>
        <w:t xml:space="preserve">(в ред. </w:t>
      </w:r>
      <w:hyperlink w:history="0" r:id="rId947" w:tooltip="Постановление Правительства РФ от 28.10.2013 N 96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28.10.2013 N 967)</w:t>
      </w:r>
    </w:p>
    <w:bookmarkStart w:id="1741" w:name="P1741"/>
    <w:bookmarkEnd w:id="1741"/>
    <w:p>
      <w:pPr>
        <w:pStyle w:val="0"/>
        <w:spacing w:before="200" w:line-rule="auto"/>
        <w:ind w:firstLine="540"/>
        <w:jc w:val="both"/>
      </w:pPr>
      <w:r>
        <w:rPr>
          <w:sz w:val="20"/>
        </w:rPr>
        <w:t xml:space="preserve">36. В случае если иное не установлено </w:t>
      </w:r>
      <w:hyperlink w:history="0" w:anchor="P1781" w:tooltip="39. Сетевая организация вправе отказать в представлении информации, указанной в пункте 36 настоящих Правил, и (или) заключении договора с лицом, в пользу которого перераспределяется максимальная мощность, по следующим причинам:">
        <w:r>
          <w:rPr>
            <w:sz w:val="20"/>
            <w:color w:val="0000ff"/>
          </w:rPr>
          <w:t xml:space="preserve">пунктом 39</w:t>
        </w:r>
      </w:hyperlink>
      <w:r>
        <w:rPr>
          <w:sz w:val="20"/>
        </w:rPr>
        <w:t xml:space="preserve"> настоящих Правил, сетевая организация по обращению лиц, указанных в </w:t>
      </w:r>
      <w:hyperlink w:history="0" w:anchor="P1732" w:tooltip="35. Любое лицо, заинтересованное в перераспределении в свою пользу максимальной мощности других лиц, энергопринимающие устройства которых присоединены в установленном порядке к электрическим сетям, вправе при наличии согласия этих лиц обратиться в сетевую организацию, к сетям которой присоединены их энергопринимающие устройства, за расчетом стоимости технологического присоединения посредством перераспределения максимальной мощности (далее - запрос расчета).">
        <w:r>
          <w:rPr>
            <w:sz w:val="20"/>
            <w:color w:val="0000ff"/>
          </w:rPr>
          <w:t xml:space="preserve">пункте 35</w:t>
        </w:r>
      </w:hyperlink>
      <w:r>
        <w:rPr>
          <w:sz w:val="20"/>
        </w:rPr>
        <w:t xml:space="preserve"> настоящих Правил, в течение 30 дней обязана направить этим лицам в письменном виде информацию, содержащую:</w:t>
      </w:r>
    </w:p>
    <w:p>
      <w:pPr>
        <w:pStyle w:val="0"/>
        <w:spacing w:before="200" w:line-rule="auto"/>
        <w:ind w:firstLine="540"/>
        <w:jc w:val="both"/>
      </w:pPr>
      <w:r>
        <w:rPr>
          <w:sz w:val="20"/>
        </w:rPr>
        <w:t xml:space="preserve">расчет стоимости технологического присоединения для лиц, желающих осуществить технологическое присоединение путем перераспределения максимальной мощности энергопринимающих устройств других лиц;</w:t>
      </w:r>
    </w:p>
    <w:p>
      <w:pPr>
        <w:pStyle w:val="0"/>
        <w:jc w:val="both"/>
      </w:pPr>
      <w:r>
        <w:rPr>
          <w:sz w:val="20"/>
        </w:rPr>
        <w:t xml:space="preserve">(в ред. Постановлений Правительства РФ от 04.05.2012 </w:t>
      </w:r>
      <w:hyperlink w:history="0" r:id="rId948"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N 442</w:t>
        </w:r>
      </w:hyperlink>
      <w:r>
        <w:rPr>
          <w:sz w:val="20"/>
        </w:rPr>
        <w:t xml:space="preserve">, от 28.10.2013 </w:t>
      </w:r>
      <w:hyperlink w:history="0" r:id="rId949" w:tooltip="Постановление Правительства РФ от 28.10.2013 N 96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967</w:t>
        </w:r>
      </w:hyperlink>
      <w:r>
        <w:rPr>
          <w:sz w:val="20"/>
        </w:rPr>
        <w:t xml:space="preserve">)</w:t>
      </w:r>
    </w:p>
    <w:p>
      <w:pPr>
        <w:pStyle w:val="0"/>
        <w:spacing w:before="200" w:line-rule="auto"/>
        <w:ind w:firstLine="540"/>
        <w:jc w:val="both"/>
      </w:pPr>
      <w:r>
        <w:rPr>
          <w:sz w:val="20"/>
        </w:rPr>
        <w:t xml:space="preserve">сведения о точках возможного присоединения к электрической сети энергопринимающих устройств лица, в пользу которого перераспределяется максимальная мощность;</w:t>
      </w:r>
    </w:p>
    <w:p>
      <w:pPr>
        <w:pStyle w:val="0"/>
        <w:jc w:val="both"/>
      </w:pPr>
      <w:r>
        <w:rPr>
          <w:sz w:val="20"/>
        </w:rPr>
        <w:t xml:space="preserve">(в ред. </w:t>
      </w:r>
      <w:hyperlink w:history="0" r:id="rId950"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spacing w:before="200" w:line-rule="auto"/>
        <w:ind w:firstLine="540"/>
        <w:jc w:val="both"/>
      </w:pPr>
      <w:r>
        <w:rPr>
          <w:sz w:val="20"/>
        </w:rPr>
        <w:t xml:space="preserve">требования к изменению устройств релейной защиты и устройств, обеспечивающих контроль величины максимальной мощности энергопринимающих устройств лиц, перераспределяющих максимальную мощность в пользу другого лица, в случае эксплуатационной принадлежности этих устройств лицам, перераспределяющим максимальную мощность энергопринимающих устройств;</w:t>
      </w:r>
    </w:p>
    <w:p>
      <w:pPr>
        <w:pStyle w:val="0"/>
        <w:jc w:val="both"/>
      </w:pPr>
      <w:r>
        <w:rPr>
          <w:sz w:val="20"/>
        </w:rPr>
        <w:t xml:space="preserve">(в ред. </w:t>
      </w:r>
      <w:hyperlink w:history="0" r:id="rId951"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spacing w:before="200" w:line-rule="auto"/>
        <w:ind w:firstLine="540"/>
        <w:jc w:val="both"/>
      </w:pPr>
      <w:r>
        <w:rPr>
          <w:sz w:val="20"/>
        </w:rPr>
        <w:t xml:space="preserve">срок осуществления сетевой организацией мероприятий по технологическому присоединению.</w:t>
      </w:r>
    </w:p>
    <w:p>
      <w:pPr>
        <w:pStyle w:val="0"/>
        <w:jc w:val="both"/>
      </w:pPr>
      <w:r>
        <w:rPr>
          <w:sz w:val="20"/>
        </w:rPr>
        <w:t xml:space="preserve">(абзац введен </w:t>
      </w:r>
      <w:hyperlink w:history="0" r:id="rId952" w:tooltip="Постановление Правительства РФ от 28.10.2013 N 96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28.10.2013 N 967)</w:t>
      </w:r>
    </w:p>
    <w:p>
      <w:pPr>
        <w:pStyle w:val="0"/>
        <w:spacing w:before="200" w:line-rule="auto"/>
        <w:ind w:firstLine="540"/>
        <w:jc w:val="both"/>
      </w:pPr>
      <w:r>
        <w:rPr>
          <w:sz w:val="20"/>
        </w:rPr>
        <w:t xml:space="preserve">Информация предоставляется на возмездной основе, при этом плата не может составлять более 550 рублей по запросу расчета.</w:t>
      </w:r>
    </w:p>
    <w:p>
      <w:pPr>
        <w:pStyle w:val="0"/>
        <w:spacing w:before="200" w:line-rule="auto"/>
        <w:ind w:firstLine="540"/>
        <w:jc w:val="both"/>
      </w:pPr>
      <w:r>
        <w:rPr>
          <w:sz w:val="20"/>
        </w:rPr>
        <w:t xml:space="preserve">37. К отношениям, возникающим после получения сетевой организацией уведомления о перераспределении, в отношении лиц, в пользу которых предполагается перераспределить максимальную мощность, применяются положения, установленные настоящими Правилами для технологического присоединения энергопринимающих устройств, если иное не предусмотрено настоящим разделом.</w:t>
      </w:r>
    </w:p>
    <w:p>
      <w:pPr>
        <w:pStyle w:val="0"/>
        <w:jc w:val="both"/>
      </w:pPr>
      <w:r>
        <w:rPr>
          <w:sz w:val="20"/>
        </w:rPr>
        <w:t xml:space="preserve">(в ред. </w:t>
      </w:r>
      <w:hyperlink w:history="0" r:id="rId953"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30.09.2015 N 1044)</w:t>
      </w:r>
    </w:p>
    <w:p>
      <w:pPr>
        <w:pStyle w:val="0"/>
        <w:spacing w:before="200" w:line-rule="auto"/>
        <w:ind w:firstLine="540"/>
        <w:jc w:val="both"/>
      </w:pPr>
      <w:r>
        <w:rPr>
          <w:sz w:val="20"/>
        </w:rPr>
        <w:t xml:space="preserve">Срок осуществления мероприятий по технологическому присоединению энергопринимающих устройств лиц, в пользу которых предполагается перераспределить максимальную мощность, не может превышать 30 дней в случае отсутствия необходимости строительства (реконструкции) объектов электросетевого хозяйства от существующих объектов электросетевого хозяйства сетевой организации до границ участка заявителя и (или) отсутствия необходимости выполнения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w:t>
      </w:r>
    </w:p>
    <w:p>
      <w:pPr>
        <w:pStyle w:val="0"/>
        <w:jc w:val="both"/>
      </w:pPr>
      <w:r>
        <w:rPr>
          <w:sz w:val="20"/>
        </w:rPr>
        <w:t xml:space="preserve">(абзац введен </w:t>
      </w:r>
      <w:hyperlink w:history="0" r:id="rId954" w:tooltip="Постановление Правительства РФ от 13.04.2015 N 35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13.04.2015 N 350)</w:t>
      </w:r>
    </w:p>
    <w:p>
      <w:pPr>
        <w:pStyle w:val="0"/>
        <w:spacing w:before="200" w:line-rule="auto"/>
        <w:ind w:firstLine="540"/>
        <w:jc w:val="both"/>
      </w:pPr>
      <w:r>
        <w:rPr>
          <w:sz w:val="20"/>
        </w:rPr>
        <w:t xml:space="preserve">Срок осуществления мероприятий по технологическому присоединению энергопринимающих устройств лиц, в пользу которых предполагается перераспределить максимальную мощность, при технологическом присоединении таких лиц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если в соответствии с техническими условиями сетевой организации не требуется выполнения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 потребителя и (или) объектов электроэнергетики, не может превышать:</w:t>
      </w:r>
    </w:p>
    <w:p>
      <w:pPr>
        <w:pStyle w:val="0"/>
        <w:spacing w:before="200" w:line-rule="auto"/>
        <w:ind w:firstLine="540"/>
        <w:jc w:val="both"/>
      </w:pPr>
      <w:r>
        <w:rPr>
          <w:sz w:val="20"/>
        </w:rPr>
        <w:t xml:space="preserve">120 дней - для заявителей, максимальная мощность энергопринимающих устройств которых составляет до 670 кВт;</w:t>
      </w:r>
    </w:p>
    <w:p>
      <w:pPr>
        <w:pStyle w:val="0"/>
        <w:spacing w:before="200" w:line-rule="auto"/>
        <w:ind w:firstLine="540"/>
        <w:jc w:val="both"/>
      </w:pPr>
      <w:r>
        <w:rPr>
          <w:sz w:val="20"/>
        </w:rPr>
        <w:t xml:space="preserve">1 год - для заявителей, максимальная мощность энергопринимающих устройств которых составляет свыше 670 кВт.</w:t>
      </w:r>
    </w:p>
    <w:p>
      <w:pPr>
        <w:pStyle w:val="0"/>
        <w:spacing w:before="200" w:line-rule="auto"/>
        <w:ind w:firstLine="540"/>
        <w:jc w:val="both"/>
      </w:pPr>
      <w:r>
        <w:rPr>
          <w:sz w:val="20"/>
        </w:rPr>
        <w:t xml:space="preserve">В случае если перераспределение мощности осуществляется в пределах действия одного центра питания лицом, ранее присоединенным к электрическим сетям, в пользу лица, ранее присоединенного к электрическим сетям, срок осуществления сетевой организацией мероприятий по технологическому присоединению не может превышать 30 дней.</w:t>
      </w:r>
    </w:p>
    <w:p>
      <w:pPr>
        <w:pStyle w:val="0"/>
        <w:jc w:val="both"/>
      </w:pPr>
      <w:r>
        <w:rPr>
          <w:sz w:val="20"/>
        </w:rPr>
        <w:t xml:space="preserve">(абзац введен </w:t>
      </w:r>
      <w:hyperlink w:history="0" r:id="rId955"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30.09.2015 N 1044)</w:t>
      </w:r>
    </w:p>
    <w:p>
      <w:pPr>
        <w:pStyle w:val="0"/>
        <w:spacing w:before="200" w:line-rule="auto"/>
        <w:ind w:firstLine="540"/>
        <w:jc w:val="both"/>
      </w:pPr>
      <w:r>
        <w:rPr>
          <w:sz w:val="20"/>
        </w:rPr>
        <w:t xml:space="preserve">В случае если необходимо выполнить работы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мероприятия по технологическому присоединению выполняются сетевой организацией в сроки, установленные </w:t>
      </w:r>
      <w:hyperlink w:history="0" w:anchor="P1240" w:tooltip="16. Договор должен содержать следующие существенные условия:">
        <w:r>
          <w:rPr>
            <w:sz w:val="20"/>
            <w:color w:val="0000ff"/>
          </w:rPr>
          <w:t xml:space="preserve">пунктом 16</w:t>
        </w:r>
      </w:hyperlink>
      <w:r>
        <w:rPr>
          <w:sz w:val="20"/>
        </w:rPr>
        <w:t xml:space="preserve"> настоящих Правил.</w:t>
      </w:r>
    </w:p>
    <w:p>
      <w:pPr>
        <w:pStyle w:val="0"/>
        <w:spacing w:before="200" w:line-rule="auto"/>
        <w:ind w:firstLine="540"/>
        <w:jc w:val="both"/>
      </w:pPr>
      <w:r>
        <w:rPr>
          <w:sz w:val="20"/>
        </w:rPr>
        <w:t xml:space="preserve">До выполнения в полном объеме технических условий лицом, максимальная мощность которого перераспределяется, а также лицом, в пользу которого осуществляется перераспределение мощности, присоединение энергопринимающих устройств лица, в пользу которого перераспределена максимальная мощность, не производится.</w:t>
      </w:r>
    </w:p>
    <w:p>
      <w:pPr>
        <w:pStyle w:val="0"/>
        <w:jc w:val="both"/>
      </w:pPr>
      <w:r>
        <w:rPr>
          <w:sz w:val="20"/>
        </w:rPr>
        <w:t xml:space="preserve">(п. 37 в ред. </w:t>
      </w:r>
      <w:hyperlink w:history="0" r:id="rId956" w:tooltip="Постановление Правительства РФ от 28.10.2013 N 96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28.10.2013 N 967)</w:t>
      </w:r>
    </w:p>
    <w:p>
      <w:pPr>
        <w:pStyle w:val="0"/>
        <w:spacing w:before="200" w:line-rule="auto"/>
        <w:ind w:firstLine="540"/>
        <w:jc w:val="both"/>
      </w:pPr>
      <w:r>
        <w:rPr>
          <w:sz w:val="20"/>
        </w:rPr>
        <w:t xml:space="preserve">38. Лицо, заключившее соглашение о перераспределении мощности, максимальная мощность энергопринимающих устройств которого перераспределяется, обязано осуществить необходимые действия по уменьшению максимальной мощности своих энергопринимающих устройств до завершения срока осуществления мероприятий по технологическому присоединению энергопринимающих устройств лица, в пользу которого по соглашению о перераспределении мощности перераспределяется максимальная мощность, а также выполнить следующие действия:</w:t>
      </w:r>
    </w:p>
    <w:p>
      <w:pPr>
        <w:pStyle w:val="0"/>
        <w:spacing w:before="200" w:line-rule="auto"/>
        <w:ind w:firstLine="540"/>
        <w:jc w:val="both"/>
      </w:pPr>
      <w:r>
        <w:rPr>
          <w:sz w:val="20"/>
        </w:rPr>
        <w:t xml:space="preserve">реализовать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субъектом оперативно-диспетчерского управления в случаях, установленных настоящими Правилами;</w:t>
      </w:r>
    </w:p>
    <w:p>
      <w:pPr>
        <w:pStyle w:val="0"/>
        <w:spacing w:before="200" w:line-rule="auto"/>
        <w:ind w:firstLine="540"/>
        <w:jc w:val="both"/>
      </w:pPr>
      <w:r>
        <w:rPr>
          <w:sz w:val="20"/>
        </w:rPr>
        <w:t xml:space="preserve">внести изменения в документы, предусматривающие взаимодействие с сетевой организацией, и подписать документы о технологическом присоединении, фиксирующие объем максимальной мощности после ее перераспределения, в соответствии с соглашением о перераспределении мощности.</w:t>
      </w:r>
    </w:p>
    <w:p>
      <w:pPr>
        <w:pStyle w:val="0"/>
        <w:spacing w:before="200" w:line-rule="auto"/>
        <w:ind w:firstLine="540"/>
        <w:jc w:val="both"/>
      </w:pPr>
      <w:r>
        <w:rPr>
          <w:sz w:val="20"/>
        </w:rPr>
        <w:t xml:space="preserve">Сетевая организация обязана направить лицу, максимальная мощность энергопринимающих устройств которого перераспределяется по соглашению о перераспределении мощности, информацию об изменениях, внесенных в ранее выданные ему технические условия, не позднее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В случае если в соответствии с настоящими Правилами технические условия подлежат согласованию с субъектом оперативно-диспетчерского управления, указанный срок продлевается на срок согласования изменений, внесенных в технические условия, с таким субъектом. При этом заключения договора между сетевой организацией и лицом, максимальная мощность энергопринимающих устройств которого перераспределяется по соглашению о перераспределении мощности, не требуется.</w:t>
      </w:r>
    </w:p>
    <w:p>
      <w:pPr>
        <w:pStyle w:val="0"/>
        <w:jc w:val="both"/>
      </w:pPr>
      <w:r>
        <w:rPr>
          <w:sz w:val="20"/>
        </w:rPr>
        <w:t xml:space="preserve">(п. 38 в ред. </w:t>
      </w:r>
      <w:hyperlink w:history="0" r:id="rId957" w:tooltip="Постановление Правительства РФ от 28.10.2013 N 96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28.10.2013 N 967)</w:t>
      </w:r>
    </w:p>
    <w:p>
      <w:pPr>
        <w:pStyle w:val="0"/>
        <w:spacing w:before="200" w:line-rule="auto"/>
        <w:ind w:firstLine="540"/>
        <w:jc w:val="both"/>
      </w:pPr>
      <w:r>
        <w:rPr>
          <w:sz w:val="20"/>
        </w:rPr>
        <w:t xml:space="preserve">38(1). Технические условия, выдаваемые сетевой организацией лицу, в пользу которого предполагается перераспределить максимальную мощность, подлежат согласованию с субъектом оперативно-диспетчерского управления в случаях, предусмотренных настоящими Правилами. В этом случае срок направления такому лицу проекта договора и технических условий продлевается на срок согласования технических условий с субъектом оперативно-диспетчерского управления.</w:t>
      </w:r>
    </w:p>
    <w:p>
      <w:pPr>
        <w:pStyle w:val="0"/>
        <w:spacing w:before="200" w:line-rule="auto"/>
        <w:ind w:firstLine="540"/>
        <w:jc w:val="both"/>
      </w:pPr>
      <w:r>
        <w:rPr>
          <w:sz w:val="20"/>
        </w:rPr>
        <w:t xml:space="preserve">Технические условия, выдаваемые сетевой организацией лицу, в пользу которого осуществляется перераспределение максимальной мощности, должны содержать требования, определенные настоящими Правилами.</w:t>
      </w:r>
    </w:p>
    <w:p>
      <w:pPr>
        <w:pStyle w:val="0"/>
        <w:spacing w:before="200" w:line-rule="auto"/>
        <w:ind w:firstLine="540"/>
        <w:jc w:val="both"/>
      </w:pPr>
      <w:r>
        <w:rPr>
          <w:sz w:val="20"/>
        </w:rPr>
        <w:t xml:space="preserve">Указанные технические условия также должны включать обоснованные требования по строительству (реконструкции) объектов электросетевого хозяйства сетевой организации, необходимых для обеспечения перераспределения максимальной мощности, предусматривающие в том числе строительство объектов электросетевого хозяйства от существующих объектов электросетевого хозяйства до объектов заявителя.</w:t>
      </w:r>
    </w:p>
    <w:p>
      <w:pPr>
        <w:pStyle w:val="0"/>
        <w:spacing w:before="200" w:line-rule="auto"/>
        <w:ind w:firstLine="540"/>
        <w:jc w:val="both"/>
      </w:pPr>
      <w:r>
        <w:rPr>
          <w:sz w:val="20"/>
        </w:rPr>
        <w:t xml:space="preserve">В случае если технические условия на технологическое присоединение энергопринимающих устройств лица, максимальная мощность энергопринимающих устройств которого перераспределяется, подлежат в соответствии с настоящими Правилами согласованию с субъектом оперативно-диспетчерского управления, изменения в технические условия, формируемые сетевой организацией в связи с перераспределением мощности, также должны быть согласованы с таким субъектом.</w:t>
      </w:r>
    </w:p>
    <w:p>
      <w:pPr>
        <w:pStyle w:val="0"/>
        <w:jc w:val="both"/>
      </w:pPr>
      <w:r>
        <w:rPr>
          <w:sz w:val="20"/>
        </w:rPr>
        <w:t xml:space="preserve">(п. 38(1) введен </w:t>
      </w:r>
      <w:hyperlink w:history="0" r:id="rId958" w:tooltip="Постановление Правительства РФ от 28.10.2013 N 96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28.10.2013 N 967)</w:t>
      </w:r>
    </w:p>
    <w:p>
      <w:pPr>
        <w:pStyle w:val="0"/>
        <w:spacing w:before="200" w:line-rule="auto"/>
        <w:ind w:firstLine="540"/>
        <w:jc w:val="both"/>
      </w:pPr>
      <w:r>
        <w:rPr>
          <w:sz w:val="20"/>
        </w:rPr>
        <w:t xml:space="preserve">38(2). Изменения, вносимые в технические условия, подлежащие направлению сетевой организацией лицу, максимальная мощность энергопринимающих устройств которого перераспределяется, должны содержать сведения:</w:t>
      </w:r>
    </w:p>
    <w:p>
      <w:pPr>
        <w:pStyle w:val="0"/>
        <w:spacing w:before="200" w:line-rule="auto"/>
        <w:ind w:firstLine="540"/>
        <w:jc w:val="both"/>
      </w:pPr>
      <w:r>
        <w:rPr>
          <w:sz w:val="20"/>
        </w:rPr>
        <w:t xml:space="preserve">о величине максимальной мощности объектов заявителя после перераспределения;</w:t>
      </w:r>
    </w:p>
    <w:p>
      <w:pPr>
        <w:pStyle w:val="0"/>
        <w:spacing w:before="200" w:line-rule="auto"/>
        <w:ind w:firstLine="540"/>
        <w:jc w:val="both"/>
      </w:pPr>
      <w:r>
        <w:rPr>
          <w:sz w:val="20"/>
        </w:rPr>
        <w:t xml:space="preserve">о мероприятиях по перераспределению максимальной мощности по точкам присоединения;</w:t>
      </w:r>
    </w:p>
    <w:p>
      <w:pPr>
        <w:pStyle w:val="0"/>
        <w:spacing w:before="200" w:line-rule="auto"/>
        <w:ind w:firstLine="540"/>
        <w:jc w:val="both"/>
      </w:pPr>
      <w:r>
        <w:rPr>
          <w:sz w:val="20"/>
        </w:rPr>
        <w:t xml:space="preserve">о мероприятиях по установке (замене) устройств, обеспечивающих контроль величины максимальной мощности для снижения ее величины в объемах, предусмотренных соглашением о перераспределении мощности;</w:t>
      </w:r>
    </w:p>
    <w:p>
      <w:pPr>
        <w:pStyle w:val="0"/>
        <w:spacing w:before="200" w:line-rule="auto"/>
        <w:ind w:firstLine="540"/>
        <w:jc w:val="both"/>
      </w:pPr>
      <w:r>
        <w:rPr>
          <w:sz w:val="20"/>
        </w:rPr>
        <w:t xml:space="preserve">о требованиях к релейной защите и автоматике, в том числе к противоаварийной и режимной автоматике.</w:t>
      </w:r>
    </w:p>
    <w:p>
      <w:pPr>
        <w:pStyle w:val="0"/>
        <w:jc w:val="both"/>
      </w:pPr>
      <w:r>
        <w:rPr>
          <w:sz w:val="20"/>
        </w:rPr>
        <w:t xml:space="preserve">(п. 38(2) введен </w:t>
      </w:r>
      <w:hyperlink w:history="0" r:id="rId959" w:tooltip="Постановление Правительства РФ от 28.10.2013 N 96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28.10.2013 N 967)</w:t>
      </w:r>
    </w:p>
    <w:p>
      <w:pPr>
        <w:pStyle w:val="0"/>
        <w:spacing w:before="200" w:line-rule="auto"/>
        <w:ind w:firstLine="540"/>
        <w:jc w:val="both"/>
      </w:pPr>
      <w:r>
        <w:rPr>
          <w:sz w:val="20"/>
        </w:rPr>
        <w:t xml:space="preserve">38(3). Сетевая организация направляет копии переоформленных технических условий и акта об осуществлении технологического присоединения лица, осуществившего перераспределение максимальной мощности в пользу иного лица или в пользу сетевой организации, а также акта об осуществлении технологического присоединения лица, в чью пользу была перераспределена максимальная мощность, субъекту розничного рынка, с которым у лица, осуществившего перераспределение максимальной мощности, заключен договор энергоснабжения (купли-продажи (поставки) электрической энергии (мощности). Направление указанных документов осуществляется сетевой организацией без взимания платы и в срок, не превышающий 3 дней со дня оформления таких документов.</w:t>
      </w:r>
    </w:p>
    <w:p>
      <w:pPr>
        <w:pStyle w:val="0"/>
        <w:jc w:val="both"/>
      </w:pPr>
      <w:r>
        <w:rPr>
          <w:sz w:val="20"/>
        </w:rPr>
        <w:t xml:space="preserve">(п. 38(3) введен </w:t>
      </w:r>
      <w:hyperlink w:history="0" r:id="rId960"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Постановлением</w:t>
        </w:r>
      </w:hyperlink>
      <w:r>
        <w:rPr>
          <w:sz w:val="20"/>
        </w:rPr>
        <w:t xml:space="preserve"> Правительства РФ от 07.05.2017 N 542)</w:t>
      </w:r>
    </w:p>
    <w:bookmarkStart w:id="1781" w:name="P1781"/>
    <w:bookmarkEnd w:id="1781"/>
    <w:p>
      <w:pPr>
        <w:pStyle w:val="0"/>
        <w:spacing w:before="200" w:line-rule="auto"/>
        <w:ind w:firstLine="540"/>
        <w:jc w:val="both"/>
      </w:pPr>
      <w:r>
        <w:rPr>
          <w:sz w:val="20"/>
        </w:rPr>
        <w:t xml:space="preserve">39. Сетевая организация вправе отказать в представлении информации, указанной в </w:t>
      </w:r>
      <w:hyperlink w:history="0" w:anchor="P1741" w:tooltip="36. В случае если иное не установлено пунктом 39 настоящих Правил, сетевая организация по обращению лиц, указанных в пункте 35 настоящих Правил, в течение 30 дней обязана направить этим лицам в письменном виде информацию, содержащую:">
        <w:r>
          <w:rPr>
            <w:sz w:val="20"/>
            <w:color w:val="0000ff"/>
          </w:rPr>
          <w:t xml:space="preserve">пункте 36</w:t>
        </w:r>
      </w:hyperlink>
      <w:r>
        <w:rPr>
          <w:sz w:val="20"/>
        </w:rPr>
        <w:t xml:space="preserve"> настоящих Правил, и (или) заключении договора с лицом, в пользу которого перераспределяется максимальная мощность, по следующим причинам:</w:t>
      </w:r>
    </w:p>
    <w:p>
      <w:pPr>
        <w:pStyle w:val="0"/>
        <w:jc w:val="both"/>
      </w:pPr>
      <w:r>
        <w:rPr>
          <w:sz w:val="20"/>
        </w:rPr>
        <w:t xml:space="preserve">(в ред. </w:t>
      </w:r>
      <w:hyperlink w:history="0" r:id="rId961"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spacing w:before="200" w:line-rule="auto"/>
        <w:ind w:firstLine="540"/>
        <w:jc w:val="both"/>
      </w:pPr>
      <w:r>
        <w:rPr>
          <w:sz w:val="20"/>
        </w:rPr>
        <w:t xml:space="preserve">а) уведомление о перераспределении и (или) запрос расчета поданы в сетевую организацию, не владеющую сетевыми объектами, к которым присоединены энергопринимающие устройства лица (лиц), максимальная мощность которых перераспределяется;</w:t>
      </w:r>
    </w:p>
    <w:p>
      <w:pPr>
        <w:pStyle w:val="0"/>
        <w:jc w:val="both"/>
      </w:pPr>
      <w:r>
        <w:rPr>
          <w:sz w:val="20"/>
        </w:rPr>
        <w:t xml:space="preserve">(в ред. Постановлений Правительства РФ от 04.05.2012 </w:t>
      </w:r>
      <w:hyperlink w:history="0" r:id="rId962"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N 442</w:t>
        </w:r>
      </w:hyperlink>
      <w:r>
        <w:rPr>
          <w:sz w:val="20"/>
        </w:rPr>
        <w:t xml:space="preserve">, от 30.09.2015 </w:t>
      </w:r>
      <w:hyperlink w:history="0" r:id="rId963"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1044</w:t>
        </w:r>
      </w:hyperlink>
      <w:r>
        <w:rPr>
          <w:sz w:val="20"/>
        </w:rPr>
        <w:t xml:space="preserve">)</w:t>
      </w:r>
    </w:p>
    <w:p>
      <w:pPr>
        <w:pStyle w:val="0"/>
        <w:spacing w:before="200" w:line-rule="auto"/>
        <w:ind w:firstLine="540"/>
        <w:jc w:val="both"/>
      </w:pPr>
      <w:r>
        <w:rPr>
          <w:sz w:val="20"/>
        </w:rPr>
        <w:t xml:space="preserve">б) уведомление о перераспределении и (или) запрос расчета не содержат сведений, установленных </w:t>
      </w:r>
      <w:hyperlink w:history="0" w:anchor="P1686" w:tooltip="34. Лица, имеющие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технологическое присоединение к электрическим сетям, вправе по соглашению с иными владельцами энергопринимающих устройств снизить объем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
        <w:r>
          <w:rPr>
            <w:sz w:val="20"/>
            <w:color w:val="0000ff"/>
          </w:rPr>
          <w:t xml:space="preserve">пунктами 34</w:t>
        </w:r>
      </w:hyperlink>
      <w:r>
        <w:rPr>
          <w:sz w:val="20"/>
        </w:rPr>
        <w:t xml:space="preserve"> и </w:t>
      </w:r>
      <w:hyperlink w:history="0" w:anchor="P1732" w:tooltip="35. Любое лицо, заинтересованное в перераспределении в свою пользу максимальной мощности других лиц, энергопринимающие устройства которых присоединены в установленном порядке к электрическим сетям, вправе при наличии согласия этих лиц обратиться в сетевую организацию, к сетям которой присоединены их энергопринимающие устройства, за расчетом стоимости технологического присоединения посредством перераспределения максимальной мощности (далее - запрос расчета).">
        <w:r>
          <w:rPr>
            <w:sz w:val="20"/>
            <w:color w:val="0000ff"/>
          </w:rPr>
          <w:t xml:space="preserve">35</w:t>
        </w:r>
      </w:hyperlink>
      <w:r>
        <w:rPr>
          <w:sz w:val="20"/>
        </w:rPr>
        <w:t xml:space="preserve"> настоящих Правил, либо содержат недостоверные сведения;</w:t>
      </w:r>
    </w:p>
    <w:p>
      <w:pPr>
        <w:pStyle w:val="0"/>
        <w:jc w:val="both"/>
      </w:pPr>
      <w:r>
        <w:rPr>
          <w:sz w:val="20"/>
        </w:rPr>
        <w:t xml:space="preserve">(в ред. </w:t>
      </w:r>
      <w:hyperlink w:history="0" r:id="rId964"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30.09.2015 N 1044)</w:t>
      </w:r>
    </w:p>
    <w:p>
      <w:pPr>
        <w:pStyle w:val="0"/>
        <w:spacing w:before="200" w:line-rule="auto"/>
        <w:ind w:firstLine="540"/>
        <w:jc w:val="both"/>
      </w:pPr>
      <w:r>
        <w:rPr>
          <w:sz w:val="20"/>
        </w:rPr>
        <w:t xml:space="preserve">в) в заверенной копии заключенного соглашения о перераспределении мощности при представлении уведомления о перераспределении не предусмотрены обязательства лица (лиц), максимальная мощность энергопринимающих устройств которого перераспределяется:</w:t>
      </w:r>
    </w:p>
    <w:p>
      <w:pPr>
        <w:pStyle w:val="0"/>
        <w:jc w:val="both"/>
      </w:pPr>
      <w:r>
        <w:rPr>
          <w:sz w:val="20"/>
        </w:rPr>
        <w:t xml:space="preserve">(в ред. Постановлений Правительства РФ от 04.05.2012 </w:t>
      </w:r>
      <w:hyperlink w:history="0" r:id="rId965"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N 442</w:t>
        </w:r>
      </w:hyperlink>
      <w:r>
        <w:rPr>
          <w:sz w:val="20"/>
        </w:rPr>
        <w:t xml:space="preserve">, от 30.09.2015 </w:t>
      </w:r>
      <w:hyperlink w:history="0" r:id="rId966"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1044</w:t>
        </w:r>
      </w:hyperlink>
      <w:r>
        <w:rPr>
          <w:sz w:val="20"/>
        </w:rPr>
        <w:t xml:space="preserve">)</w:t>
      </w:r>
    </w:p>
    <w:p>
      <w:pPr>
        <w:pStyle w:val="0"/>
        <w:spacing w:before="200" w:line-rule="auto"/>
        <w:ind w:firstLine="540"/>
        <w:jc w:val="both"/>
      </w:pPr>
      <w:r>
        <w:rPr>
          <w:sz w:val="20"/>
        </w:rPr>
        <w:t xml:space="preserve">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срок до фактического присоединения лица, в пользу которого перераспределяется максимальная мощность (в случае эксплуатационной принадлежности этих устройств лицам, перераспределяющим максимальная мощность энергопринимающих устройств);</w:t>
      </w:r>
    </w:p>
    <w:p>
      <w:pPr>
        <w:pStyle w:val="0"/>
        <w:jc w:val="both"/>
      </w:pPr>
      <w:r>
        <w:rPr>
          <w:sz w:val="20"/>
        </w:rPr>
        <w:t xml:space="preserve">(в ред. </w:t>
      </w:r>
      <w:hyperlink w:history="0" r:id="rId967"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spacing w:before="200" w:line-rule="auto"/>
        <w:ind w:firstLine="540"/>
        <w:jc w:val="both"/>
      </w:pPr>
      <w:r>
        <w:rPr>
          <w:sz w:val="20"/>
        </w:rPr>
        <w:t xml:space="preserve">о внесении изменений в документы, предусматривающие взаимодействие сетевой организации и лиц (лица), максимальная мощность энергопринимающих устройств которых перераспределяется, или подписании новых документов, фиксирующих объем максимальной мощности после ее перераспределения (технические условия, </w:t>
      </w:r>
      <w:hyperlink w:history="0" w:anchor="P2914" w:tooltip="                                ЗАЯВКА &lt;1&gt;">
        <w:r>
          <w:rPr>
            <w:sz w:val="20"/>
            <w:color w:val="0000ff"/>
          </w:rPr>
          <w:t xml:space="preserve">акт</w:t>
        </w:r>
      </w:hyperlink>
      <w:r>
        <w:rPr>
          <w:sz w:val="20"/>
        </w:rPr>
        <w:t xml:space="preserve"> об осуществлении технологического присоединения), в срок до осуществления фактического присоединения энергопринимающих устройств лица, в пользу которого перераспределяется максимальная мощность.</w:t>
      </w:r>
    </w:p>
    <w:p>
      <w:pPr>
        <w:pStyle w:val="0"/>
        <w:jc w:val="both"/>
      </w:pPr>
      <w:r>
        <w:rPr>
          <w:sz w:val="20"/>
        </w:rPr>
        <w:t xml:space="preserve">(в ред. </w:t>
      </w:r>
      <w:hyperlink w:history="0" r:id="rId968"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spacing w:before="200" w:line-rule="auto"/>
        <w:ind w:firstLine="540"/>
        <w:jc w:val="both"/>
      </w:pPr>
      <w:r>
        <w:rPr>
          <w:sz w:val="20"/>
        </w:rPr>
        <w:t xml:space="preserve">40. Утратил силу. - </w:t>
      </w:r>
      <w:hyperlink w:history="0" r:id="rId969" w:tooltip="Постановление Правительства РФ от 13.04.2015 N 35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w:t>
        </w:r>
      </w:hyperlink>
      <w:r>
        <w:rPr>
          <w:sz w:val="20"/>
        </w:rPr>
        <w:t xml:space="preserve"> Правительства РФ от 13.04.2015 N 350.</w:t>
      </w:r>
    </w:p>
    <w:bookmarkStart w:id="1794" w:name="P1794"/>
    <w:bookmarkEnd w:id="1794"/>
    <w:p>
      <w:pPr>
        <w:pStyle w:val="0"/>
        <w:spacing w:before="200" w:line-rule="auto"/>
        <w:ind w:firstLine="540"/>
        <w:jc w:val="both"/>
      </w:pPr>
      <w:r>
        <w:rPr>
          <w:sz w:val="20"/>
        </w:rPr>
        <w:t xml:space="preserve">40(1). Заявители (за исключением лиц, указанных в </w:t>
      </w:r>
      <w:hyperlink w:history="0" w:anchor="P1101" w:tooltip="13. В заявке, направляемой заявителем в целях временного технологического присоединения, предусмотренного разделом VII настоящих Правил, указывается:">
        <w:r>
          <w:rPr>
            <w:sz w:val="20"/>
            <w:color w:val="0000ff"/>
          </w:rPr>
          <w:t xml:space="preserve">пункте 13</w:t>
        </w:r>
      </w:hyperlink>
      <w:r>
        <w:rPr>
          <w:sz w:val="20"/>
        </w:rPr>
        <w:t xml:space="preserve"> настоящих Правил), имеющие на праве собственности или ином законном основании энергопринимающие устройства, в отношении которых в установленном порядке осуществлялось фактическое технологическое присоединение, вправе снизить объем максимальной мощности (избыток, реализованный потенциал энергосбережения и др.) собственных энергопринимающих устройств с одновременным перераспределением объема снижения максимальной мощности в пользу сетевой организации от объема максимальной мощности, указанной в документах о технологическом присоединении.</w:t>
      </w:r>
    </w:p>
    <w:p>
      <w:pPr>
        <w:pStyle w:val="0"/>
        <w:spacing w:before="200" w:line-rule="auto"/>
        <w:ind w:firstLine="540"/>
        <w:jc w:val="both"/>
      </w:pPr>
      <w:r>
        <w:rPr>
          <w:sz w:val="20"/>
        </w:rPr>
        <w:t xml:space="preserve">Для уменьшения максимальной мощности энергопринимающих устройств заявителем в адрес сетевой организации, к объектам электросетевого хозяйства которой присоединены энергопринимающие устройства заявителя, направляется заявка об уменьшении максимальной мощности.</w:t>
      </w:r>
    </w:p>
    <w:p>
      <w:pPr>
        <w:pStyle w:val="0"/>
        <w:spacing w:before="200" w:line-rule="auto"/>
        <w:ind w:firstLine="540"/>
        <w:jc w:val="both"/>
      </w:pPr>
      <w:r>
        <w:rPr>
          <w:sz w:val="20"/>
        </w:rPr>
        <w:t xml:space="preserve">В заявке об уменьшении максимальной мощности указываются:</w:t>
      </w:r>
    </w:p>
    <w:p>
      <w:pPr>
        <w:pStyle w:val="0"/>
        <w:spacing w:before="200" w:line-rule="auto"/>
        <w:ind w:firstLine="540"/>
        <w:jc w:val="both"/>
      </w:pPr>
      <w:r>
        <w:rPr>
          <w:sz w:val="20"/>
        </w:rPr>
        <w:t xml:space="preserve">наименование и реквизиты заявителя;</w:t>
      </w:r>
    </w:p>
    <w:p>
      <w:pPr>
        <w:pStyle w:val="0"/>
        <w:spacing w:before="200" w:line-rule="auto"/>
        <w:ind w:firstLine="540"/>
        <w:jc w:val="both"/>
      </w:pPr>
      <w:r>
        <w:rPr>
          <w:sz w:val="20"/>
        </w:rPr>
        <w:t xml:space="preserve">местонахождение этих устройств (электрических сетей);</w:t>
      </w:r>
    </w:p>
    <w:p>
      <w:pPr>
        <w:pStyle w:val="0"/>
        <w:spacing w:before="200" w:line-rule="auto"/>
        <w:ind w:firstLine="540"/>
        <w:jc w:val="both"/>
      </w:pPr>
      <w:r>
        <w:rPr>
          <w:sz w:val="20"/>
        </w:rPr>
        <w:t xml:space="preserve">объем максимальной мощности;</w:t>
      </w:r>
    </w:p>
    <w:p>
      <w:pPr>
        <w:pStyle w:val="0"/>
        <w:spacing w:before="200" w:line-rule="auto"/>
        <w:ind w:firstLine="540"/>
        <w:jc w:val="both"/>
      </w:pPr>
      <w:r>
        <w:rPr>
          <w:sz w:val="20"/>
        </w:rPr>
        <w:t xml:space="preserve">объем мощности, на который уменьшается максимальная мощность.</w:t>
      </w:r>
    </w:p>
    <w:p>
      <w:pPr>
        <w:pStyle w:val="0"/>
        <w:spacing w:before="200" w:line-rule="auto"/>
        <w:ind w:firstLine="540"/>
        <w:jc w:val="both"/>
      </w:pPr>
      <w:r>
        <w:rPr>
          <w:sz w:val="20"/>
        </w:rPr>
        <w:t xml:space="preserve">К заявке прилагаются копии документов о технологическом присоединении.</w:t>
      </w:r>
    </w:p>
    <w:p>
      <w:pPr>
        <w:pStyle w:val="0"/>
        <w:spacing w:before="200" w:line-rule="auto"/>
        <w:ind w:firstLine="540"/>
        <w:jc w:val="both"/>
      </w:pPr>
      <w:r>
        <w:rPr>
          <w:sz w:val="20"/>
        </w:rPr>
        <w:t xml:space="preserve">Сетевая организация в течение 5 рабочих дней со дня получения заявки на уменьшение максимальной мощности направляет копию заявки, а также копии приложенных к ней документов субъекту оперативно-диспетчерского управления в случае, если ранее выданные заявителю технические условия подлежат согласованию с таким субъектом.</w:t>
      </w:r>
    </w:p>
    <w:p>
      <w:pPr>
        <w:pStyle w:val="0"/>
        <w:jc w:val="both"/>
      </w:pPr>
      <w:r>
        <w:rPr>
          <w:sz w:val="20"/>
        </w:rPr>
        <w:t xml:space="preserve">(п. 40(1) введен </w:t>
      </w:r>
      <w:hyperlink w:history="0" r:id="rId970" w:tooltip="Постановление Правительства РФ от 28.10.2013 N 96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28.10.2013 N 967)</w:t>
      </w:r>
    </w:p>
    <w:bookmarkStart w:id="1804" w:name="P1804"/>
    <w:bookmarkEnd w:id="1804"/>
    <w:p>
      <w:pPr>
        <w:pStyle w:val="0"/>
        <w:spacing w:before="200" w:line-rule="auto"/>
        <w:ind w:firstLine="540"/>
        <w:jc w:val="both"/>
      </w:pPr>
      <w:r>
        <w:rPr>
          <w:sz w:val="20"/>
        </w:rPr>
        <w:t xml:space="preserve">40(2). Сетевая организация при обращении заявителей, указанных в </w:t>
      </w:r>
      <w:hyperlink w:history="0" w:anchor="P1794" w:tooltip="40(1). Заявители (за исключением лиц, указанных в пункте 13 настоящих Правил), имеющие на праве собственности или ином законном основании энергопринимающие устройства, в отношении которых в установленном порядке осуществлялось фактическое технологическое присоединение, вправе снизить объем максимальной мощности (избыток, реализованный потенциал энергосбережения и др.) собственных энергопринимающих устройств с одновременным перераспределением объема снижения максимальной мощности в пользу сетевой организа...">
        <w:r>
          <w:rPr>
            <w:sz w:val="20"/>
            <w:color w:val="0000ff"/>
          </w:rPr>
          <w:t xml:space="preserve">пункте 40(1)</w:t>
        </w:r>
      </w:hyperlink>
      <w:r>
        <w:rPr>
          <w:sz w:val="20"/>
        </w:rPr>
        <w:t xml:space="preserve"> настоящих Правил, в течение 30 дней со дня такого обращения обязана направить этим заявителям:</w:t>
      </w:r>
    </w:p>
    <w:p>
      <w:pPr>
        <w:pStyle w:val="0"/>
        <w:spacing w:before="200" w:line-rule="auto"/>
        <w:ind w:firstLine="540"/>
        <w:jc w:val="both"/>
      </w:pPr>
      <w:r>
        <w:rPr>
          <w:sz w:val="20"/>
        </w:rPr>
        <w:t xml:space="preserve">соглашение об уменьшении максимальной мощности, предусматривающее обязательства сторон этого соглашения по подписанию документов о технологическом присоединении, фиксирующих объем максимальной мощности после ее уменьшения, а также по внесению изменений в иные документы, предусматривающие взаимодействие сетевой организации и заявителя (при наличии);</w:t>
      </w:r>
    </w:p>
    <w:p>
      <w:pPr>
        <w:pStyle w:val="0"/>
        <w:spacing w:before="200" w:line-rule="auto"/>
        <w:ind w:firstLine="540"/>
        <w:jc w:val="both"/>
      </w:pPr>
      <w:r>
        <w:rPr>
          <w:sz w:val="20"/>
        </w:rPr>
        <w:t xml:space="preserve">информацию о внесенных в технические условия изменениях, содержащих сведения о величине максимальной мощности объектов заявителя после ее уменьшения в связи с отказом в пользу сетевой организации, мероприятиях по перераспределению максимальной мощности по точкам присоединения, мероприятиях по установке (замене) устройств, обеспечивающих контроль величины максимальной мощности для снижения ее величины в объемах, предусмотренных соглашением о перераспределении мощности, мероприятиях по установке (замене) устройств, обеспечивающих техническое ограничение выдачи объектами микрогенерации электрической энергии в сеть для снижения ее величины в объемах, предусмотренных соглашением о перераспределении мощности, а также мероприятиях по подключению энергопринимающих устройств под действие устройств сетевой, противоаварийной и режимной автоматики.</w:t>
      </w:r>
    </w:p>
    <w:p>
      <w:pPr>
        <w:pStyle w:val="0"/>
        <w:jc w:val="both"/>
      </w:pPr>
      <w:r>
        <w:rPr>
          <w:sz w:val="20"/>
        </w:rPr>
        <w:t xml:space="preserve">(в ред. Постановлений Правительства РФ от 13.08.2018 </w:t>
      </w:r>
      <w:hyperlink w:history="0" r:id="rId971" w:tooltip="Постановление Правительства РФ от 13.08.2018 N 937 (ред. от 30.01.2021)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sz w:val="20"/>
            <w:color w:val="0000ff"/>
          </w:rPr>
          <w:t xml:space="preserve">N 937</w:t>
        </w:r>
      </w:hyperlink>
      <w:r>
        <w:rPr>
          <w:sz w:val="20"/>
        </w:rPr>
        <w:t xml:space="preserve">, от 02.03.2021 </w:t>
      </w:r>
      <w:hyperlink w:history="0" r:id="rId972"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N 299</w:t>
        </w:r>
      </w:hyperlink>
      <w:r>
        <w:rPr>
          <w:sz w:val="20"/>
        </w:rPr>
        <w:t xml:space="preserve">)</w:t>
      </w:r>
    </w:p>
    <w:p>
      <w:pPr>
        <w:pStyle w:val="0"/>
        <w:jc w:val="both"/>
      </w:pPr>
      <w:r>
        <w:rPr>
          <w:sz w:val="20"/>
        </w:rPr>
        <w:t xml:space="preserve">(п. 40(2) введен </w:t>
      </w:r>
      <w:hyperlink w:history="0" r:id="rId973" w:tooltip="Постановление Правительства РФ от 28.10.2013 N 96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28.10.2013 N 967)</w:t>
      </w:r>
    </w:p>
    <w:p>
      <w:pPr>
        <w:pStyle w:val="0"/>
        <w:spacing w:before="200" w:line-rule="auto"/>
        <w:ind w:firstLine="540"/>
        <w:jc w:val="both"/>
      </w:pPr>
      <w:r>
        <w:rPr>
          <w:sz w:val="20"/>
        </w:rPr>
        <w:t xml:space="preserve">40(3). При осуществлении технологического присоединения посредством перераспределения мощности в соответствии с </w:t>
      </w:r>
      <w:hyperlink w:history="0" w:anchor="P1686" w:tooltip="34. Лица, имеющие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технологическое присоединение к электрическим сетям, вправе по соглашению с иными владельцами энергопринимающих устройств снизить объем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
        <w:r>
          <w:rPr>
            <w:sz w:val="20"/>
            <w:color w:val="0000ff"/>
          </w:rPr>
          <w:t xml:space="preserve">пунктами 34</w:t>
        </w:r>
      </w:hyperlink>
      <w:r>
        <w:rPr>
          <w:sz w:val="20"/>
        </w:rPr>
        <w:t xml:space="preserve"> - </w:t>
      </w:r>
      <w:hyperlink w:history="0" w:anchor="P1781" w:tooltip="39. Сетевая организация вправе отказать в представлении информации, указанной в пункте 36 настоящих Правил, и (или) заключении договора с лицом, в пользу которого перераспределяется максимальная мощность, по следующим причинам:">
        <w:r>
          <w:rPr>
            <w:sz w:val="20"/>
            <w:color w:val="0000ff"/>
          </w:rPr>
          <w:t xml:space="preserve">39</w:t>
        </w:r>
      </w:hyperlink>
      <w:r>
        <w:rPr>
          <w:sz w:val="20"/>
        </w:rPr>
        <w:t xml:space="preserve"> настоящих Правил и (или) ее уменьшения в связи с отказом от максимальной мощности в пользу сетевой организации в соответствии с </w:t>
      </w:r>
      <w:hyperlink w:history="0" w:anchor="P1794" w:tooltip="40(1). Заявители (за исключением лиц, указанных в пункте 13 настоящих Правил), имеющие на праве собственности или ином законном основании энергопринимающие устройства, в отношении которых в установленном порядке осуществлялось фактическое технологическое присоединение, вправе снизить объем максимальной мощности (избыток, реализованный потенциал энергосбережения и др.) собственных энергопринимающих устройств с одновременным перераспределением объема снижения максимальной мощности в пользу сетевой организа...">
        <w:r>
          <w:rPr>
            <w:sz w:val="20"/>
            <w:color w:val="0000ff"/>
          </w:rPr>
          <w:t xml:space="preserve">пунктами 40(1)</w:t>
        </w:r>
      </w:hyperlink>
      <w:r>
        <w:rPr>
          <w:sz w:val="20"/>
        </w:rPr>
        <w:t xml:space="preserve"> - </w:t>
      </w:r>
      <w:hyperlink w:history="0" w:anchor="P1804" w:tooltip="40(2). Сетевая организация при обращении заявителей, указанных в пункте 40(1) настоящих Правил, в течение 30 дней со дня такого обращения обязана направить этим заявителям:">
        <w:r>
          <w:rPr>
            <w:sz w:val="20"/>
            <w:color w:val="0000ff"/>
          </w:rPr>
          <w:t xml:space="preserve">40(2)</w:t>
        </w:r>
      </w:hyperlink>
      <w:r>
        <w:rPr>
          <w:sz w:val="20"/>
        </w:rPr>
        <w:t xml:space="preserve"> настоящих Правил до дня составления документов о технологическом присоединении сетевая организация осуществляет проверку выполнения заявителем технических условий.</w:t>
      </w:r>
    </w:p>
    <w:p>
      <w:pPr>
        <w:pStyle w:val="0"/>
        <w:jc w:val="both"/>
      </w:pPr>
      <w:r>
        <w:rPr>
          <w:sz w:val="20"/>
        </w:rPr>
        <w:t xml:space="preserve">(п. 40(3) введен </w:t>
      </w:r>
      <w:hyperlink w:history="0" r:id="rId974" w:tooltip="Постановление Правительства РФ от 28.10.2013 N 96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28.10.2013 N 967)</w:t>
      </w:r>
    </w:p>
    <w:p>
      <w:pPr>
        <w:pStyle w:val="0"/>
        <w:spacing w:before="200" w:line-rule="auto"/>
        <w:ind w:firstLine="540"/>
        <w:jc w:val="both"/>
      </w:pPr>
      <w:r>
        <w:rPr>
          <w:sz w:val="20"/>
        </w:rPr>
        <w:t xml:space="preserve">40(4). Владелец энергопринимающих устройств, ранее технологически присоединенных в надлежащем порядке к объектам электросетевого хозяйства сетевой организации (далее - владелец ранее присоединенных энергопринимающих устройств), по согласованию с сетевой организацией вправе присоединить к принадлежащим ему объектам электросетевого хозяйства энергопринимающие устройства иного лица при условии соблюдения выданных ранее технических условий (далее - опосредованное присоединение). Опосредованное присоединение может быть осуществлено в случае, если присоединение объектов электросетевого хозяйства, принадлежащих владельцу ранее присоединенных энергопринимающих устройств, к объектам электросетевого хозяйства сетевой организации было произведено до 1 января 2015 г. Опосредованное присоединение энергопринимающих устройств, расположенных в границах территории садоводства или огородничества, может быть осуществлено вне зависимости от даты присоединения энергопринимающих устройств садоводческого или огороднического некоммерческого товарищества к объектам электросетевого хозяйства сетевой организации.</w:t>
      </w:r>
    </w:p>
    <w:p>
      <w:pPr>
        <w:pStyle w:val="0"/>
        <w:jc w:val="both"/>
      </w:pPr>
      <w:r>
        <w:rPr>
          <w:sz w:val="20"/>
        </w:rPr>
        <w:t xml:space="preserve">(п. 40(4) введен </w:t>
      </w:r>
      <w:hyperlink w:history="0" r:id="rId975" w:tooltip="Постановление Правительства РФ от 13.04.2015 N 35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13.04.2015 N 350; в ред. </w:t>
      </w:r>
      <w:hyperlink w:history="0" r:id="rId976" w:tooltip="Постановление Правительства РФ от 09.10.2021 N 1711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09.10.2021 N 1711)</w:t>
      </w:r>
    </w:p>
    <w:p>
      <w:pPr>
        <w:pStyle w:val="0"/>
        <w:spacing w:before="200" w:line-rule="auto"/>
        <w:ind w:firstLine="540"/>
        <w:jc w:val="both"/>
      </w:pPr>
      <w:r>
        <w:rPr>
          <w:sz w:val="20"/>
        </w:rPr>
        <w:t xml:space="preserve">40(5). При опосредованном присоединении владелец ранее присоединенных энергопринимающих устройств перераспределяет максимальную мощность принадлежащих ему энергопринимающих устройств в пользу энергопринимающих устройств иного лица.</w:t>
      </w:r>
    </w:p>
    <w:p>
      <w:pPr>
        <w:pStyle w:val="0"/>
        <w:spacing w:before="200" w:line-rule="auto"/>
        <w:ind w:firstLine="540"/>
        <w:jc w:val="both"/>
      </w:pPr>
      <w:r>
        <w:rPr>
          <w:sz w:val="20"/>
        </w:rPr>
        <w:t xml:space="preserve">При технологическом присоединении энергопринимающих устройств иного лица к объектам электросетевого хозяйства владельца ранее присоединенных энергопринимающих устройств владелец ранее присоединенных энергопринимающих устройств осуществляет деятельность по технологическому присоединению, руководствуясь положениями настоящих Правил, предусмотренными в отношении сетевых организаций.</w:t>
      </w:r>
    </w:p>
    <w:p>
      <w:pPr>
        <w:pStyle w:val="0"/>
        <w:jc w:val="both"/>
      </w:pPr>
      <w:r>
        <w:rPr>
          <w:sz w:val="20"/>
        </w:rPr>
        <w:t xml:space="preserve">(п. 40(5) введен </w:t>
      </w:r>
      <w:hyperlink w:history="0" r:id="rId977" w:tooltip="Постановление Правительства РФ от 13.04.2015 N 35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13.04.2015 N 350)</w:t>
      </w:r>
    </w:p>
    <w:bookmarkStart w:id="1816" w:name="P1816"/>
    <w:bookmarkEnd w:id="1816"/>
    <w:p>
      <w:pPr>
        <w:pStyle w:val="0"/>
        <w:spacing w:before="200" w:line-rule="auto"/>
        <w:ind w:firstLine="540"/>
        <w:jc w:val="both"/>
      </w:pPr>
      <w:r>
        <w:rPr>
          <w:sz w:val="20"/>
        </w:rPr>
        <w:t xml:space="preserve">40(6). Для согласования с сетевой организацией опосредованного присоединения владелец ранее присоединенных энергопринимающих устройств и лицо,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 являющиеся сторонами опосредованного присоединения, направляют подписанное ими уведомление об опосредованном присоединении сетевой организации, содержащее следующие сведения о сторонах опосредованного присоединения:</w:t>
      </w:r>
    </w:p>
    <w:p>
      <w:pPr>
        <w:pStyle w:val="0"/>
        <w:spacing w:before="200" w:line-rule="auto"/>
        <w:ind w:firstLine="540"/>
        <w:jc w:val="both"/>
      </w:pPr>
      <w:r>
        <w:rPr>
          <w:sz w:val="20"/>
        </w:rPr>
        <w:t xml:space="preserve">а) для юридических лиц - основной 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pPr>
        <w:pStyle w:val="0"/>
        <w:spacing w:before="200" w:line-rule="auto"/>
        <w:ind w:firstLine="540"/>
        <w:jc w:val="both"/>
      </w:pPr>
      <w:r>
        <w:rPr>
          <w:sz w:val="20"/>
        </w:rPr>
        <w:t xml:space="preserve">б) наименование и местонахождение энергопринимающих устройств сторон опосредованного присоединения.</w:t>
      </w:r>
    </w:p>
    <w:p>
      <w:pPr>
        <w:pStyle w:val="0"/>
        <w:jc w:val="both"/>
      </w:pPr>
      <w:r>
        <w:rPr>
          <w:sz w:val="20"/>
        </w:rPr>
        <w:t xml:space="preserve">(п. 40(6) введен </w:t>
      </w:r>
      <w:hyperlink w:history="0" r:id="rId978" w:tooltip="Постановление Правительства РФ от 13.04.2015 N 35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13.04.2015 N 350)</w:t>
      </w:r>
    </w:p>
    <w:bookmarkStart w:id="1820" w:name="P1820"/>
    <w:bookmarkEnd w:id="1820"/>
    <w:p>
      <w:pPr>
        <w:pStyle w:val="0"/>
        <w:spacing w:before="200" w:line-rule="auto"/>
        <w:ind w:firstLine="540"/>
        <w:jc w:val="both"/>
      </w:pPr>
      <w:r>
        <w:rPr>
          <w:sz w:val="20"/>
        </w:rPr>
        <w:t xml:space="preserve">40(7). К уведомлению об опосредованном присоединении, предусмотренному </w:t>
      </w:r>
      <w:hyperlink w:history="0" w:anchor="P1816" w:tooltip="40(6). Для согласования с сетевой организацией опосредованного присоединения владелец ранее присоединенных энергопринимающих устройств и лицо,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 являющиеся сторонами опосредованного присоединения, направляют подписанное ими уведомление об опосредованном присоединении сетевой организации, содержащее следующие сведения о сторонах опосредованного присо...">
        <w:r>
          <w:rPr>
            <w:sz w:val="20"/>
            <w:color w:val="0000ff"/>
          </w:rPr>
          <w:t xml:space="preserve">пунктом 40.6</w:t>
        </w:r>
      </w:hyperlink>
      <w:r>
        <w:rPr>
          <w:sz w:val="20"/>
        </w:rPr>
        <w:t xml:space="preserve"> настоящих Правил, прилагаются:</w:t>
      </w:r>
    </w:p>
    <w:p>
      <w:pPr>
        <w:pStyle w:val="0"/>
        <w:spacing w:before="200" w:line-rule="auto"/>
        <w:ind w:firstLine="540"/>
        <w:jc w:val="both"/>
      </w:pPr>
      <w:r>
        <w:rPr>
          <w:sz w:val="20"/>
        </w:rPr>
        <w:t xml:space="preserve">а) копия технических условий, выданных владельцу ранее присоединенных энергопринимающих устройств;</w:t>
      </w:r>
    </w:p>
    <w:p>
      <w:pPr>
        <w:pStyle w:val="0"/>
        <w:spacing w:before="200" w:line-rule="auto"/>
        <w:ind w:firstLine="540"/>
        <w:jc w:val="both"/>
      </w:pPr>
      <w:r>
        <w:rPr>
          <w:sz w:val="20"/>
        </w:rPr>
        <w:t xml:space="preserve">б) копия технических условий, выданных владельцем ранее присоединенных энергопринимающих устройств лицу,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w:t>
      </w:r>
    </w:p>
    <w:bookmarkStart w:id="1823" w:name="P1823"/>
    <w:bookmarkEnd w:id="1823"/>
    <w:p>
      <w:pPr>
        <w:pStyle w:val="0"/>
        <w:spacing w:before="200" w:line-rule="auto"/>
        <w:ind w:firstLine="540"/>
        <w:jc w:val="both"/>
      </w:pPr>
      <w:r>
        <w:rPr>
          <w:sz w:val="20"/>
        </w:rPr>
        <w:t xml:space="preserve">в) копия заключенного между сторонами опосредованного присоединения соглашения о перераспределении мощности между принадлежащими им энергопринимающими устройствами в рамках опосредованного присоединения.</w:t>
      </w:r>
    </w:p>
    <w:p>
      <w:pPr>
        <w:pStyle w:val="0"/>
        <w:jc w:val="both"/>
      </w:pPr>
      <w:r>
        <w:rPr>
          <w:sz w:val="20"/>
        </w:rPr>
        <w:t xml:space="preserve">(п. 40(7) введен </w:t>
      </w:r>
      <w:hyperlink w:history="0" r:id="rId979" w:tooltip="Постановление Правительства РФ от 13.04.2015 N 35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13.04.2015 N 350)</w:t>
      </w:r>
    </w:p>
    <w:p>
      <w:pPr>
        <w:pStyle w:val="0"/>
        <w:spacing w:before="200" w:line-rule="auto"/>
        <w:ind w:firstLine="540"/>
        <w:jc w:val="both"/>
      </w:pPr>
      <w:r>
        <w:rPr>
          <w:sz w:val="20"/>
        </w:rPr>
        <w:t xml:space="preserve">40(8). В соглашении, указанном в </w:t>
      </w:r>
      <w:hyperlink w:history="0" w:anchor="P1823" w:tooltip="в) копия заключенного между сторонами опосредованного присоединения соглашения о перераспределении мощности между принадлежащими им энергопринимающими устройствами в рамках опосредованного присоединения.">
        <w:r>
          <w:rPr>
            <w:sz w:val="20"/>
            <w:color w:val="0000ff"/>
          </w:rPr>
          <w:t xml:space="preserve">подпункте "в" пункта 40.7</w:t>
        </w:r>
      </w:hyperlink>
      <w:r>
        <w:rPr>
          <w:sz w:val="20"/>
        </w:rPr>
        <w:t xml:space="preserve"> настоящих Правил, предусматриваются следующие условия:</w:t>
      </w:r>
    </w:p>
    <w:p>
      <w:pPr>
        <w:pStyle w:val="0"/>
        <w:spacing w:before="200" w:line-rule="auto"/>
        <w:ind w:firstLine="540"/>
        <w:jc w:val="both"/>
      </w:pPr>
      <w:r>
        <w:rPr>
          <w:sz w:val="20"/>
        </w:rPr>
        <w:t xml:space="preserve">а) величина мощности, перераспределяемой в рамках опосредованного присоединения между принадлежащими сторонам энергопринимающими устройствами;</w:t>
      </w:r>
    </w:p>
    <w:p>
      <w:pPr>
        <w:pStyle w:val="0"/>
        <w:spacing w:before="200" w:line-rule="auto"/>
        <w:ind w:firstLine="540"/>
        <w:jc w:val="both"/>
      </w:pPr>
      <w:r>
        <w:rPr>
          <w:sz w:val="20"/>
        </w:rPr>
        <w:t xml:space="preserve">б) порядок компенсации сторонами опосредованного присоединения потерь электрической энергии в электрических сетях владельца ранее присоединенных энергопринимающих устройств.</w:t>
      </w:r>
    </w:p>
    <w:p>
      <w:pPr>
        <w:pStyle w:val="0"/>
        <w:jc w:val="both"/>
      </w:pPr>
      <w:r>
        <w:rPr>
          <w:sz w:val="20"/>
        </w:rPr>
        <w:t xml:space="preserve">(п. 40(8) введен </w:t>
      </w:r>
      <w:hyperlink w:history="0" r:id="rId980" w:tooltip="Постановление Правительства РФ от 13.04.2015 N 35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13.04.2015 N 350)</w:t>
      </w:r>
    </w:p>
    <w:p>
      <w:pPr>
        <w:pStyle w:val="0"/>
        <w:spacing w:before="200" w:line-rule="auto"/>
        <w:ind w:firstLine="540"/>
        <w:jc w:val="both"/>
      </w:pPr>
      <w:r>
        <w:rPr>
          <w:sz w:val="20"/>
        </w:rPr>
        <w:t xml:space="preserve">40(9). Уведомление об опосредованном присоединении и прилагаемые к нему документы, предусмотренные </w:t>
      </w:r>
      <w:hyperlink w:history="0" w:anchor="P1820" w:tooltip="40(7). К уведомлению об опосредованном присоединении, предусмотренному пунктом 40.6 настоящих Правил, прилагаются:">
        <w:r>
          <w:rPr>
            <w:sz w:val="20"/>
            <w:color w:val="0000ff"/>
          </w:rPr>
          <w:t xml:space="preserve">пунктом 40.7</w:t>
        </w:r>
      </w:hyperlink>
      <w:r>
        <w:rPr>
          <w:sz w:val="20"/>
        </w:rPr>
        <w:t xml:space="preserve"> настоящих Правил, направляются в сетевую организацию не позднее чем за 30 дней до планируемой даты фактического присоединения энергопринимающих устройств к объектам электросетевого хозяйства способом, позволяющим установить дату отправки и получения уведомления.</w:t>
      </w:r>
    </w:p>
    <w:p>
      <w:pPr>
        <w:pStyle w:val="0"/>
        <w:spacing w:before="200" w:line-rule="auto"/>
        <w:ind w:firstLine="540"/>
        <w:jc w:val="both"/>
      </w:pPr>
      <w:r>
        <w:rPr>
          <w:sz w:val="20"/>
        </w:rPr>
        <w:t xml:space="preserve">Сетевая организация осуществляет согласование опосредованного присоединения в течение 3 рабочих дней со дня получения уведомления об опосредованном присоединении и документов.</w:t>
      </w:r>
    </w:p>
    <w:p>
      <w:pPr>
        <w:pStyle w:val="0"/>
        <w:spacing w:before="200" w:line-rule="auto"/>
        <w:ind w:firstLine="540"/>
        <w:jc w:val="both"/>
      </w:pPr>
      <w:r>
        <w:rPr>
          <w:sz w:val="20"/>
        </w:rPr>
        <w:t xml:space="preserve">Сетевая организация отказывает в согласовании опосредованного присоединения в случае, если выданные владельцем ранее присоединенных энергопринимающих устройств технические условия в рамках опосредованного присоединения приводят к нарушению ранее выданных сетевой организацией технических условий владельца ранее присоединенных энергопринимающих устройств, в частности к превышению величины максимальной мощности, указанной в технических условиях, выданных владельцу ранее присоединенных энергопринимающих устройств.</w:t>
      </w:r>
    </w:p>
    <w:p>
      <w:pPr>
        <w:pStyle w:val="0"/>
        <w:spacing w:before="200" w:line-rule="auto"/>
        <w:ind w:firstLine="540"/>
        <w:jc w:val="both"/>
      </w:pPr>
      <w:r>
        <w:rPr>
          <w:sz w:val="20"/>
        </w:rPr>
        <w:t xml:space="preserve">Сетевая организация в случае принятия решения об отказе в согласовании опосредованного присоединения направляет сторонам опосредованного присоединения уведомление о принятом решении.</w:t>
      </w:r>
    </w:p>
    <w:p>
      <w:pPr>
        <w:pStyle w:val="0"/>
        <w:jc w:val="both"/>
      </w:pPr>
      <w:r>
        <w:rPr>
          <w:sz w:val="20"/>
        </w:rPr>
        <w:t xml:space="preserve">(п. 40(9) введен </w:t>
      </w:r>
      <w:hyperlink w:history="0" r:id="rId981" w:tooltip="Постановление Правительства РФ от 13.04.2015 N 35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13.04.2015 N 350)</w:t>
      </w:r>
    </w:p>
    <w:p>
      <w:pPr>
        <w:pStyle w:val="0"/>
        <w:spacing w:before="200" w:line-rule="auto"/>
        <w:ind w:firstLine="540"/>
        <w:jc w:val="both"/>
      </w:pPr>
      <w:r>
        <w:rPr>
          <w:sz w:val="20"/>
        </w:rPr>
        <w:t xml:space="preserve">40(10). Владелец ранее присоединенных энергопринимающих устройств в течение 7 дней со дня фактического присоединения энергопринимающих устройств иных лиц направляет в сетевую организацию копии документов о технологическом присоединении к принадлежащим ему объектам электросетевого хозяйства энергопринимающих устройств иных лиц в рамках опосредованного присоединения, а также заявление на переоформление документов о технологическом присоединении в порядке, предусмотренном настоящими Правилами.</w:t>
      </w:r>
    </w:p>
    <w:p>
      <w:pPr>
        <w:pStyle w:val="0"/>
        <w:spacing w:before="200" w:line-rule="auto"/>
        <w:ind w:firstLine="540"/>
        <w:jc w:val="both"/>
      </w:pPr>
      <w:r>
        <w:rPr>
          <w:sz w:val="20"/>
        </w:rPr>
        <w:t xml:space="preserve">Сетевая организация в течение 7 дней со дня получения от владельца ранее присоединенных энергопринимающих устройств документов о технологическом присоединении к принадлежащим ему объектам электросетевого хозяйства энергопринимающих устройств иных лиц в рамках опосредованного присоединения направляет владельцу ранее присоединенных энергопринимающих устройств переоформленные документы о технологическом присоединении.</w:t>
      </w:r>
    </w:p>
    <w:p>
      <w:pPr>
        <w:pStyle w:val="0"/>
        <w:jc w:val="both"/>
      </w:pPr>
      <w:r>
        <w:rPr>
          <w:sz w:val="20"/>
        </w:rPr>
        <w:t xml:space="preserve">(п. 40(10) введен </w:t>
      </w:r>
      <w:hyperlink w:history="0" r:id="rId982" w:tooltip="Постановление Правительства РФ от 13.04.2015 N 35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13.04.2015 N 350)</w:t>
      </w:r>
    </w:p>
    <w:p>
      <w:pPr>
        <w:pStyle w:val="0"/>
        <w:ind w:firstLine="540"/>
        <w:jc w:val="both"/>
      </w:pPr>
      <w:r>
        <w:rPr>
          <w:sz w:val="20"/>
        </w:rPr>
      </w:r>
    </w:p>
    <w:p>
      <w:pPr>
        <w:pStyle w:val="2"/>
        <w:outlineLvl w:val="1"/>
        <w:jc w:val="center"/>
      </w:pPr>
      <w:r>
        <w:rPr>
          <w:sz w:val="20"/>
        </w:rPr>
        <w:t xml:space="preserve">V. Особенности технологического присоединения</w:t>
      </w:r>
    </w:p>
    <w:p>
      <w:pPr>
        <w:pStyle w:val="2"/>
        <w:jc w:val="center"/>
      </w:pPr>
      <w:r>
        <w:rPr>
          <w:sz w:val="20"/>
        </w:rPr>
        <w:t xml:space="preserve">объектов электросетевого хозяйства</w:t>
      </w:r>
    </w:p>
    <w:p>
      <w:pPr>
        <w:pStyle w:val="0"/>
        <w:jc w:val="center"/>
      </w:pPr>
      <w:r>
        <w:rPr>
          <w:sz w:val="20"/>
        </w:rPr>
        <w:t xml:space="preserve">(введен </w:t>
      </w:r>
      <w:hyperlink w:history="0" r:id="rId983"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антПлюс}">
        <w:r>
          <w:rPr>
            <w:sz w:val="20"/>
            <w:color w:val="0000ff"/>
          </w:rPr>
          <w:t xml:space="preserve">Постановлением</w:t>
        </w:r>
      </w:hyperlink>
      <w:r>
        <w:rPr>
          <w:sz w:val="20"/>
        </w:rPr>
        <w:t xml:space="preserve"> Правительства РФ от 21.04.2009 N 334)</w:t>
      </w:r>
    </w:p>
    <w:p>
      <w:pPr>
        <w:pStyle w:val="0"/>
        <w:ind w:firstLine="540"/>
        <w:jc w:val="both"/>
      </w:pPr>
      <w:r>
        <w:rPr>
          <w:sz w:val="20"/>
        </w:rPr>
      </w:r>
    </w:p>
    <w:bookmarkStart w:id="1842" w:name="P1842"/>
    <w:bookmarkEnd w:id="1842"/>
    <w:p>
      <w:pPr>
        <w:pStyle w:val="0"/>
        <w:ind w:firstLine="540"/>
        <w:jc w:val="both"/>
      </w:pPr>
      <w:r>
        <w:rPr>
          <w:sz w:val="20"/>
        </w:rPr>
        <w:t xml:space="preserve">41. Сетевая организация обязана подать заявку на технологическое присоединение к сетям смежной сетевой организации в следующих случаях:</w:t>
      </w:r>
    </w:p>
    <w:bookmarkStart w:id="1843" w:name="P1843"/>
    <w:bookmarkEnd w:id="1843"/>
    <w:p>
      <w:pPr>
        <w:pStyle w:val="0"/>
        <w:spacing w:before="200" w:line-rule="auto"/>
        <w:ind w:firstLine="540"/>
        <w:jc w:val="both"/>
      </w:pPr>
      <w:r>
        <w:rPr>
          <w:sz w:val="20"/>
        </w:rPr>
        <w:t xml:space="preserve">сумма максимальных мощностей энергопринимающих устройств потребителей, присоединенных к ее объектам электросетевого хозяйства, и (или) объем максимальных мощностей присоединяемых объектов, указанный в заключенных договорах на технологическое присоединение к ее объектам электросетевого хозяйства, превышает объем максимальной мощности, согласованный сетевой организацией и смежной сетевой организацией в акте о разграничении балансовой принадлежности электрических сетей или в акте об осуществлении технологического присоединения данных сетевых организаций, при условии, что полное использование потребляемой (генерирующей) мощности всех ранее присоединенных, вновь присоединяемых энергопринимающих устройств заявителя (с учетом ранее выданных технических условий, срок действия которых не истек) может привести к загрузке объектов электросетевого хозяйства с превышением значений, определенных обязательными требованиями;</w:t>
      </w:r>
    </w:p>
    <w:bookmarkStart w:id="1844" w:name="P1844"/>
    <w:bookmarkEnd w:id="1844"/>
    <w:p>
      <w:pPr>
        <w:pStyle w:val="0"/>
        <w:spacing w:before="200" w:line-rule="auto"/>
        <w:ind w:firstLine="540"/>
        <w:jc w:val="both"/>
      </w:pPr>
      <w:r>
        <w:rPr>
          <w:sz w:val="20"/>
        </w:rPr>
        <w:t xml:space="preserve">для обеспечения присоединения объектов заявителя установлена необходимость проведения предусмотренных </w:t>
      </w:r>
      <w:hyperlink w:history="0" w:anchor="P1504" w:tooltip="в) требования к устройствам релейной защиты, сетевой, противоаварийной и режимной автоматики, регистрации аварийных событий и процессов, телемеханике, связи, изоляции и защите от перенапряжения, к контролю и поддержанию качества электрической энергии, а также к приборам учета электрической энергии и иному оборудованию, которые необходимы для обеспечения коммерческого учета электрической энергии (мощности). В целях выполнения указанных требований сетевая организация осуществляет в том числе урегулирование...">
        <w:r>
          <w:rPr>
            <w:sz w:val="20"/>
            <w:color w:val="0000ff"/>
          </w:rPr>
          <w:t xml:space="preserve">подпунктами "в"</w:t>
        </w:r>
      </w:hyperlink>
      <w:r>
        <w:rPr>
          <w:sz w:val="20"/>
        </w:rPr>
        <w:t xml:space="preserve"> - </w:t>
      </w:r>
      <w:hyperlink w:history="0" w:anchor="P1508" w:tooltip="д) требования к оснащению энергопринимающих устройств устройствами релейной защиты, сетевой, противоаварийной и режимной автоматики, регистрации аварийных событий и процессов, размещению устройств, обеспечивающих дистанционный ввод графиков временного отключения потребления в соответствии с требованиями соответствующего субъекта оперативно-диспетчерского управления. В целях выполнения указанных требований сетевая организация осуществляет в том числе урегулирование отношений со смежными сетевыми организац...">
        <w:r>
          <w:rPr>
            <w:sz w:val="20"/>
            <w:color w:val="0000ff"/>
          </w:rPr>
          <w:t xml:space="preserve">"д"</w:t>
        </w:r>
      </w:hyperlink>
      <w:r>
        <w:rPr>
          <w:sz w:val="20"/>
        </w:rPr>
        <w:t xml:space="preserve">, </w:t>
      </w:r>
      <w:hyperlink w:history="0" w:anchor="P1512" w:tooltip="ж) требования к параметрам работы и характеристикам линий электропередачи, оборудования и устройств объектов электроэнергетики, обеспечивающим функционирование объектов заявителя в составе энергосистемы и их участие в режимном и противоаварийном управлении в соответствии с Правилами технологического функционирования электроэнергетических систем и иными обязательными требованиями, установленными нормативными правовыми актами Российской Федерации, регулирующими отношения в сфере электроэнергетики. В целях ...">
        <w:r>
          <w:rPr>
            <w:sz w:val="20"/>
            <w:color w:val="0000ff"/>
          </w:rPr>
          <w:t xml:space="preserve">"ж"</w:t>
        </w:r>
      </w:hyperlink>
      <w:r>
        <w:rPr>
          <w:sz w:val="20"/>
        </w:rPr>
        <w:t xml:space="preserve"> и </w:t>
      </w:r>
      <w:hyperlink w:history="0" w:anchor="P1514" w:tooltip="з) требования о реализации мероприятий по обеспечению возможности вывода из эксплуатации объекта по производству электрической энергии (мощности) заявителя, присоединенного к электрическим сетям этой сетевой организации, в целях замещения его другим объектом по производству электрической энергии (мощности) заявителя, технологическое присоединение которого к электрическим сетям той же сетевой организации осуществляется в соответствии с указанными техническими условиями, обеспечивающие исключение наступлен...">
        <w:r>
          <w:rPr>
            <w:sz w:val="20"/>
            <w:color w:val="0000ff"/>
          </w:rPr>
          <w:t xml:space="preserve">"з" пункта 25</w:t>
        </w:r>
      </w:hyperlink>
      <w:r>
        <w:rPr>
          <w:sz w:val="20"/>
        </w:rPr>
        <w:t xml:space="preserve"> настоящих Правил мероприятий на объектах смежной сетевой организации, не влекущих изменения значений величины максимальной мощности, указанной в документах о технологическом присоединении;</w:t>
      </w:r>
    </w:p>
    <w:p>
      <w:pPr>
        <w:pStyle w:val="0"/>
        <w:jc w:val="both"/>
      </w:pPr>
      <w:r>
        <w:rPr>
          <w:sz w:val="20"/>
        </w:rPr>
        <w:t xml:space="preserve">(в ред. </w:t>
      </w:r>
      <w:hyperlink w:history="0" r:id="rId984"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Постановления</w:t>
        </w:r>
      </w:hyperlink>
      <w:r>
        <w:rPr>
          <w:sz w:val="20"/>
        </w:rPr>
        <w:t xml:space="preserve"> Правительства РФ от 30.01.2021 N 86)</w:t>
      </w:r>
    </w:p>
    <w:bookmarkStart w:id="1846" w:name="P1846"/>
    <w:bookmarkEnd w:id="1846"/>
    <w:p>
      <w:pPr>
        <w:pStyle w:val="0"/>
        <w:spacing w:before="200" w:line-rule="auto"/>
        <w:ind w:firstLine="540"/>
        <w:jc w:val="both"/>
      </w:pPr>
      <w:r>
        <w:rPr>
          <w:sz w:val="20"/>
        </w:rPr>
        <w:t xml:space="preserve">решением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(мощности) из эксплуатации и выданными на его основании сетевой организацией техническими условиями вывода из эксплуатации объекта по производству электрической энергии (мощности) установлена необходимость осуществления мероприятий на объектах электросетевого хозяйства смежной сетевой организации.</w:t>
      </w:r>
    </w:p>
    <w:p>
      <w:pPr>
        <w:pStyle w:val="0"/>
        <w:jc w:val="both"/>
      </w:pPr>
      <w:r>
        <w:rPr>
          <w:sz w:val="20"/>
        </w:rPr>
        <w:t xml:space="preserve">(абзац введен </w:t>
      </w:r>
      <w:hyperlink w:history="0" r:id="rId985"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Постановлением</w:t>
        </w:r>
      </w:hyperlink>
      <w:r>
        <w:rPr>
          <w:sz w:val="20"/>
        </w:rPr>
        <w:t xml:space="preserve"> Правительства РФ от 30.01.2021 N 86)</w:t>
      </w:r>
    </w:p>
    <w:p>
      <w:pPr>
        <w:pStyle w:val="0"/>
        <w:spacing w:before="200" w:line-rule="auto"/>
        <w:ind w:firstLine="540"/>
        <w:jc w:val="both"/>
      </w:pPr>
      <w:r>
        <w:rPr>
          <w:sz w:val="20"/>
        </w:rPr>
        <w:t xml:space="preserve">В случаях, когда основания для подачи указанной заявки в смежную сетевую организацию, предусмотренные настоящим пунктом, возникают в связи с необходимостью включения соответствующих мероприятий на объектах смежной сетевой организации в технические условия для заявителя, эта заявка должна быть подана не позднее последнего дня срока, установленного </w:t>
      </w:r>
      <w:hyperlink w:history="0" w:anchor="P1197" w:tooltip="15. Абзац утратил силу с 1 июля 2020 года. - Постановление Правительства РФ от 10.03.2020 N 262.">
        <w:r>
          <w:rPr>
            <w:sz w:val="20"/>
            <w:color w:val="0000ff"/>
          </w:rPr>
          <w:t xml:space="preserve">пунктом 15</w:t>
        </w:r>
      </w:hyperlink>
      <w:r>
        <w:rPr>
          <w:sz w:val="20"/>
        </w:rPr>
        <w:t xml:space="preserve"> настоящих Правил, для направления в адрес заявителя проекта договора и технических условий как неотъемлемого приложения к договору.</w:t>
      </w:r>
    </w:p>
    <w:p>
      <w:pPr>
        <w:pStyle w:val="0"/>
        <w:jc w:val="both"/>
      </w:pPr>
      <w:r>
        <w:rPr>
          <w:sz w:val="20"/>
        </w:rPr>
        <w:t xml:space="preserve">(п. 41 в ред. </w:t>
      </w:r>
      <w:hyperlink w:history="0" r:id="rId986" w:tooltip="Постановление Правительства РФ от 29.05.2019 N 682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технологического присоединения к электрическим сетям&quot; {КонсультантПлюс}">
        <w:r>
          <w:rPr>
            <w:sz w:val="20"/>
            <w:color w:val="0000ff"/>
          </w:rPr>
          <w:t xml:space="preserve">Постановления</w:t>
        </w:r>
      </w:hyperlink>
      <w:r>
        <w:rPr>
          <w:sz w:val="20"/>
        </w:rPr>
        <w:t xml:space="preserve"> Правительства РФ от 29.05.2019 N 682)</w:t>
      </w:r>
    </w:p>
    <w:bookmarkStart w:id="1850" w:name="P1850"/>
    <w:bookmarkEnd w:id="1850"/>
    <w:p>
      <w:pPr>
        <w:pStyle w:val="0"/>
        <w:spacing w:before="200" w:line-rule="auto"/>
        <w:ind w:firstLine="540"/>
        <w:jc w:val="both"/>
      </w:pPr>
      <w:r>
        <w:rPr>
          <w:sz w:val="20"/>
        </w:rPr>
        <w:t xml:space="preserve">42. 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к объектам электросетевого хозяйства другой сетевой организации заявка на технологическое присоединение подается в сетевую организацию, электрические сети которой в данной точке присоединения имеют более высокий класс напряжения.</w:t>
      </w:r>
    </w:p>
    <w:p>
      <w:pPr>
        <w:pStyle w:val="0"/>
        <w:spacing w:before="200" w:line-rule="auto"/>
        <w:ind w:firstLine="540"/>
        <w:jc w:val="both"/>
      </w:pPr>
      <w:r>
        <w:rPr>
          <w:sz w:val="20"/>
        </w:rPr>
        <w:t xml:space="preserve">При присоединении объектов электросетевого хозяйства сетевой организации (собственника или иного законного владельца объектов электросетевого хозяйства) к объектам электросетевого хозяйства смежной сетевой организации, имеющим такой же класс напряжения, заявка на технологическое присоединение подается той сетевой организацией, которой требуется увеличение перетока электрической энергии (мощности).</w:t>
      </w:r>
    </w:p>
    <w:p>
      <w:pPr>
        <w:pStyle w:val="0"/>
        <w:spacing w:before="200" w:line-rule="auto"/>
        <w:ind w:firstLine="540"/>
        <w:jc w:val="both"/>
      </w:pPr>
      <w:r>
        <w:rPr>
          <w:sz w:val="20"/>
        </w:rPr>
        <w:t xml:space="preserve">При наличии оснований, предусмотренных </w:t>
      </w:r>
      <w:hyperlink w:history="0" w:anchor="P1844" w:tooltip="для обеспечения присоединения объектов заявителя установлена необходимость проведения предусмотренных подпунктами &quot;в&quot; - &quot;д&quot;, &quot;ж&quot; и &quot;з&quot; пункта 25 настоящих Правил мероприятий на объектах смежной сетевой организации, не влекущих изменения значений величины максимальной мощности, указанной в документах о технологическом присоединении;">
        <w:r>
          <w:rPr>
            <w:sz w:val="20"/>
            <w:color w:val="0000ff"/>
          </w:rPr>
          <w:t xml:space="preserve">абзацем третьим пункта 41</w:t>
        </w:r>
      </w:hyperlink>
      <w:r>
        <w:rPr>
          <w:sz w:val="20"/>
        </w:rPr>
        <w:t xml:space="preserve"> настоящих Правил, заявка на технологическое присоединение подается той сетевой организацией, к электрическим сетям которой присоединяются объекты заявителя.</w:t>
      </w:r>
    </w:p>
    <w:p>
      <w:pPr>
        <w:pStyle w:val="0"/>
        <w:jc w:val="both"/>
      </w:pPr>
      <w:r>
        <w:rPr>
          <w:sz w:val="20"/>
        </w:rPr>
        <w:t xml:space="preserve">(в ред. </w:t>
      </w:r>
      <w:hyperlink w:history="0" r:id="rId987" w:tooltip="Постановление Правительства РФ от 29.05.2019 N 682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технологического присоединения к электрическим сетям&quot; {КонсультантПлюс}">
        <w:r>
          <w:rPr>
            <w:sz w:val="20"/>
            <w:color w:val="0000ff"/>
          </w:rPr>
          <w:t xml:space="preserve">Постановления</w:t>
        </w:r>
      </w:hyperlink>
      <w:r>
        <w:rPr>
          <w:sz w:val="20"/>
        </w:rPr>
        <w:t xml:space="preserve"> Правительства РФ от 29.05.2019 N 682)</w:t>
      </w:r>
    </w:p>
    <w:p>
      <w:pPr>
        <w:pStyle w:val="0"/>
        <w:spacing w:before="200" w:line-rule="auto"/>
        <w:ind w:firstLine="540"/>
        <w:jc w:val="both"/>
      </w:pPr>
      <w:r>
        <w:rPr>
          <w:sz w:val="20"/>
        </w:rPr>
        <w:t xml:space="preserve">43. Каждая сетевая организация обязана уведомлять вышестоящую смежную сетевую организацию:</w:t>
      </w:r>
    </w:p>
    <w:p>
      <w:pPr>
        <w:pStyle w:val="0"/>
        <w:spacing w:before="200" w:line-rule="auto"/>
        <w:ind w:firstLine="540"/>
        <w:jc w:val="both"/>
      </w:pPr>
      <w:r>
        <w:rPr>
          <w:sz w:val="20"/>
        </w:rPr>
        <w:t xml:space="preserve">об объеме максимальной мощности к своим сетевым объектам на 1-е число месяца, следующего за кварталом (срок представления указанных сведений составляет 10 рабочих дней с 1-го числа месяца, следующего за кварталом);</w:t>
      </w:r>
    </w:p>
    <w:p>
      <w:pPr>
        <w:pStyle w:val="0"/>
        <w:jc w:val="both"/>
      </w:pPr>
      <w:r>
        <w:rPr>
          <w:sz w:val="20"/>
        </w:rPr>
        <w:t xml:space="preserve">(в ред. </w:t>
      </w:r>
      <w:hyperlink w:history="0" r:id="rId988"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Постановления</w:t>
        </w:r>
      </w:hyperlink>
      <w:r>
        <w:rPr>
          <w:sz w:val="20"/>
        </w:rPr>
        <w:t xml:space="preserve"> Правительства РФ от 04.05.2012 N 442)</w:t>
      </w:r>
    </w:p>
    <w:p>
      <w:pPr>
        <w:pStyle w:val="0"/>
        <w:spacing w:before="200" w:line-rule="auto"/>
        <w:ind w:firstLine="540"/>
        <w:jc w:val="both"/>
      </w:pPr>
      <w:r>
        <w:rPr>
          <w:sz w:val="20"/>
        </w:rPr>
        <w:t xml:space="preserve">о суммарной максимальной мощности за прошедший квартал, указанной в полученных от заявителей заявках на технологические присоединения к ее сетевым объектам и заключенных договорах на технологическое присоединение за прошедший квартал (срок представления указанных сведений составляет 20 рабочих дней с 1-го числа месяца, следующего за кварталом);</w:t>
      </w:r>
    </w:p>
    <w:p>
      <w:pPr>
        <w:pStyle w:val="0"/>
        <w:spacing w:before="200" w:line-rule="auto"/>
        <w:ind w:firstLine="540"/>
        <w:jc w:val="both"/>
      </w:pPr>
      <w:r>
        <w:rPr>
          <w:sz w:val="20"/>
        </w:rPr>
        <w:t xml:space="preserve">об указанных данных, полученных от других смежных организаций, с указанием их центра питания (срок представления указанных сведений составляет 20 дней с даты поступления данных от смежных организаций).</w:t>
      </w:r>
    </w:p>
    <w:p>
      <w:pPr>
        <w:pStyle w:val="0"/>
        <w:spacing w:before="200" w:line-rule="auto"/>
        <w:ind w:firstLine="540"/>
        <w:jc w:val="both"/>
      </w:pPr>
      <w:r>
        <w:rPr>
          <w:sz w:val="20"/>
        </w:rPr>
        <w:t xml:space="preserve">Для целей настоящих Правил под вышестоящей смежной сетевой организацией понимается смежная сетевая организация, электрические сети которой имеют более высокий класс напряжения. В случае если все смежные сетевые организации имеют одинаковый класс напряжения, вышестоящей смежной сетевой организацией признается сетевая организация, присоединенная к электрической сети более высокого класса напряжения.</w:t>
      </w:r>
    </w:p>
    <w:p>
      <w:pPr>
        <w:pStyle w:val="0"/>
        <w:spacing w:before="200" w:line-rule="auto"/>
        <w:ind w:firstLine="540"/>
        <w:jc w:val="both"/>
      </w:pPr>
      <w:r>
        <w:rPr>
          <w:sz w:val="20"/>
        </w:rPr>
        <w:t xml:space="preserve">Сетевая организация не вправе отказать смежной сетевой организации в заключении договора. В случае если сетевая организация, обязанная в соответствии с настоящими Правилами подать заявку на технологическое присоединение, не подает ее в течение 30 дней, смежная сетевая организация вправе запросить у нее информацию и документы, указанные в </w:t>
      </w:r>
      <w:hyperlink w:history="0" w:anchor="P1111" w:tooltip="13(1). В заявке, направляемой сетевой организацией в смежную сетевую организацию в соответствии с пунктами 41 и 42 настоящих Правил, должны быть указаны:">
        <w:r>
          <w:rPr>
            <w:sz w:val="20"/>
            <w:color w:val="0000ff"/>
          </w:rPr>
          <w:t xml:space="preserve">пункте 13(1)</w:t>
        </w:r>
      </w:hyperlink>
      <w:r>
        <w:rPr>
          <w:sz w:val="20"/>
        </w:rPr>
        <w:t xml:space="preserve"> настоящих Правил, а также направить ей предложение о заключении договора, а сетевая организация обязана представить сведения и документы, указанные в </w:t>
      </w:r>
      <w:hyperlink w:history="0" w:anchor="P1111" w:tooltip="13(1). В заявке, направляемой сетевой организацией в смежную сетевую организацию в соответствии с пунктами 41 и 42 настоящих Правил, должны быть указаны:">
        <w:r>
          <w:rPr>
            <w:sz w:val="20"/>
            <w:color w:val="0000ff"/>
          </w:rPr>
          <w:t xml:space="preserve">пункте 13(1)</w:t>
        </w:r>
      </w:hyperlink>
      <w:r>
        <w:rPr>
          <w:sz w:val="20"/>
        </w:rPr>
        <w:t xml:space="preserve"> настоящих Правил, в течение 15 рабочих дней с даты получения запроса смежной сетевой организации и заключить договор в соответствии с настоящими Правилами.</w:t>
      </w:r>
    </w:p>
    <w:p>
      <w:pPr>
        <w:pStyle w:val="0"/>
        <w:jc w:val="both"/>
      </w:pPr>
      <w:r>
        <w:rPr>
          <w:sz w:val="20"/>
        </w:rPr>
        <w:t xml:space="preserve">(в ред. </w:t>
      </w:r>
      <w:hyperlink w:history="0" r:id="rId989" w:tooltip="Постановление Правительства РФ от 29.05.2019 N 682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технологического присоединения к электрическим сетям&quot; {КонсультантПлюс}">
        <w:r>
          <w:rPr>
            <w:sz w:val="20"/>
            <w:color w:val="0000ff"/>
          </w:rPr>
          <w:t xml:space="preserve">Постановления</w:t>
        </w:r>
      </w:hyperlink>
      <w:r>
        <w:rPr>
          <w:sz w:val="20"/>
        </w:rPr>
        <w:t xml:space="preserve"> Правительства РФ от 29.05.2019 N 682)</w:t>
      </w:r>
    </w:p>
    <w:p>
      <w:pPr>
        <w:pStyle w:val="0"/>
        <w:ind w:firstLine="540"/>
        <w:jc w:val="both"/>
      </w:pPr>
      <w:r>
        <w:rPr>
          <w:sz w:val="20"/>
        </w:rPr>
      </w:r>
    </w:p>
    <w:p>
      <w:pPr>
        <w:pStyle w:val="2"/>
        <w:outlineLvl w:val="1"/>
        <w:jc w:val="center"/>
      </w:pPr>
      <w:r>
        <w:rPr>
          <w:sz w:val="20"/>
        </w:rPr>
        <w:t xml:space="preserve">VI. Особенности взаимодействия сетевых организаций</w:t>
      </w:r>
    </w:p>
    <w:p>
      <w:pPr>
        <w:pStyle w:val="2"/>
        <w:jc w:val="center"/>
      </w:pPr>
      <w:r>
        <w:rPr>
          <w:sz w:val="20"/>
        </w:rPr>
        <w:t xml:space="preserve">и заявителей при возврате денежных средств за объемы</w:t>
      </w:r>
    </w:p>
    <w:p>
      <w:pPr>
        <w:pStyle w:val="2"/>
        <w:jc w:val="center"/>
      </w:pPr>
      <w:r>
        <w:rPr>
          <w:sz w:val="20"/>
        </w:rPr>
        <w:t xml:space="preserve">невостребованной присоединенной мощности</w:t>
      </w:r>
    </w:p>
    <w:p>
      <w:pPr>
        <w:pStyle w:val="0"/>
        <w:ind w:firstLine="540"/>
        <w:jc w:val="both"/>
      </w:pPr>
      <w:r>
        <w:rPr>
          <w:sz w:val="20"/>
        </w:rPr>
      </w:r>
    </w:p>
    <w:p>
      <w:pPr>
        <w:pStyle w:val="0"/>
        <w:ind w:firstLine="540"/>
        <w:jc w:val="both"/>
      </w:pPr>
      <w:r>
        <w:rPr>
          <w:sz w:val="20"/>
        </w:rPr>
        <w:t xml:space="preserve">Утратил силу. - </w:t>
      </w:r>
      <w:hyperlink w:history="0" r:id="rId990"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Постановление</w:t>
        </w:r>
      </w:hyperlink>
      <w:r>
        <w:rPr>
          <w:sz w:val="20"/>
        </w:rPr>
        <w:t xml:space="preserve"> Правительства РФ от 04.05.2012 N 442.</w:t>
      </w:r>
    </w:p>
    <w:p>
      <w:pPr>
        <w:pStyle w:val="0"/>
        <w:ind w:firstLine="540"/>
        <w:jc w:val="both"/>
      </w:pPr>
      <w:r>
        <w:rPr>
          <w:sz w:val="20"/>
        </w:rPr>
      </w:r>
    </w:p>
    <w:bookmarkStart w:id="1869" w:name="P1869"/>
    <w:bookmarkEnd w:id="1869"/>
    <w:p>
      <w:pPr>
        <w:pStyle w:val="2"/>
        <w:outlineLvl w:val="1"/>
        <w:jc w:val="center"/>
      </w:pPr>
      <w:r>
        <w:rPr>
          <w:sz w:val="20"/>
        </w:rPr>
        <w:t xml:space="preserve">VII. Особенности временного технологического присоединения</w:t>
      </w:r>
    </w:p>
    <w:p>
      <w:pPr>
        <w:pStyle w:val="0"/>
        <w:jc w:val="center"/>
      </w:pPr>
      <w:r>
        <w:rPr>
          <w:sz w:val="20"/>
        </w:rPr>
        <w:t xml:space="preserve">(введен </w:t>
      </w:r>
      <w:hyperlink w:history="0" r:id="rId991" w:tooltip="Постановление Правительства РФ от 26.08.2013 N 737 (ред. от 10.03.2020) &quot;О внесении изменений в некоторые акты Правительства Российской Федерации по вопросу осуществления временного технологического присоединения к электрическим сетям&quot; {КонсультантПлюс}">
        <w:r>
          <w:rPr>
            <w:sz w:val="20"/>
            <w:color w:val="0000ff"/>
          </w:rPr>
          <w:t xml:space="preserve">Постановлением</w:t>
        </w:r>
      </w:hyperlink>
      <w:r>
        <w:rPr>
          <w:sz w:val="20"/>
        </w:rPr>
        <w:t xml:space="preserve"> Правительства РФ от 26.08.2013 N 737)</w:t>
      </w:r>
    </w:p>
    <w:p>
      <w:pPr>
        <w:pStyle w:val="0"/>
        <w:jc w:val="center"/>
      </w:pPr>
      <w:r>
        <w:rPr>
          <w:sz w:val="20"/>
        </w:rPr>
      </w:r>
    </w:p>
    <w:p>
      <w:pPr>
        <w:pStyle w:val="0"/>
        <w:ind w:firstLine="540"/>
        <w:jc w:val="both"/>
      </w:pPr>
      <w:r>
        <w:rPr>
          <w:sz w:val="20"/>
        </w:rPr>
        <w:t xml:space="preserve">50. Временным технологическим присоединением является технологическое присоединение энергопринимающих устройств по третьей категории надежности электроснабжения на уровне напряжения ниже 35 кВ, осуществляемое на ограниченный период времени для обеспечения электроснабжения энергопринимающих устройств.</w:t>
      </w:r>
    </w:p>
    <w:p>
      <w:pPr>
        <w:pStyle w:val="0"/>
        <w:spacing w:before="200" w:line-rule="auto"/>
        <w:ind w:firstLine="540"/>
        <w:jc w:val="both"/>
      </w:pPr>
      <w:r>
        <w:rPr>
          <w:sz w:val="20"/>
        </w:rPr>
        <w:t xml:space="preserve">Временное технологическое присоединение, а также заключение и исполнение договоров об осуществлении временного технологического присоединения, на основании которых оно производится, осуществляется в соответствии с предусмотренным настоящими Правилами общим порядком технологического присоединения с учетом особенностей, установленных в настоящем разделе.</w:t>
      </w:r>
    </w:p>
    <w:p>
      <w:pPr>
        <w:pStyle w:val="0"/>
        <w:spacing w:before="200" w:line-rule="auto"/>
        <w:ind w:firstLine="540"/>
        <w:jc w:val="both"/>
      </w:pPr>
      <w:r>
        <w:rPr>
          <w:sz w:val="20"/>
        </w:rPr>
        <w:t xml:space="preserve">51. Для осуществления временного технологического присоединения необходимо одновременное соблюдение следующих условий:</w:t>
      </w:r>
    </w:p>
    <w:p>
      <w:pPr>
        <w:pStyle w:val="0"/>
        <w:spacing w:before="200" w:line-rule="auto"/>
        <w:ind w:firstLine="540"/>
        <w:jc w:val="both"/>
      </w:pPr>
      <w:r>
        <w:rPr>
          <w:sz w:val="20"/>
        </w:rPr>
        <w:t xml:space="preserve">а) наличие у заявителя заключенного с сетевой организацией договора (за исключением случаев, когда энергопринимающие устройства являются передвижными и имеют максимальную мощность до 150 кВт включительно);</w:t>
      </w:r>
    </w:p>
    <w:p>
      <w:pPr>
        <w:pStyle w:val="0"/>
        <w:spacing w:before="200" w:line-rule="auto"/>
        <w:ind w:firstLine="540"/>
        <w:jc w:val="both"/>
      </w:pPr>
      <w:r>
        <w:rPr>
          <w:sz w:val="20"/>
        </w:rPr>
        <w:t xml:space="preserve">б) временное технологическое присоединение осуществляется для электроснабжения энергопринимающих устройств по третьей категории надежности электроснабжения.</w:t>
      </w:r>
    </w:p>
    <w:p>
      <w:pPr>
        <w:pStyle w:val="0"/>
        <w:spacing w:before="200" w:line-rule="auto"/>
        <w:ind w:firstLine="540"/>
        <w:jc w:val="both"/>
      </w:pPr>
      <w:r>
        <w:rPr>
          <w:sz w:val="20"/>
        </w:rPr>
        <w:t xml:space="preserve">52. Не допускается обеспечение электроснабжения введенных в эксплуатацию объектов капитального строительства с использованием энергопринимающих устройств, присоединенных по временной схеме электроснабжения для обеспечения работ по строительству, реконструкции или капитальному ремонту объектов капитального строительства.</w:t>
      </w:r>
    </w:p>
    <w:bookmarkStart w:id="1878" w:name="P1878"/>
    <w:bookmarkEnd w:id="1878"/>
    <w:p>
      <w:pPr>
        <w:pStyle w:val="0"/>
        <w:spacing w:before="200" w:line-rule="auto"/>
        <w:ind w:firstLine="540"/>
        <w:jc w:val="both"/>
      </w:pPr>
      <w:r>
        <w:rPr>
          <w:sz w:val="20"/>
        </w:rPr>
        <w:t xml:space="preserve">53. При временном технологическом присоединении заявителем самостоятельно обеспечивается проведение мероприятий по возведению новых 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 При этом сетевая организация обязана обеспечить техническую подготовку соответствующих объектов электросетевого хозяйства для временного технологического присоединения.</w:t>
      </w:r>
    </w:p>
    <w:p>
      <w:pPr>
        <w:pStyle w:val="0"/>
        <w:spacing w:before="200" w:line-rule="auto"/>
        <w:ind w:firstLine="540"/>
        <w:jc w:val="both"/>
      </w:pPr>
      <w:r>
        <w:rPr>
          <w:sz w:val="20"/>
        </w:rPr>
        <w:t xml:space="preserve">Распределение между заявителем и сетевой организацией обязательств по выполнению мероприятий по временному технологическому присоединению, а также установление границ балансовой принадлежности и эксплуатационной ответственности осуществляются с учетом требований, установленных настоящим пунктом.</w:t>
      </w:r>
    </w:p>
    <w:p>
      <w:pPr>
        <w:pStyle w:val="0"/>
        <w:spacing w:before="200" w:line-rule="auto"/>
        <w:ind w:firstLine="540"/>
        <w:jc w:val="both"/>
      </w:pPr>
      <w:r>
        <w:rPr>
          <w:sz w:val="20"/>
        </w:rPr>
        <w:t xml:space="preserve">В случае если при временном технологическом присоединении не могут быть соблюдены критерии наличия технической возможности технологического присоединения, предусмотренные </w:t>
      </w:r>
      <w:hyperlink w:history="0" w:anchor="P1583" w:tooltip="28. Критериями наличия технической возможности технологического присоединения являются:">
        <w:r>
          <w:rPr>
            <w:sz w:val="20"/>
            <w:color w:val="0000ff"/>
          </w:rPr>
          <w:t xml:space="preserve">пунктом 28</w:t>
        </w:r>
      </w:hyperlink>
      <w:r>
        <w:rPr>
          <w:sz w:val="20"/>
        </w:rPr>
        <w:t xml:space="preserve"> настоящих Правил, сетевая организация в технических условиях указывает объем максимальной мощности объектов электросетевого хозяйства, возможный к использованию заявителем, и объем мощности, который может быть обеспечен в том числе с использованием автономных источников питания для обеспечения присоединяемых энергопринимающих устройств недостающим объемом мощности на период электроснабжения по временной схеме электроснабжения.</w:t>
      </w:r>
    </w:p>
    <w:p>
      <w:pPr>
        <w:pStyle w:val="0"/>
        <w:spacing w:before="200" w:line-rule="auto"/>
        <w:ind w:firstLine="540"/>
        <w:jc w:val="both"/>
      </w:pPr>
      <w:r>
        <w:rPr>
          <w:sz w:val="20"/>
        </w:rPr>
        <w:t xml:space="preserve">Заявителям - юридическим лицам или индивидуальным предпринимателям в целях технологического присоединения по одному источнику электроснабжения энергопринимающих устройств, максимальная мощность энергопринимающих устройств которых составляет до 150 кВт включительно, сетевая организация (по желанию таких заявителей) в течение 15 дней со дня заключения договора об осуществлении временного технологического присоединения предоставляет соответствующие автономные источники питания до окончания срока электроснабжения по временной схеме электроснабжения.</w:t>
      </w:r>
    </w:p>
    <w:p>
      <w:pPr>
        <w:pStyle w:val="0"/>
        <w:jc w:val="both"/>
      </w:pPr>
      <w:r>
        <w:rPr>
          <w:sz w:val="20"/>
        </w:rPr>
        <w:t xml:space="preserve">(в ред. </w:t>
      </w:r>
      <w:hyperlink w:history="0" r:id="rId992" w:tooltip="Постановление Правительства РФ от 23.09.2016 N 95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23.09.2016 N 953)</w:t>
      </w:r>
    </w:p>
    <w:p>
      <w:pPr>
        <w:pStyle w:val="0"/>
        <w:spacing w:before="200" w:line-rule="auto"/>
        <w:ind w:firstLine="540"/>
        <w:jc w:val="both"/>
      </w:pPr>
      <w:r>
        <w:rPr>
          <w:sz w:val="20"/>
        </w:rPr>
        <w:t xml:space="preserve">Заявитель компенсирует сетевой организации расходы, связанные с предоставлением автономного резервного источника питания, а также самостоятельно несет расходы по его эксплуатации.</w:t>
      </w:r>
    </w:p>
    <w:p>
      <w:pPr>
        <w:pStyle w:val="0"/>
        <w:spacing w:before="200" w:line-rule="auto"/>
        <w:ind w:firstLine="540"/>
        <w:jc w:val="both"/>
      </w:pPr>
      <w:r>
        <w:rPr>
          <w:sz w:val="20"/>
        </w:rPr>
        <w:t xml:space="preserve">В случае если заявителем принимается решение об электроснабжении своих энергопринимающих устройств с использованием автономных источников питания, предоставленных не сетевой организацией, то сетевая организация аннулирует соответствующую заявку, поданную в целях временного технологического присоединения, в порядке, предусмотренном </w:t>
      </w:r>
      <w:hyperlink w:history="0" w:anchor="P1197" w:tooltip="15. Абзац утратил силу с 1 июля 2020 года. - Постановление Правительства РФ от 10.03.2020 N 262.">
        <w:r>
          <w:rPr>
            <w:sz w:val="20"/>
            <w:color w:val="0000ff"/>
          </w:rPr>
          <w:t xml:space="preserve">пунктом 15</w:t>
        </w:r>
      </w:hyperlink>
      <w:r>
        <w:rPr>
          <w:sz w:val="20"/>
        </w:rPr>
        <w:t xml:space="preserve"> настоящих Правил.</w:t>
      </w:r>
    </w:p>
    <w:bookmarkStart w:id="1885" w:name="P1885"/>
    <w:bookmarkEnd w:id="1885"/>
    <w:p>
      <w:pPr>
        <w:pStyle w:val="0"/>
        <w:spacing w:before="200" w:line-rule="auto"/>
        <w:ind w:firstLine="540"/>
        <w:jc w:val="both"/>
      </w:pPr>
      <w:r>
        <w:rPr>
          <w:sz w:val="20"/>
        </w:rPr>
        <w:t xml:space="preserve">54. Электроснабжение энергопринимающих устройств, технологическое присоединение которых осуществлено по временной схеме электроснабжения, осуществляется:</w:t>
      </w:r>
    </w:p>
    <w:p>
      <w:pPr>
        <w:pStyle w:val="0"/>
        <w:spacing w:before="200" w:line-rule="auto"/>
        <w:ind w:firstLine="540"/>
        <w:jc w:val="both"/>
      </w:pPr>
      <w:r>
        <w:rPr>
          <w:sz w:val="20"/>
        </w:rPr>
        <w:t xml:space="preserve">а) до наступления срока технологического присоединения с применением постоянной схемы электроснабжения, установленного договором. Если в соответствии с договором мероприятия по технологическому присоединению реализуются поэтапно, энергоснабжение энергопринимающих устройств по временной схеме электроснабжения осуществляется до завершения того из этапов, на котором будет обеспечена возможность электроснабжения таких энергопринимающих устройств с применением постоянной схемы электроснабжения на объем максимальной мощности, указанный в заявке, направляемой заявителем в целях временного технологического присоединения;</w:t>
      </w:r>
    </w:p>
    <w:p>
      <w:pPr>
        <w:pStyle w:val="0"/>
        <w:spacing w:before="200" w:line-rule="auto"/>
        <w:ind w:firstLine="540"/>
        <w:jc w:val="both"/>
      </w:pPr>
      <w:r>
        <w:rPr>
          <w:sz w:val="20"/>
        </w:rPr>
        <w:t xml:space="preserve">б) в случаях, когда энергопринимающие устройства являются передвижными и имеют максимальную мощность до 150 кВт включительно, - на срок до 12 месяцев.</w:t>
      </w:r>
    </w:p>
    <w:bookmarkStart w:id="1888" w:name="P1888"/>
    <w:bookmarkEnd w:id="1888"/>
    <w:p>
      <w:pPr>
        <w:pStyle w:val="0"/>
        <w:spacing w:before="200" w:line-rule="auto"/>
        <w:ind w:firstLine="540"/>
        <w:jc w:val="both"/>
      </w:pPr>
      <w:r>
        <w:rPr>
          <w:sz w:val="20"/>
        </w:rPr>
        <w:t xml:space="preserve">55. Энергопринимающие устройства, технологическое присоединение которых осуществлено по временной схеме электроснабжения, могут быть отсоединены до истечения сроков, предусмотренных </w:t>
      </w:r>
      <w:hyperlink w:history="0" w:anchor="P1885" w:tooltip="54. Электроснабжение энергопринимающих устройств, технологическое присоединение которых осуществлено по временной схеме электроснабжения, осуществляется:">
        <w:r>
          <w:rPr>
            <w:sz w:val="20"/>
            <w:color w:val="0000ff"/>
          </w:rPr>
          <w:t xml:space="preserve">пунктом 54</w:t>
        </w:r>
      </w:hyperlink>
      <w:r>
        <w:rPr>
          <w:sz w:val="20"/>
        </w:rPr>
        <w:t xml:space="preserve"> настоящих Правил, в следующем случае:</w:t>
      </w:r>
    </w:p>
    <w:p>
      <w:pPr>
        <w:pStyle w:val="0"/>
        <w:spacing w:before="200" w:line-rule="auto"/>
        <w:ind w:firstLine="540"/>
        <w:jc w:val="both"/>
      </w:pPr>
      <w:r>
        <w:rPr>
          <w:sz w:val="20"/>
        </w:rPr>
        <w:t xml:space="preserve">а) по обращению заявителя, поданному не позднее 10 дней до планируемой даты отсоединения;</w:t>
      </w:r>
    </w:p>
    <w:p>
      <w:pPr>
        <w:pStyle w:val="0"/>
        <w:spacing w:before="200" w:line-rule="auto"/>
        <w:ind w:firstLine="540"/>
        <w:jc w:val="both"/>
      </w:pPr>
      <w:r>
        <w:rPr>
          <w:sz w:val="20"/>
        </w:rPr>
        <w:t xml:space="preserve">б) при расторжении договора об осуществлении технологического присоединения с применением постоянной схемы электроснабжения.</w:t>
      </w:r>
    </w:p>
    <w:p>
      <w:pPr>
        <w:pStyle w:val="0"/>
        <w:jc w:val="both"/>
      </w:pPr>
      <w:r>
        <w:rPr>
          <w:sz w:val="20"/>
        </w:rPr>
        <w:t xml:space="preserve">(п. 55 введен </w:t>
      </w:r>
      <w:hyperlink w:history="0" r:id="rId993" w:tooltip="Постановление Правительства РФ от 21.11.2013 N 1047 &quot;О внесении изменений в раздел VII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21.11.2013 N 1047)</w:t>
      </w:r>
    </w:p>
    <w:p>
      <w:pPr>
        <w:pStyle w:val="0"/>
        <w:spacing w:before="200" w:line-rule="auto"/>
        <w:ind w:firstLine="540"/>
        <w:jc w:val="both"/>
      </w:pPr>
      <w:r>
        <w:rPr>
          <w:sz w:val="20"/>
        </w:rPr>
        <w:t xml:space="preserve">56. По окончании срока, на который осуществлялось технологическое присоединение с применением временной схемы электроснабжения, или при наличии основания для его досрочного прекращения, указанного в </w:t>
      </w:r>
      <w:hyperlink w:history="0" w:anchor="P1888" w:tooltip="55. Энергопринимающие устройства, технологическое присоединение которых осуществлено по временной схеме электроснабжения, могут быть отсоединены до истечения сроков, предусмотренных пунктом 54 настоящих Правил, в следующем случае:">
        <w:r>
          <w:rPr>
            <w:sz w:val="20"/>
            <w:color w:val="0000ff"/>
          </w:rPr>
          <w:t xml:space="preserve">пункте 55</w:t>
        </w:r>
      </w:hyperlink>
      <w:r>
        <w:rPr>
          <w:sz w:val="20"/>
        </w:rPr>
        <w:t xml:space="preserve"> настоящих Правил, энергоснабжение энергопринимающих устройств должно быть полностью ограничено в соответствии с </w:t>
      </w:r>
      <w:hyperlink w:history="0" r:id="rId994"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Правилами</w:t>
        </w:r>
      </w:hyperlink>
      <w:r>
        <w:rPr>
          <w:sz w:val="20"/>
        </w:rPr>
        <w:t xml:space="preserve">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с одновременным расторжением договора энергоснабжения (купли-продажи (поставки) электрической энергии (мощности) и договора на оказание услуг по передаче электрической энергии в установленном порядке. В случае осуществления временного технологического присоединения с использованием автономных источников питания, предоставленных заявителю сетевой организацией, полное ограничение режима потребления электрической энергии вводится в соответствии с соглашением между сетевой организацией и заявителем, заключаемым при предоставлении заявителю указанных автономных источников питания.</w:t>
      </w:r>
    </w:p>
    <w:p>
      <w:pPr>
        <w:pStyle w:val="0"/>
        <w:spacing w:before="200" w:line-rule="auto"/>
        <w:ind w:firstLine="540"/>
        <w:jc w:val="both"/>
      </w:pPr>
      <w:r>
        <w:rPr>
          <w:sz w:val="20"/>
        </w:rPr>
        <w:t xml:space="preserve">Работы по отсоединению энергопринимающих устройств могут быть осуществлены сетевой организацией после завершения мероприятий по введению полного ограничения режима потребления электрической энергии.</w:t>
      </w:r>
    </w:p>
    <w:p>
      <w:pPr>
        <w:pStyle w:val="0"/>
        <w:spacing w:before="200" w:line-rule="auto"/>
        <w:ind w:firstLine="540"/>
        <w:jc w:val="both"/>
      </w:pPr>
      <w:r>
        <w:rPr>
          <w:sz w:val="20"/>
        </w:rPr>
        <w:t xml:space="preserve">Сетевая организация обязана предварительно, но не позднее чем за 10 рабочих дней до дня отсоединения, письменно уведомить заявителя, энергопринимающие устройства которого технологически присоединены с применением временной схемы электроснабжения, о дате и времени осуществления работ по отсоединению таких устройств от объектов электросетевого хозяйства сетевой организации. Заявитель в день и время, указанные в уведомлении сетевой организации, обязан обеспечить доступ представителей сетевой организации к таким устройствам и присутствие своих представителей (или лично) при осуществлении работ по отсоединению.</w:t>
      </w:r>
    </w:p>
    <w:p>
      <w:pPr>
        <w:pStyle w:val="0"/>
        <w:spacing w:before="200" w:line-rule="auto"/>
        <w:ind w:firstLine="540"/>
        <w:jc w:val="both"/>
      </w:pPr>
      <w:r>
        <w:rPr>
          <w:sz w:val="20"/>
        </w:rPr>
        <w:t xml:space="preserve">После осуществления отсоединения энергопринимающих устройств сетевая организация составляет в 3 экземплярах акт об отсоединении энергопринимающих устройств, технологическое присоединение которых было осуществлено по временной схеме электроснабжения, и в течение 5 рабочих дней направляет по одному экземпляру акта заявителю и гарантирующему поставщику (энергосбытовой, энергоснабжающей организации) способом, позволяющим установить дату отправки и получения указанного акта.</w:t>
      </w:r>
    </w:p>
    <w:p>
      <w:pPr>
        <w:pStyle w:val="0"/>
        <w:spacing w:before="200" w:line-rule="auto"/>
        <w:ind w:firstLine="540"/>
        <w:jc w:val="both"/>
      </w:pPr>
      <w:r>
        <w:rPr>
          <w:sz w:val="20"/>
        </w:rPr>
        <w:t xml:space="preserve">Работы по отсоединению энергопринимающих устройств могут проводиться в отсутствие заявителя или его представителя в случае наличия подтверждения надлежащего уведомления заявителя о месте и времени осуществления отсоединения, о чем в акте об отсоединении энергопринимающих устройств, технологическое присоединение которых было осуществлено по временной схеме электроснабжения, делается соответствующая отметка.</w:t>
      </w:r>
    </w:p>
    <w:p>
      <w:pPr>
        <w:pStyle w:val="0"/>
        <w:jc w:val="both"/>
      </w:pPr>
      <w:r>
        <w:rPr>
          <w:sz w:val="20"/>
        </w:rPr>
        <w:t xml:space="preserve">(п. 56 введен </w:t>
      </w:r>
      <w:hyperlink w:history="0" r:id="rId995" w:tooltip="Постановление Правительства РФ от 21.11.2013 N 1047 &quot;О внесении изменений в раздел VII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rPr>
        <w:t xml:space="preserve"> Правительства РФ от 21.11.2013 N 1047)</w:t>
      </w:r>
    </w:p>
    <w:p>
      <w:pPr>
        <w:pStyle w:val="0"/>
        <w:ind w:firstLine="540"/>
        <w:jc w:val="both"/>
      </w:pPr>
      <w:r>
        <w:rPr>
          <w:sz w:val="20"/>
        </w:rPr>
      </w:r>
    </w:p>
    <w:bookmarkStart w:id="1899" w:name="P1899"/>
    <w:bookmarkEnd w:id="1899"/>
    <w:p>
      <w:pPr>
        <w:pStyle w:val="2"/>
        <w:outlineLvl w:val="1"/>
        <w:jc w:val="center"/>
      </w:pPr>
      <w:r>
        <w:rPr>
          <w:sz w:val="20"/>
        </w:rPr>
        <w:t xml:space="preserve">VIII. Восстановление и переоформление документов</w:t>
      </w:r>
    </w:p>
    <w:p>
      <w:pPr>
        <w:pStyle w:val="2"/>
        <w:jc w:val="center"/>
      </w:pPr>
      <w:r>
        <w:rPr>
          <w:sz w:val="20"/>
        </w:rPr>
        <w:t xml:space="preserve">о технологическом присоединении</w:t>
      </w:r>
    </w:p>
    <w:p>
      <w:pPr>
        <w:pStyle w:val="0"/>
        <w:jc w:val="center"/>
      </w:pPr>
      <w:r>
        <w:rPr>
          <w:sz w:val="20"/>
        </w:rPr>
        <w:t xml:space="preserve">(введен </w:t>
      </w:r>
      <w:hyperlink w:history="0" r:id="rId996"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sz w:val="20"/>
            <w:color w:val="0000ff"/>
          </w:rPr>
          <w:t xml:space="preserve">Постановлением</w:t>
        </w:r>
      </w:hyperlink>
      <w:r>
        <w:rPr>
          <w:sz w:val="20"/>
        </w:rPr>
        <w:t xml:space="preserve"> Правительства РФ от 20.02.2014 N 130)</w:t>
      </w:r>
    </w:p>
    <w:p>
      <w:pPr>
        <w:pStyle w:val="0"/>
        <w:jc w:val="center"/>
      </w:pPr>
      <w:r>
        <w:rPr>
          <w:sz w:val="20"/>
        </w:rPr>
      </w:r>
    </w:p>
    <w:p>
      <w:pPr>
        <w:pStyle w:val="0"/>
        <w:ind w:firstLine="540"/>
        <w:jc w:val="both"/>
      </w:pPr>
      <w:r>
        <w:rPr>
          <w:sz w:val="20"/>
        </w:rPr>
        <w:t xml:space="preserve">57. Восстановление (переоформление) документов о технологическом присоединении осуществляется в случае обращения в сетевую организацию потребителей электрической энергии, собственников или иных законных владельцев объектов электросетевого хозяйства с заявлением на восстановление (переоформление) документов о технологическом присоединении (далее - заявление о переоформлении документов).</w:t>
      </w:r>
    </w:p>
    <w:p>
      <w:pPr>
        <w:pStyle w:val="0"/>
        <w:jc w:val="both"/>
      </w:pPr>
      <w:r>
        <w:rPr>
          <w:sz w:val="20"/>
        </w:rPr>
        <w:t xml:space="preserve">(в ред. </w:t>
      </w:r>
      <w:hyperlink w:history="0" r:id="rId997" w:tooltip="Постановление Правительства РФ от 26.12.2019 N 1857 &quot;О внесении изменений в некоторые акты Правительства Российской Федерации по вопросам компенсации расходов на приобретение электрической энергии (мощности) в целях компенсации потерь электрической энергии собственникам или иным законным владельцам объектов электросетевого хозяйства, понесенных ими в связи с обеспечением перетока электрической энергии в энергопринимающие устройства потребителей электрической энергии&quot; {КонсультантПлюс}">
        <w:r>
          <w:rPr>
            <w:sz w:val="20"/>
            <w:color w:val="0000ff"/>
          </w:rPr>
          <w:t xml:space="preserve">Постановления</w:t>
        </w:r>
      </w:hyperlink>
      <w:r>
        <w:rPr>
          <w:sz w:val="20"/>
        </w:rPr>
        <w:t xml:space="preserve"> Правительства РФ от 26.12.2019 N 1857)</w:t>
      </w:r>
    </w:p>
    <w:p>
      <w:pPr>
        <w:pStyle w:val="0"/>
        <w:spacing w:before="200" w:line-rule="auto"/>
        <w:ind w:firstLine="540"/>
        <w:jc w:val="both"/>
      </w:pPr>
      <w:r>
        <w:rPr>
          <w:sz w:val="20"/>
        </w:rPr>
        <w:t xml:space="preserve">58. В случае когда в сетевую организацию с заявлением о переоформлении документов обращается смежная сетевая организация или собственник (иной законный владелец) объектов по производству электрической энергии, объектов электросетевого хозяйства, права и обязанности сторон, возникающие в связи с восстановлением (переоформлением) документов таких сетевых организаций, собственников (иных законных владельцев), а также порядок определения максимальной мощности присоединенных объектов электросетевого хозяйства или установленной генерирующей мощности объектов по производству электрической энергии устанавливаются соглашением сторон.</w:t>
      </w:r>
    </w:p>
    <w:p>
      <w:pPr>
        <w:pStyle w:val="0"/>
        <w:jc w:val="both"/>
      </w:pPr>
      <w:r>
        <w:rPr>
          <w:sz w:val="20"/>
        </w:rPr>
        <w:t xml:space="preserve">(в ред. </w:t>
      </w:r>
      <w:hyperlink w:history="0" r:id="rId998" w:tooltip="Постановление Правительства РФ от 26.12.2019 N 1857 &quot;О внесении изменений в некоторые акты Правительства Российской Федерации по вопросам компенсации расходов на приобретение электрической энергии (мощности) в целях компенсации потерь электрической энергии собственникам или иным законным владельцам объектов электросетевого хозяйства, понесенных ими в связи с обеспечением перетока электрической энергии в энергопринимающие устройства потребителей электрической энергии&quot; {КонсультантПлюс}">
        <w:r>
          <w:rPr>
            <w:sz w:val="20"/>
            <w:color w:val="0000ff"/>
          </w:rPr>
          <w:t xml:space="preserve">Постановления</w:t>
        </w:r>
      </w:hyperlink>
      <w:r>
        <w:rPr>
          <w:sz w:val="20"/>
        </w:rPr>
        <w:t xml:space="preserve"> Правительства РФ от 26.12.2019 N 1857)</w:t>
      </w:r>
    </w:p>
    <w:p>
      <w:pPr>
        <w:pStyle w:val="0"/>
        <w:spacing w:before="200" w:line-rule="auto"/>
        <w:ind w:firstLine="540"/>
        <w:jc w:val="both"/>
      </w:pPr>
      <w:r>
        <w:rPr>
          <w:sz w:val="20"/>
        </w:rPr>
        <w:t xml:space="preserve">При этом, в случае если технические условия в соответствии с настоящими Правилами подлежат (подлежали) согласованию с субъектом оперативно-диспетчерского управления, сетевая организация, получившая заявление о переоформлении документов от смежной сетевой организации или собственника (иного законного владельца) объекта по производству электрической энергии:</w:t>
      </w:r>
    </w:p>
    <w:p>
      <w:pPr>
        <w:pStyle w:val="0"/>
        <w:spacing w:before="200" w:line-rule="auto"/>
        <w:ind w:firstLine="540"/>
        <w:jc w:val="both"/>
      </w:pPr>
      <w:r>
        <w:rPr>
          <w:sz w:val="20"/>
        </w:rPr>
        <w:t xml:space="preserve">направляет копию заявления о переоформлении документов субъекту оперативно-диспетчерского управления в течение 2 рабочих дней со дня ее получения;</w:t>
      </w:r>
    </w:p>
    <w:p>
      <w:pPr>
        <w:pStyle w:val="0"/>
        <w:spacing w:before="200" w:line-rule="auto"/>
        <w:ind w:firstLine="540"/>
        <w:jc w:val="both"/>
      </w:pPr>
      <w:r>
        <w:rPr>
          <w:sz w:val="20"/>
        </w:rPr>
        <w:t xml:space="preserve">согласовывает с субъектом оперативно-диспетчерского управления выдаваемые технические условия (за исключением случая выдачи дубликата технических условий взамен утраченных);</w:t>
      </w:r>
    </w:p>
    <w:p>
      <w:pPr>
        <w:pStyle w:val="0"/>
        <w:spacing w:before="200" w:line-rule="auto"/>
        <w:ind w:firstLine="540"/>
        <w:jc w:val="both"/>
      </w:pPr>
      <w:r>
        <w:rPr>
          <w:sz w:val="20"/>
        </w:rPr>
        <w:t xml:space="preserve">проводит проверку выполнения технических условий в соответствии с </w:t>
      </w:r>
      <w:hyperlink w:history="0" w:anchor="P1997" w:tooltip="IX. Порядок проведения проверки выполнения заявителем">
        <w:r>
          <w:rPr>
            <w:sz w:val="20"/>
            <w:color w:val="0000ff"/>
          </w:rPr>
          <w:t xml:space="preserve">разделом IX</w:t>
        </w:r>
      </w:hyperlink>
      <w:r>
        <w:rPr>
          <w:sz w:val="20"/>
        </w:rPr>
        <w:t xml:space="preserve"> настоящих Правил.</w:t>
      </w:r>
    </w:p>
    <w:p>
      <w:pPr>
        <w:pStyle w:val="0"/>
        <w:spacing w:before="200" w:line-rule="auto"/>
        <w:ind w:firstLine="540"/>
        <w:jc w:val="both"/>
      </w:pPr>
      <w:r>
        <w:rPr>
          <w:sz w:val="20"/>
        </w:rPr>
        <w:t xml:space="preserve">Компенсация затрат на изготовление документов о технологическом присоединении в отношении смежной сетевой организации определяется в соответствии с </w:t>
      </w:r>
      <w:hyperlink w:history="0" w:anchor="P1993" w:tooltip="79. Лицо, обратившееся с заявлением о переоформлении документов, обязано компенсировать сетевой организации затраты на переоформление документов о технологическом присоединении, за исключением случаев, предусмотренных пунктом 27 настоящих Правил. При этом размер компенсации затрат на изготовление указанных документов не может превышать 1000 рублей за всю процедуру вне зависимости от количества переоформляемых (восстанавливаемых) документов.">
        <w:r>
          <w:rPr>
            <w:sz w:val="20"/>
            <w:color w:val="0000ff"/>
          </w:rPr>
          <w:t xml:space="preserve">пунктом 79</w:t>
        </w:r>
      </w:hyperlink>
      <w:r>
        <w:rPr>
          <w:sz w:val="20"/>
        </w:rPr>
        <w:t xml:space="preserve"> настоящих Правил.</w:t>
      </w:r>
    </w:p>
    <w:p>
      <w:pPr>
        <w:pStyle w:val="0"/>
        <w:spacing w:before="200" w:line-rule="auto"/>
        <w:ind w:firstLine="540"/>
        <w:jc w:val="both"/>
      </w:pPr>
      <w:r>
        <w:rPr>
          <w:sz w:val="20"/>
        </w:rPr>
        <w:t xml:space="preserve">Если сторонами ранее были составлены акт разграничения балансовой принадлежности объектов электроэнергетики (энергопринимающих устройств) сторон, акт разграничения эксплуатационной ответственности сторон и акт об осуществлении технологического присоединения, стороны составляют акт об осуществлении технологического присоединения по форме, предусмотренной </w:t>
      </w:r>
      <w:hyperlink w:history="0" w:anchor="P2176" w:tooltip="                                    АКТ">
        <w:r>
          <w:rPr>
            <w:sz w:val="20"/>
            <w:color w:val="0000ff"/>
          </w:rPr>
          <w:t xml:space="preserve">приложением N 1</w:t>
        </w:r>
      </w:hyperlink>
      <w:r>
        <w:rPr>
          <w:sz w:val="20"/>
        </w:rP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w:t>
      </w:r>
    </w:p>
    <w:p>
      <w:pPr>
        <w:pStyle w:val="0"/>
        <w:jc w:val="both"/>
      </w:pPr>
      <w:r>
        <w:rPr>
          <w:sz w:val="20"/>
        </w:rPr>
        <w:t xml:space="preserve">(абзац введен </w:t>
      </w:r>
      <w:hyperlink w:history="0" r:id="rId999"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Постановлением</w:t>
        </w:r>
      </w:hyperlink>
      <w:r>
        <w:rPr>
          <w:sz w:val="20"/>
        </w:rPr>
        <w:t xml:space="preserve"> Правительства РФ от 07.05.2017 N 542)</w:t>
      </w:r>
    </w:p>
    <w:p>
      <w:pPr>
        <w:pStyle w:val="0"/>
        <w:spacing w:before="200" w:line-rule="auto"/>
        <w:ind w:firstLine="540"/>
        <w:jc w:val="both"/>
      </w:pPr>
      <w:r>
        <w:rPr>
          <w:sz w:val="20"/>
        </w:rPr>
        <w:t xml:space="preserve">59. Заявитель в рамках договора (в период его действия), собственник или иной законный владелец ранее присоединенных энергопринимающих устройств (далее - лицо, обратившееся с заявлением о переоформлении документов) вправе обратиться в сетевую организацию лично или через представителя с заявлением о переоформлении документов в следующих случаях:</w:t>
      </w:r>
    </w:p>
    <w:bookmarkStart w:id="1915" w:name="P1915"/>
    <w:bookmarkEnd w:id="1915"/>
    <w:p>
      <w:pPr>
        <w:pStyle w:val="0"/>
        <w:spacing w:before="200" w:line-rule="auto"/>
        <w:ind w:firstLine="540"/>
        <w:jc w:val="both"/>
      </w:pPr>
      <w:r>
        <w:rPr>
          <w:sz w:val="20"/>
        </w:rPr>
        <w:t xml:space="preserve">а) восстановление утраченных документов о технологическом присоединении;</w:t>
      </w:r>
    </w:p>
    <w:bookmarkStart w:id="1916" w:name="P1916"/>
    <w:bookmarkEnd w:id="1916"/>
    <w:p>
      <w:pPr>
        <w:pStyle w:val="0"/>
        <w:spacing w:before="200" w:line-rule="auto"/>
        <w:ind w:firstLine="540"/>
        <w:jc w:val="both"/>
      </w:pPr>
      <w:r>
        <w:rPr>
          <w:sz w:val="20"/>
        </w:rPr>
        <w:t xml:space="preserve">б) переоформление документов о технологическом присоединении с целью указания в них информации о максимальной мощности энергопринимающих устройств;</w:t>
      </w:r>
    </w:p>
    <w:p>
      <w:pPr>
        <w:pStyle w:val="0"/>
        <w:spacing w:before="200" w:line-rule="auto"/>
        <w:ind w:firstLine="540"/>
        <w:jc w:val="both"/>
      </w:pPr>
      <w:r>
        <w:rPr>
          <w:sz w:val="20"/>
        </w:rPr>
        <w:t xml:space="preserve">в) переоформление документов о технологическом присоединении в связи со сменой собственника или иного законного владельца ранее присоединенных энергопринимающих устройств;</w:t>
      </w:r>
    </w:p>
    <w:p>
      <w:pPr>
        <w:pStyle w:val="0"/>
        <w:spacing w:before="200" w:line-rule="auto"/>
        <w:ind w:firstLine="540"/>
        <w:jc w:val="both"/>
      </w:pPr>
      <w:r>
        <w:rPr>
          <w:sz w:val="20"/>
        </w:rPr>
        <w:t xml:space="preserve">г) наступление иных обстоятельств, требующих внесения изменений в документы о технологическом присоединении, в том числе связанных с опосредованным присоединением.</w:t>
      </w:r>
    </w:p>
    <w:p>
      <w:pPr>
        <w:pStyle w:val="0"/>
        <w:jc w:val="both"/>
      </w:pPr>
      <w:r>
        <w:rPr>
          <w:sz w:val="20"/>
        </w:rPr>
        <w:t xml:space="preserve">(в ред. </w:t>
      </w:r>
      <w:hyperlink w:history="0" r:id="rId1000" w:tooltip="Постановление Правительства РФ от 13.04.2015 N 35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13.04.2015 N 350)</w:t>
      </w:r>
    </w:p>
    <w:p>
      <w:pPr>
        <w:pStyle w:val="0"/>
        <w:spacing w:before="200" w:line-rule="auto"/>
        <w:ind w:firstLine="540"/>
        <w:jc w:val="both"/>
      </w:pPr>
      <w:r>
        <w:rPr>
          <w:sz w:val="20"/>
        </w:rPr>
        <w:t xml:space="preserve">60. В заявлении о переоформлении документов указываются следующие сведения:</w:t>
      </w:r>
    </w:p>
    <w:p>
      <w:pPr>
        <w:pStyle w:val="0"/>
        <w:spacing w:before="200" w:line-rule="auto"/>
        <w:ind w:firstLine="540"/>
        <w:jc w:val="both"/>
      </w:pPr>
      <w:r>
        <w:rPr>
          <w:sz w:val="20"/>
        </w:rPr>
        <w:t xml:space="preserve">а) реквизиты лица, обратившегося с заявлением о переоформлении документов (для юридических лиц - полное наименование и номер записи в Едином государственном реестре юридических лиц, для индивидуальных предпринимателей - номер записи в Едином государственном реестре индивидуальных предпринимателей и дата ее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pPr>
        <w:pStyle w:val="0"/>
        <w:spacing w:before="200" w:line-rule="auto"/>
        <w:ind w:firstLine="540"/>
        <w:jc w:val="both"/>
      </w:pPr>
      <w:r>
        <w:rPr>
          <w:sz w:val="20"/>
        </w:rPr>
        <w:t xml:space="preserve">б) наименование и место нахождения энергопринимающих устройств лица, обратившегося с заявлением о переоформлении документов;</w:t>
      </w:r>
    </w:p>
    <w:p>
      <w:pPr>
        <w:pStyle w:val="0"/>
        <w:spacing w:before="200" w:line-rule="auto"/>
        <w:ind w:firstLine="540"/>
        <w:jc w:val="both"/>
      </w:pPr>
      <w:r>
        <w:rPr>
          <w:sz w:val="20"/>
        </w:rPr>
        <w:t xml:space="preserve">в) место нахождения лица, обратившегося с заявлением о переоформлении документов.</w:t>
      </w:r>
    </w:p>
    <w:bookmarkStart w:id="1924" w:name="P1924"/>
    <w:bookmarkEnd w:id="1924"/>
    <w:p>
      <w:pPr>
        <w:pStyle w:val="0"/>
        <w:spacing w:before="200" w:line-rule="auto"/>
        <w:ind w:firstLine="540"/>
        <w:jc w:val="both"/>
      </w:pPr>
      <w:r>
        <w:rPr>
          <w:sz w:val="20"/>
        </w:rPr>
        <w:t xml:space="preserve">61. Лицо, обратившееся с заявлением о переоформлении документов, указывает документы о технологическом присоединении, которые необходимо восстановить (переоформить), и их реквизиты (при наличии). При поступлении в сетевую организацию заявления о переоформлении актов разграничения балансовой принадлежности объектов электроэнергетики (энергопринимающих устройств) сторон и (или) актов разграничения эксплуатационной ответственности сторон сетевая организация подготавливает и выдает обратившемуся лицу акт об осуществлении технологического присоединения по форме, предусмотренной </w:t>
      </w:r>
      <w:hyperlink w:history="0" w:anchor="P2176" w:tooltip="                                    АКТ">
        <w:r>
          <w:rPr>
            <w:sz w:val="20"/>
            <w:color w:val="0000ff"/>
          </w:rPr>
          <w:t xml:space="preserve">приложением N 1</w:t>
        </w:r>
      </w:hyperlink>
      <w:r>
        <w:rPr>
          <w:sz w:val="20"/>
        </w:rP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w:t>
      </w:r>
    </w:p>
    <w:p>
      <w:pPr>
        <w:pStyle w:val="0"/>
        <w:jc w:val="both"/>
      </w:pPr>
      <w:r>
        <w:rPr>
          <w:sz w:val="20"/>
        </w:rPr>
        <w:t xml:space="preserve">(в ред. </w:t>
      </w:r>
      <w:hyperlink w:history="0" r:id="rId1001"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Постановления</w:t>
        </w:r>
      </w:hyperlink>
      <w:r>
        <w:rPr>
          <w:sz w:val="20"/>
        </w:rPr>
        <w:t xml:space="preserve"> Правительства РФ от 07.05.2017 N 542)</w:t>
      </w:r>
    </w:p>
    <w:bookmarkStart w:id="1926" w:name="P1926"/>
    <w:bookmarkEnd w:id="1926"/>
    <w:p>
      <w:pPr>
        <w:pStyle w:val="0"/>
        <w:spacing w:before="200" w:line-rule="auto"/>
        <w:ind w:firstLine="540"/>
        <w:jc w:val="both"/>
      </w:pPr>
      <w:r>
        <w:rPr>
          <w:sz w:val="20"/>
        </w:rPr>
        <w:t xml:space="preserve">62. К заявлению о переоформлении документов прилагаются следующие документы:</w:t>
      </w:r>
    </w:p>
    <w:bookmarkStart w:id="1927" w:name="P1927"/>
    <w:bookmarkEnd w:id="1927"/>
    <w:p>
      <w:pPr>
        <w:pStyle w:val="0"/>
        <w:spacing w:before="200" w:line-rule="auto"/>
        <w:ind w:firstLine="540"/>
        <w:jc w:val="both"/>
      </w:pPr>
      <w:r>
        <w:rPr>
          <w:sz w:val="20"/>
        </w:rPr>
        <w:t xml:space="preserve">а) копия документа, подтверждающего право собственности или иное предусмотренное законом основание на объект капитального строительства (нежилое помещение в таком объекте капитального строительства) и (или) земельный участок, на котором расположены объекты лица, обратившегося с заявлением о переоформлении документов, либо право собственности или иное предусмотренное законом основание на энергопринимающие устройства (в случае если энергопринимающие устройства лица, обратившегося с заявлением о переоформлении документов, расположены в нежилых помещениях многоквартирных домов или иных объектах капитального строительства, лицо, обратившееся с заявлением о переоформлении документов, представляет в сетевую организацию копию документа, подтверждающего право собственности или иное предусмотренное законом основание на нежилое помещение в таком многоквартирном доме или ином объекте капитального строительства);</w:t>
      </w:r>
    </w:p>
    <w:p>
      <w:pPr>
        <w:pStyle w:val="0"/>
        <w:spacing w:before="200" w:line-rule="auto"/>
        <w:ind w:firstLine="540"/>
        <w:jc w:val="both"/>
      </w:pPr>
      <w:r>
        <w:rPr>
          <w:sz w:val="20"/>
        </w:rPr>
        <w:t xml:space="preserve">б) доверенность или иные документы, подтверждающие полномочия представителя лица, обратившегося с заявлением о переоформлении документов, в случае если заявление о переоформлении документов подается в сетевую организацию представителем заявителя;</w:t>
      </w:r>
    </w:p>
    <w:bookmarkStart w:id="1929" w:name="P1929"/>
    <w:bookmarkEnd w:id="1929"/>
    <w:p>
      <w:pPr>
        <w:pStyle w:val="0"/>
        <w:spacing w:before="200" w:line-rule="auto"/>
        <w:ind w:firstLine="540"/>
        <w:jc w:val="both"/>
      </w:pPr>
      <w:r>
        <w:rPr>
          <w:sz w:val="20"/>
        </w:rPr>
        <w:t xml:space="preserve">в) копия технических условий, в том числе оформленных на предыдущего собственника или иного законного владельца ранее присоединенных энергопринимающих устройств (при наличии);</w:t>
      </w:r>
    </w:p>
    <w:bookmarkStart w:id="1930" w:name="P1930"/>
    <w:bookmarkEnd w:id="1930"/>
    <w:p>
      <w:pPr>
        <w:pStyle w:val="0"/>
        <w:spacing w:before="200" w:line-rule="auto"/>
        <w:ind w:firstLine="540"/>
        <w:jc w:val="both"/>
      </w:pPr>
      <w:r>
        <w:rPr>
          <w:sz w:val="20"/>
        </w:rPr>
        <w:t xml:space="preserve">г) копии акта разграничения границ балансовой принадлежности сторон, акта разграничения эксплуатационной ответственности сторон,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в том числе оформленных на предыдущего собственника или иного законного владельца ранее присоединенных энергопринимающих устройств (при наличии);</w:t>
      </w:r>
    </w:p>
    <w:p>
      <w:pPr>
        <w:pStyle w:val="0"/>
        <w:jc w:val="both"/>
      </w:pPr>
      <w:r>
        <w:rPr>
          <w:sz w:val="20"/>
        </w:rPr>
        <w:t xml:space="preserve">(в ред. </w:t>
      </w:r>
      <w:hyperlink w:history="0" r:id="rId1002"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bookmarkStart w:id="1932" w:name="P1932"/>
    <w:bookmarkEnd w:id="1932"/>
    <w:p>
      <w:pPr>
        <w:pStyle w:val="0"/>
        <w:spacing w:before="200" w:line-rule="auto"/>
        <w:ind w:firstLine="540"/>
        <w:jc w:val="both"/>
      </w:pPr>
      <w:r>
        <w:rPr>
          <w:sz w:val="20"/>
        </w:rPr>
        <w:t xml:space="preserve">д)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релейной защите и автоматике, телемеханике и связи (прилагаются при отсутствии технических условий или отсутствии в них и имеющихся документах о технологическом присоединении информации о максимальной мощности ранее присоединенных энергопринимающих устройств, если при этом в соответствии с законодательством Российской Федерации о градостроительной деятельности разработка проектной документации являлась обязательной);</w:t>
      </w:r>
    </w:p>
    <w:bookmarkStart w:id="1933" w:name="P1933"/>
    <w:bookmarkEnd w:id="1933"/>
    <w:p>
      <w:pPr>
        <w:pStyle w:val="0"/>
        <w:spacing w:before="200" w:line-rule="auto"/>
        <w:ind w:firstLine="540"/>
        <w:jc w:val="both"/>
      </w:pPr>
      <w:r>
        <w:rPr>
          <w:sz w:val="20"/>
        </w:rPr>
        <w:t xml:space="preserve">е) копии иных документов, подтверждающих факт технологического присоединения энергопринимающих устройств к электрическим сетям (в том числе оформленных на предыдущего собственника энергопринимающих устройств) в случае отсутствия документов, предусмотренных </w:t>
      </w:r>
      <w:hyperlink w:history="0" w:anchor="P1930" w:tooltip="г) копии акта разграничения границ балансовой принадлежности сторон, акта разграничения эксплуатационной ответственности сторон,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в том числе оформленных на предыдущего собственника или иного законного владельца ранее присоединенных энергопринимающих устройств (при наличии);">
        <w:r>
          <w:rPr>
            <w:sz w:val="20"/>
            <w:color w:val="0000ff"/>
          </w:rPr>
          <w:t xml:space="preserve">подпунктом "г"</w:t>
        </w:r>
      </w:hyperlink>
      <w:r>
        <w:rPr>
          <w:sz w:val="20"/>
        </w:rPr>
        <w:t xml:space="preserve"> настоящего пункта.</w:t>
      </w:r>
    </w:p>
    <w:p>
      <w:pPr>
        <w:pStyle w:val="0"/>
        <w:spacing w:before="200" w:line-rule="auto"/>
        <w:ind w:firstLine="540"/>
        <w:jc w:val="both"/>
      </w:pPr>
      <w:r>
        <w:rPr>
          <w:sz w:val="20"/>
        </w:rPr>
        <w:t xml:space="preserve">63. Копии документов, предусмотренных </w:t>
      </w:r>
      <w:hyperlink w:history="0" w:anchor="P1926" w:tooltip="62. К заявлению о переоформлении документов прилагаются следующие документы:">
        <w:r>
          <w:rPr>
            <w:sz w:val="20"/>
            <w:color w:val="0000ff"/>
          </w:rPr>
          <w:t xml:space="preserve">пунктом 62</w:t>
        </w:r>
      </w:hyperlink>
      <w:r>
        <w:rPr>
          <w:sz w:val="20"/>
        </w:rPr>
        <w:t xml:space="preserve"> настоящих Правил, представляются в сетевую организацию лицом, обратившимся с заявлением о переоформлении документов, с предъявлением оригиналов, которыми располагает соответствующее лицо.</w:t>
      </w:r>
    </w:p>
    <w:p>
      <w:pPr>
        <w:pStyle w:val="0"/>
        <w:spacing w:before="200" w:line-rule="auto"/>
        <w:ind w:firstLine="540"/>
        <w:jc w:val="both"/>
      </w:pPr>
      <w:r>
        <w:rPr>
          <w:sz w:val="20"/>
        </w:rPr>
        <w:t xml:space="preserve">При отсутствии документов у лица, обратившегося с заявлением о переоформлении документов, предусмотренных </w:t>
      </w:r>
      <w:hyperlink w:history="0" w:anchor="P1929" w:tooltip="в) копия технических условий, в том числе оформленных на предыдущего собственника или иного законного владельца ранее присоединенных энергопринимающих устройств (при наличии);">
        <w:r>
          <w:rPr>
            <w:sz w:val="20"/>
            <w:color w:val="0000ff"/>
          </w:rPr>
          <w:t xml:space="preserve">подпунктами "в"</w:t>
        </w:r>
      </w:hyperlink>
      <w:r>
        <w:rPr>
          <w:sz w:val="20"/>
        </w:rPr>
        <w:t xml:space="preserve"> - </w:t>
      </w:r>
      <w:hyperlink w:history="0" w:anchor="P1933" w:tooltip="е) копии иных документов, подтверждающих факт технологического присоединения энергопринимающих устройств к электрическим сетям (в том числе оформленных на предыдущего собственника энергопринимающих устройств) в случае отсутствия документов, предусмотренных подпунктом &quot;г&quot; настоящего пункта.">
        <w:r>
          <w:rPr>
            <w:sz w:val="20"/>
            <w:color w:val="0000ff"/>
          </w:rPr>
          <w:t xml:space="preserve">"е" пункта 62</w:t>
        </w:r>
      </w:hyperlink>
      <w:r>
        <w:rPr>
          <w:sz w:val="20"/>
        </w:rPr>
        <w:t xml:space="preserve"> настоящих Правил, в заявлении о переоформлении документов делается отметка об отсутствии документа (документов).</w:t>
      </w:r>
    </w:p>
    <w:p>
      <w:pPr>
        <w:pStyle w:val="0"/>
        <w:spacing w:before="200" w:line-rule="auto"/>
        <w:ind w:firstLine="540"/>
        <w:jc w:val="both"/>
      </w:pPr>
      <w:r>
        <w:rPr>
          <w:sz w:val="20"/>
        </w:rPr>
        <w:t xml:space="preserve">64. Лицом, обратившимся с заявлением о переоформлении документов, в период действия договора к заявлению о переоформлении документов прилагаются документы, предусмотренные </w:t>
      </w:r>
      <w:hyperlink w:history="0" w:anchor="P1927" w:tooltip="а) копия документа, подтверждающего право собственности или иное предусмотренное законом основание на объект капитального строительства (нежилое помещение в таком объекте капитального строительства) и (или) земельный участок, на котором расположены объекты лица, обратившегося с заявлением о переоформлении документов, либо право собственности или иное предусмотренное законом основание на энергопринимающие устройства (в случае если энергопринимающие устройства лица, обратившегося с заявлением о переоформле...">
        <w:r>
          <w:rPr>
            <w:sz w:val="20"/>
            <w:color w:val="0000ff"/>
          </w:rPr>
          <w:t xml:space="preserve">подпунктами "а"</w:t>
        </w:r>
      </w:hyperlink>
      <w:r>
        <w:rPr>
          <w:sz w:val="20"/>
        </w:rPr>
        <w:t xml:space="preserve"> - </w:t>
      </w:r>
      <w:hyperlink w:history="0" w:anchor="P1929" w:tooltip="в) копия технических условий, в том числе оформленных на предыдущего собственника или иного законного владельца ранее присоединенных энергопринимающих устройств (при наличии);">
        <w:r>
          <w:rPr>
            <w:sz w:val="20"/>
            <w:color w:val="0000ff"/>
          </w:rPr>
          <w:t xml:space="preserve">"в" пункта 62</w:t>
        </w:r>
      </w:hyperlink>
      <w:r>
        <w:rPr>
          <w:sz w:val="20"/>
        </w:rPr>
        <w:t xml:space="preserve"> настоящих Правил.</w:t>
      </w:r>
    </w:p>
    <w:p>
      <w:pPr>
        <w:pStyle w:val="0"/>
        <w:spacing w:before="200" w:line-rule="auto"/>
        <w:ind w:firstLine="540"/>
        <w:jc w:val="both"/>
      </w:pPr>
      <w:r>
        <w:rPr>
          <w:sz w:val="20"/>
        </w:rPr>
        <w:t xml:space="preserve">В случае если с заявлением о переоформлении документов в период действия договора обратился Московский фонд реновации жилой застройки, к заявлению о переоформлении документов при отсутствии документа, подтверждающего права на земельный участок, предусмотренного </w:t>
      </w:r>
      <w:hyperlink w:history="0" w:anchor="P1927" w:tooltip="а) копия документа, подтверждающего право собственности или иное предусмотренное законом основание на объект капитального строительства (нежилое помещение в таком объекте капитального строительства) и (или) земельный участок, на котором расположены объекты лица, обратившегося с заявлением о переоформлении документов, либо право собственности или иное предусмотренное законом основание на энергопринимающие устройства (в случае если энергопринимающие устройства лица, обратившегося с заявлением о переоформле...">
        <w:r>
          <w:rPr>
            <w:sz w:val="20"/>
            <w:color w:val="0000ff"/>
          </w:rPr>
          <w:t xml:space="preserve">подпунктом "а" пункта 62</w:t>
        </w:r>
      </w:hyperlink>
      <w:r>
        <w:rPr>
          <w:sz w:val="20"/>
        </w:rPr>
        <w:t xml:space="preserve"> настоящих Правил, прилагается копия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w:t>
      </w:r>
    </w:p>
    <w:p>
      <w:pPr>
        <w:pStyle w:val="0"/>
        <w:jc w:val="both"/>
      </w:pPr>
      <w:r>
        <w:rPr>
          <w:sz w:val="20"/>
        </w:rPr>
        <w:t xml:space="preserve">(абзац введен </w:t>
      </w:r>
      <w:hyperlink w:history="0" r:id="rId1003" w:tooltip="Постановление Правительства РФ от 12.04.2018 N 448 (ред. от 30.11.202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12.04.2018 N 448)</w:t>
      </w:r>
    </w:p>
    <w:p>
      <w:pPr>
        <w:pStyle w:val="0"/>
        <w:spacing w:before="200" w:line-rule="auto"/>
        <w:ind w:firstLine="540"/>
        <w:jc w:val="both"/>
      </w:pPr>
      <w:r>
        <w:rPr>
          <w:sz w:val="20"/>
        </w:rPr>
        <w:t xml:space="preserve">65. Сетевая организация для целей переоформления документов о технологическом присоединении не вправе требовать представления лицом, обратившимся с заявлением о переоформлении документов, сведений и документов, не предусмотренных настоящими Правилами, а заявитель не обязан представлять сведения и документы, не предусмотренные настоящими Правилами.</w:t>
      </w:r>
    </w:p>
    <w:bookmarkStart w:id="1940" w:name="P1940"/>
    <w:bookmarkEnd w:id="1940"/>
    <w:p>
      <w:pPr>
        <w:pStyle w:val="0"/>
        <w:spacing w:before="200" w:line-rule="auto"/>
        <w:ind w:firstLine="540"/>
        <w:jc w:val="both"/>
      </w:pPr>
      <w:r>
        <w:rPr>
          <w:sz w:val="20"/>
        </w:rPr>
        <w:t xml:space="preserve">66. В случае непредставления при подаче заявления о переоформлении документов лицом, обратившимся с заявлением о переоформлении документов, документа, указанного в </w:t>
      </w:r>
      <w:hyperlink w:history="0" w:anchor="P1929" w:tooltip="в) копия технических условий, в том числе оформленных на предыдущего собственника или иного законного владельца ранее присоединенных энергопринимающих устройств (при наличии);">
        <w:r>
          <w:rPr>
            <w:sz w:val="20"/>
            <w:color w:val="0000ff"/>
          </w:rPr>
          <w:t xml:space="preserve">подпункте "в" пункта 62</w:t>
        </w:r>
      </w:hyperlink>
      <w:r>
        <w:rPr>
          <w:sz w:val="20"/>
        </w:rPr>
        <w:t xml:space="preserve"> настоящих Правил, и его отсутствия у сетевой организации сетевая организация в течение 2 рабочих дней со дня представления заявления о переоформлении документов направляет субъекту оперативно-диспетчерского управления запрос о представлении копий технических условий, в случае если в соответствии с настоящими Правилами технические условия подлежали согласованию с субъектом оперативно-диспетчерского управления. Субъект оперативно-диспетчерского управления в течение 2 рабочих дней со дня получения указанного запроса направляет в сетевую организацию копии имеющихся у него технических условий или уведомление об их отсутствии.</w:t>
      </w:r>
    </w:p>
    <w:p>
      <w:pPr>
        <w:pStyle w:val="0"/>
        <w:spacing w:before="200" w:line-rule="auto"/>
        <w:ind w:firstLine="540"/>
        <w:jc w:val="both"/>
      </w:pPr>
      <w:r>
        <w:rPr>
          <w:sz w:val="20"/>
        </w:rPr>
        <w:t xml:space="preserve">67. Сетевая организация не позднее 7 дней со дня получения заявления о переоформлении документов, в том числе по причине перехода права собственности на объект капитального строительства (нежилое помещение в таком объекте капитального строительства) и (или) земельный участок, на котором расположены (будут располагаться) объекты заявителя, либо перехода права собственности или иного предусмотренного законом права на энергопринимающие устройства, выдает в период действия договора дубликаты ранее выданных технических условий или технические условия, оформленные на нового собственника (законного владельца) объекта капитального строительства (земельного участка, энергопринимающего устройства), с обязательным направлением копий в адрес субъекта розничного рынка, указанного в заявке, а в случае смены собственника (законного владельца) ранее присоединенных энергопринимающих устройств - технические условия, оформленные на нового собственника (законного владельца) ранее присоединенных энергопринимающих устройств.</w:t>
      </w:r>
    </w:p>
    <w:p>
      <w:pPr>
        <w:pStyle w:val="0"/>
        <w:jc w:val="both"/>
      </w:pPr>
      <w:r>
        <w:rPr>
          <w:sz w:val="20"/>
        </w:rPr>
        <w:t xml:space="preserve">(в ред. Постановлений Правительства РФ от 22.02.2016 </w:t>
      </w:r>
      <w:hyperlink w:history="0" r:id="rId1004" w:tooltip="Постановление Правительства РФ от 22.02.2016 N 128 &quot;О внесении изменений в некоторые акты Правительства Российской Федерации по вопросам взаимодействия субъектов розничных рынков электрической энергии при заключении договоров энергоснабжения (купли-продажи (поставки) электрической энергии (мощности) с потребителям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N 128</w:t>
        </w:r>
      </w:hyperlink>
      <w:r>
        <w:rPr>
          <w:sz w:val="20"/>
        </w:rPr>
        <w:t xml:space="preserve">, от 11.05.2017 </w:t>
      </w:r>
      <w:hyperlink w:history="0" r:id="rId1005"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N 557</w:t>
        </w:r>
      </w:hyperlink>
      <w:r>
        <w:rPr>
          <w:sz w:val="20"/>
        </w:rPr>
        <w:t xml:space="preserve">)</w:t>
      </w:r>
    </w:p>
    <w:p>
      <w:pPr>
        <w:pStyle w:val="0"/>
        <w:spacing w:before="200" w:line-rule="auto"/>
        <w:ind w:firstLine="540"/>
        <w:jc w:val="both"/>
      </w:pPr>
      <w:r>
        <w:rPr>
          <w:sz w:val="20"/>
        </w:rPr>
        <w:t xml:space="preserve">68. При получении заявления о переоформлении документов в случаях, указанных в </w:t>
      </w:r>
      <w:hyperlink w:history="0" w:anchor="P1915" w:tooltip="а) восстановление утраченных документов о технологическом присоединении;">
        <w:r>
          <w:rPr>
            <w:sz w:val="20"/>
            <w:color w:val="0000ff"/>
          </w:rPr>
          <w:t xml:space="preserve">подпунктах "а"</w:t>
        </w:r>
      </w:hyperlink>
      <w:r>
        <w:rPr>
          <w:sz w:val="20"/>
        </w:rPr>
        <w:t xml:space="preserve"> и </w:t>
      </w:r>
      <w:hyperlink w:history="0" w:anchor="P1916" w:tooltip="б) переоформление документов о технологическом присоединении с целью указания в них информации о максимальной мощности энергопринимающих устройств;">
        <w:r>
          <w:rPr>
            <w:sz w:val="20"/>
            <w:color w:val="0000ff"/>
          </w:rPr>
          <w:t xml:space="preserve">"б" пункта 59</w:t>
        </w:r>
      </w:hyperlink>
      <w:r>
        <w:rPr>
          <w:sz w:val="20"/>
        </w:rPr>
        <w:t xml:space="preserve"> настоящих Правил, сетевая организация в течение 2 рабочих дней направляет субъекту оперативно-диспетчерского управления копию заявления о переоформлении документов и копии приложенных к нему документов, а также копии документов о технологическом присоединении, имеющихся у сетевой организации, в случае если технические условия подлежали согласованию с субъектом оперативно-диспетчерского управления в соответствии с настоящими Правилами.</w:t>
      </w:r>
    </w:p>
    <w:p>
      <w:pPr>
        <w:pStyle w:val="0"/>
        <w:spacing w:before="200" w:line-rule="auto"/>
        <w:ind w:firstLine="540"/>
        <w:jc w:val="both"/>
      </w:pPr>
      <w:r>
        <w:rPr>
          <w:sz w:val="20"/>
        </w:rPr>
        <w:t xml:space="preserve">69. При получении заявления о переоформлении документов в связи со сменой собственника или иного законного владельца ранее присоединенных энергопринимающих устройств или с наступлением иных обстоятельств, вследствие которых возникает необходимость внесения иных изменений, а также в связи с необходимостью указания в них информации о максимальной мощности, если заявителем представлены в сетевую организацию документы, указанные в </w:t>
      </w:r>
      <w:hyperlink w:history="0" w:anchor="P1929" w:tooltip="в) копия технических условий, в том числе оформленных на предыдущего собственника или иного законного владельца ранее присоединенных энергопринимающих устройств (при наличии);">
        <w:r>
          <w:rPr>
            <w:sz w:val="20"/>
            <w:color w:val="0000ff"/>
          </w:rPr>
          <w:t xml:space="preserve">подпунктах "в"</w:t>
        </w:r>
      </w:hyperlink>
      <w:r>
        <w:rPr>
          <w:sz w:val="20"/>
        </w:rPr>
        <w:t xml:space="preserve"> и </w:t>
      </w:r>
      <w:hyperlink w:history="0" w:anchor="P1930" w:tooltip="г) копии акта разграничения границ балансовой принадлежности сторон, акта разграничения эксплуатационной ответственности сторон,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в том числе оформленных на предыдущего собственника или иного законного владельца ранее присоединенных энергопринимающих устройств (при наличии);">
        <w:r>
          <w:rPr>
            <w:sz w:val="20"/>
            <w:color w:val="0000ff"/>
          </w:rPr>
          <w:t xml:space="preserve">"г"</w:t>
        </w:r>
      </w:hyperlink>
      <w:r>
        <w:rPr>
          <w:sz w:val="20"/>
        </w:rPr>
        <w:t xml:space="preserve"> или </w:t>
      </w:r>
      <w:hyperlink w:history="0" w:anchor="P1933" w:tooltip="е) копии иных документов, подтверждающих факт технологического присоединения энергопринимающих устройств к электрическим сетям (в том числе оформленных на предыдущего собственника энергопринимающих устройств) в случае отсутствия документов, предусмотренных подпунктом &quot;г&quot; настоящего пункта.">
        <w:r>
          <w:rPr>
            <w:sz w:val="20"/>
            <w:color w:val="0000ff"/>
          </w:rPr>
          <w:t xml:space="preserve">"е" пункта 62</w:t>
        </w:r>
      </w:hyperlink>
      <w:r>
        <w:rPr>
          <w:sz w:val="20"/>
        </w:rPr>
        <w:t xml:space="preserve"> настоящих Правил, или такие документы имеются в наличии у сетевой организации (с учетом </w:t>
      </w:r>
      <w:hyperlink w:history="0" w:anchor="P1940" w:tooltip="66. В случае непредставления при подаче заявления о переоформлении документов лицом, обратившимся с заявлением о переоформлении документов, документа, указанного в подпункте &quot;в&quot; пункта 62 настоящих Правил, и его отсутствия у сетевой организации сетевая организация в течение 2 рабочих дней со дня представления заявления о переоформлении документов направляет субъекту оперативно-диспетчерского управления запрос о представлении копий технических условий, в случае если в соответствии с настоящими Правилами т...">
        <w:r>
          <w:rPr>
            <w:sz w:val="20"/>
            <w:color w:val="0000ff"/>
          </w:rPr>
          <w:t xml:space="preserve">пункта 66</w:t>
        </w:r>
      </w:hyperlink>
      <w:r>
        <w:rPr>
          <w:sz w:val="20"/>
        </w:rPr>
        <w:t xml:space="preserve"> настоящих Правил), сетевая организация не позднее 7 дней со дня получения заявления о переоформлении документов выдает лицу, обратившемуся с заявлением о переоформлении документов, переоформленные документы о технологическом присоединении, указанные в заявлении о переоформлении документов, с учетом особенностей, установленных </w:t>
      </w:r>
      <w:hyperlink w:history="0" w:anchor="P1924" w:tooltip="61. Лицо, обратившееся с заявлением о переоформлении документов, указывает документы о технологическом присоединении, которые необходимо восстановить (переоформить), и их реквизиты (при наличии). При поступлении в сетевую организацию заявления о переоформлении актов разграничения балансовой принадлежности объектов электроэнергетики (энергопринимающих устройств) сторон и (или) актов разграничения эксплуатационной ответственности сторон сетевая организация подготавливает и выдает обратившемуся лицу акт об ...">
        <w:r>
          <w:rPr>
            <w:sz w:val="20"/>
            <w:color w:val="0000ff"/>
          </w:rPr>
          <w:t xml:space="preserve">пунктом 61</w:t>
        </w:r>
      </w:hyperlink>
      <w:r>
        <w:rPr>
          <w:sz w:val="20"/>
        </w:rPr>
        <w:t xml:space="preserve"> настоящих Правил.</w:t>
      </w:r>
    </w:p>
    <w:p>
      <w:pPr>
        <w:pStyle w:val="0"/>
        <w:jc w:val="both"/>
      </w:pPr>
      <w:r>
        <w:rPr>
          <w:sz w:val="20"/>
        </w:rPr>
        <w:t xml:space="preserve">(в ред. Постановлений Правительства РФ от 30.09.2015 </w:t>
      </w:r>
      <w:hyperlink w:history="0" r:id="rId1006"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1044</w:t>
        </w:r>
      </w:hyperlink>
      <w:r>
        <w:rPr>
          <w:sz w:val="20"/>
        </w:rPr>
        <w:t xml:space="preserve">, от 07.05.2017 </w:t>
      </w:r>
      <w:hyperlink w:history="0" r:id="rId1007"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N 542</w:t>
        </w:r>
      </w:hyperlink>
      <w:r>
        <w:rPr>
          <w:sz w:val="20"/>
        </w:rPr>
        <w:t xml:space="preserve">)</w:t>
      </w:r>
    </w:p>
    <w:p>
      <w:pPr>
        <w:pStyle w:val="0"/>
        <w:spacing w:before="200" w:line-rule="auto"/>
        <w:ind w:firstLine="540"/>
        <w:jc w:val="both"/>
      </w:pPr>
      <w:r>
        <w:rPr>
          <w:sz w:val="20"/>
        </w:rPr>
        <w:t xml:space="preserve">70. В случае если копия технических условий (в том числе оформленных на предыдущего собственника или иного законного владельца энергопринимающих устройств) приложена к заявлению о переоформлении документов или имеется у сетевой организации либо субъекта оперативно-диспетчерского управления, восстановление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осуществляется сетевой организацией после проверки выполнения заявителем технических условий, выполняемой с участием заявителя и субъекта оперативно-диспетчерского управления (в случаях если технические условия в соответствии с настоящими Правилами подлежали согласованию с субъектом оперативно-диспетчерского управления) в соответствии с </w:t>
      </w:r>
      <w:hyperlink w:history="0" w:anchor="P1997" w:tooltip="IX. Порядок проведения проверки выполнения заявителем">
        <w:r>
          <w:rPr>
            <w:sz w:val="20"/>
            <w:color w:val="0000ff"/>
          </w:rPr>
          <w:t xml:space="preserve">разделом IX</w:t>
        </w:r>
      </w:hyperlink>
      <w:r>
        <w:rPr>
          <w:sz w:val="20"/>
        </w:rPr>
        <w:t xml:space="preserve"> настоящих Правил. При этом представление в сетевую организацию документов, предусмотренных </w:t>
      </w:r>
      <w:hyperlink w:history="0" w:anchor="P2017" w:tooltip="85. Для проведения проверки выполнения технических условий заявитель представляет в сетевую организацию уведомление о выполнении технических условий с приложением следующих документов:">
        <w:r>
          <w:rPr>
            <w:sz w:val="20"/>
            <w:color w:val="0000ff"/>
          </w:rPr>
          <w:t xml:space="preserve">пунктами 85</w:t>
        </w:r>
      </w:hyperlink>
      <w:r>
        <w:rPr>
          <w:sz w:val="20"/>
        </w:rPr>
        <w:t xml:space="preserve"> и </w:t>
      </w:r>
      <w:hyperlink w:history="0" w:anchor="P2059" w:tooltip="93. Для проведения проверки выполнения технических условий заявитель и сетевая организация (каждый в отношении принадлежащих им электроустановок (объектов электросетевого хозяйства) направляют уведомление о готовности к проверке выполнения технических условий. К уведомлению о готовности к проверке выполнения технических условий прилагаются следующие документы:">
        <w:r>
          <w:rPr>
            <w:sz w:val="20"/>
            <w:color w:val="0000ff"/>
          </w:rPr>
          <w:t xml:space="preserve">93</w:t>
        </w:r>
      </w:hyperlink>
      <w:r>
        <w:rPr>
          <w:sz w:val="20"/>
        </w:rPr>
        <w:t xml:space="preserve"> настоящих Правил, не требуется.</w:t>
      </w:r>
    </w:p>
    <w:p>
      <w:pPr>
        <w:pStyle w:val="0"/>
        <w:jc w:val="both"/>
      </w:pPr>
      <w:r>
        <w:rPr>
          <w:sz w:val="20"/>
        </w:rPr>
        <w:t xml:space="preserve">(в ред. Постановлений Правительства РФ от 07.05.2017 </w:t>
      </w:r>
      <w:hyperlink w:history="0" r:id="rId1008"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N 542</w:t>
        </w:r>
      </w:hyperlink>
      <w:r>
        <w:rPr>
          <w:sz w:val="20"/>
        </w:rPr>
        <w:t xml:space="preserve">, от 30.06.2022 </w:t>
      </w:r>
      <w:hyperlink w:history="0" r:id="rId1009"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1178</w:t>
        </w:r>
      </w:hyperlink>
      <w:r>
        <w:rPr>
          <w:sz w:val="20"/>
        </w:rPr>
        <w:t xml:space="preserve">)</w:t>
      </w:r>
    </w:p>
    <w:p>
      <w:pPr>
        <w:pStyle w:val="0"/>
        <w:spacing w:before="200" w:line-rule="auto"/>
        <w:ind w:firstLine="540"/>
        <w:jc w:val="both"/>
      </w:pPr>
      <w:r>
        <w:rPr>
          <w:sz w:val="20"/>
        </w:rPr>
        <w:t xml:space="preserve">Срок восстановления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исчисляется со дня представления в сетевую организацию заявления о переоформлении документов и не может превышать 15 дней (в случае если технические условия подлежат согласованию с субъектом оперативно-диспетчерского управления, указанный срок не может превышать 30 дней).</w:t>
      </w:r>
    </w:p>
    <w:p>
      <w:pPr>
        <w:pStyle w:val="0"/>
        <w:jc w:val="both"/>
      </w:pPr>
      <w:r>
        <w:rPr>
          <w:sz w:val="20"/>
        </w:rPr>
        <w:t xml:space="preserve">(в ред. Постановлений Правительства РФ от 07.05.2017 </w:t>
      </w:r>
      <w:hyperlink w:history="0" r:id="rId1010"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N 542</w:t>
        </w:r>
      </w:hyperlink>
      <w:r>
        <w:rPr>
          <w:sz w:val="20"/>
        </w:rPr>
        <w:t xml:space="preserve">, от 30.06.2022 </w:t>
      </w:r>
      <w:hyperlink w:history="0" r:id="rId1011"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1178</w:t>
        </w:r>
      </w:hyperlink>
      <w:r>
        <w:rPr>
          <w:sz w:val="20"/>
        </w:rPr>
        <w:t xml:space="preserve">)</w:t>
      </w:r>
    </w:p>
    <w:bookmarkStart w:id="1950" w:name="P1950"/>
    <w:bookmarkEnd w:id="1950"/>
    <w:p>
      <w:pPr>
        <w:pStyle w:val="0"/>
        <w:spacing w:before="200" w:line-rule="auto"/>
        <w:ind w:firstLine="540"/>
        <w:jc w:val="both"/>
      </w:pPr>
      <w:r>
        <w:rPr>
          <w:sz w:val="20"/>
        </w:rPr>
        <w:t xml:space="preserve">71. При получении заявления о переоформлении документов в связи с необходимостью восстановления утраченных технических условий, если к заявлению о переоформлении документов приложены документы, указанные в </w:t>
      </w:r>
      <w:hyperlink w:history="0" w:anchor="P1930" w:tooltip="г) копии акта разграничения границ балансовой принадлежности сторон, акта разграничения эксплуатационной ответственности сторон,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в том числе оформленных на предыдущего собственника или иного законного владельца ранее присоединенных энергопринимающих устройств (при наличии);">
        <w:r>
          <w:rPr>
            <w:sz w:val="20"/>
            <w:color w:val="0000ff"/>
          </w:rPr>
          <w:t xml:space="preserve">подпунктах "г"</w:t>
        </w:r>
      </w:hyperlink>
      <w:r>
        <w:rPr>
          <w:sz w:val="20"/>
        </w:rPr>
        <w:t xml:space="preserve"> или </w:t>
      </w:r>
      <w:hyperlink w:history="0" w:anchor="P1933" w:tooltip="е) копии иных документов, подтверждающих факт технологического присоединения энергопринимающих устройств к электрическим сетям (в том числе оформленных на предыдущего собственника энергопринимающих устройств) в случае отсутствия документов, предусмотренных подпунктом &quot;г&quot; настоящего пункта.">
        <w:r>
          <w:rPr>
            <w:sz w:val="20"/>
            <w:color w:val="0000ff"/>
          </w:rPr>
          <w:t xml:space="preserve">"е" пункта 62</w:t>
        </w:r>
      </w:hyperlink>
      <w:r>
        <w:rPr>
          <w:sz w:val="20"/>
        </w:rPr>
        <w:t xml:space="preserve"> настоящих Правил, или такие документы имеются в наличии у сетевой организации, сетевая организация осуществляет подготовку и выдачу лицу, обратившемуся с заявлением о переоформлении документов, новых технических условий.</w:t>
      </w:r>
    </w:p>
    <w:p>
      <w:pPr>
        <w:pStyle w:val="0"/>
        <w:spacing w:before="200" w:line-rule="auto"/>
        <w:ind w:firstLine="540"/>
        <w:jc w:val="both"/>
      </w:pPr>
      <w:r>
        <w:rPr>
          <w:sz w:val="20"/>
        </w:rPr>
        <w:t xml:space="preserve">Сетевая организация подготавливает технические условия в соответствии с положениями, предусмотренными </w:t>
      </w:r>
      <w:hyperlink w:history="0" w:anchor="P1958" w:tooltip="73. В случаях, предусмотренных пунктами 71 и 72 настоящих Правил, сетевая организация подготавливает и выдает лицу, обратившемуся с заявлением о переоформлении документов, согласованные с субъектом оперативно-диспетчерского управления (в случаях если технические условия в соответствии с настоящими Правилами подлежат согласованию с субъектом оперативно-диспетчерского управления) технические условия на основании документов, указанных в подпунктах &quot;г&quot; или &quot;е&quot; пункта 62 настоящих Правил, а при их отсутствии ...">
        <w:r>
          <w:rPr>
            <w:sz w:val="20"/>
            <w:color w:val="0000ff"/>
          </w:rPr>
          <w:t xml:space="preserve">пунктом 73</w:t>
        </w:r>
      </w:hyperlink>
      <w:r>
        <w:rPr>
          <w:sz w:val="20"/>
        </w:rPr>
        <w:t xml:space="preserve"> настоящих Правил.</w:t>
      </w:r>
    </w:p>
    <w:p>
      <w:pPr>
        <w:pStyle w:val="0"/>
        <w:spacing w:before="200" w:line-rule="auto"/>
        <w:ind w:firstLine="540"/>
        <w:jc w:val="both"/>
      </w:pPr>
      <w:r>
        <w:rPr>
          <w:sz w:val="20"/>
        </w:rPr>
        <w:t xml:space="preserve">Срок восстановления и выдачи заявителю новых технических условий исчисляется со дня представления в сетевую организацию заявления о переоформлении документов и не может превышать 10 дней (в случае если технические условия подлежат согласованию с субъектом оперативно-диспетчерского управления, указанный срок не может превышать 25 дней).</w:t>
      </w:r>
    </w:p>
    <w:bookmarkStart w:id="1953" w:name="P1953"/>
    <w:bookmarkEnd w:id="1953"/>
    <w:p>
      <w:pPr>
        <w:pStyle w:val="0"/>
        <w:spacing w:before="200" w:line-rule="auto"/>
        <w:ind w:firstLine="540"/>
        <w:jc w:val="both"/>
      </w:pPr>
      <w:r>
        <w:rPr>
          <w:sz w:val="20"/>
        </w:rPr>
        <w:t xml:space="preserve">72. При отсутствии у лица, обратившегося с заявлением о переоформлении документов, и сетевой организации документов, предусмотренных </w:t>
      </w:r>
      <w:hyperlink w:history="0" w:anchor="P1929" w:tooltip="в) копия технических условий, в том числе оформленных на предыдущего собственника или иного законного владельца ранее присоединенных энергопринимающих устройств (при наличии);">
        <w:r>
          <w:rPr>
            <w:sz w:val="20"/>
            <w:color w:val="0000ff"/>
          </w:rPr>
          <w:t xml:space="preserve">подпунктами "в"</w:t>
        </w:r>
      </w:hyperlink>
      <w:r>
        <w:rPr>
          <w:sz w:val="20"/>
        </w:rPr>
        <w:t xml:space="preserve">, </w:t>
      </w:r>
      <w:hyperlink w:history="0" w:anchor="P1930" w:tooltip="г) копии акта разграничения границ балансовой принадлежности сторон, акта разграничения эксплуатационной ответственности сторон,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в том числе оформленных на предыдущего собственника или иного законного владельца ранее присоединенных энергопринимающих устройств (при наличии);">
        <w:r>
          <w:rPr>
            <w:sz w:val="20"/>
            <w:color w:val="0000ff"/>
          </w:rPr>
          <w:t xml:space="preserve">"г"</w:t>
        </w:r>
      </w:hyperlink>
      <w:r>
        <w:rPr>
          <w:sz w:val="20"/>
        </w:rPr>
        <w:t xml:space="preserve"> и </w:t>
      </w:r>
      <w:hyperlink w:history="0" w:anchor="P1933" w:tooltip="е) копии иных документов, подтверждающих факт технологического присоединения энергопринимающих устройств к электрическим сетям (в том числе оформленных на предыдущего собственника энергопринимающих устройств) в случае отсутствия документов, предусмотренных подпунктом &quot;г&quot; настоящего пункта.">
        <w:r>
          <w:rPr>
            <w:sz w:val="20"/>
            <w:color w:val="0000ff"/>
          </w:rPr>
          <w:t xml:space="preserve">"е" пункта 62</w:t>
        </w:r>
      </w:hyperlink>
      <w:r>
        <w:rPr>
          <w:sz w:val="20"/>
        </w:rPr>
        <w:t xml:space="preserve"> настоящих Правил, сетевая организация при получении заявления о переоформлении документов в связи с необходимостью восстановления утраченных (полностью или частично) документов о технологическом присоединении (в том числе технических условий):</w:t>
      </w:r>
    </w:p>
    <w:p>
      <w:pPr>
        <w:pStyle w:val="0"/>
        <w:spacing w:before="200" w:line-rule="auto"/>
        <w:ind w:firstLine="540"/>
        <w:jc w:val="both"/>
      </w:pPr>
      <w:r>
        <w:rPr>
          <w:sz w:val="20"/>
        </w:rPr>
        <w:t xml:space="preserve">а) в случае если технические условия в соответствии с настоящими Правилами не подлежат (не подлежали) согласованию с субъектом оперативно-диспетчерского управления, проводит с участием заявителя осмотр энергопринимающих устройств лица, обратившегося с заявлением о переоформлении документов, с целью определения фактической схемы присоединения энергопринимающих устройств к электрическим сетям сетевой организации и по его итогам подготавливает и направляет лицу, обратившемуся с заявлением о переоформлении документов, технические условия и акт об осуществлении технологического присоединения в течение 15 дней со дня получения заявления о переоформлении документов;</w:t>
      </w:r>
    </w:p>
    <w:p>
      <w:pPr>
        <w:pStyle w:val="0"/>
        <w:jc w:val="both"/>
      </w:pPr>
      <w:r>
        <w:rPr>
          <w:sz w:val="20"/>
        </w:rPr>
        <w:t xml:space="preserve">(в ред. </w:t>
      </w:r>
      <w:hyperlink w:history="0" r:id="rId1012"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Постановления</w:t>
        </w:r>
      </w:hyperlink>
      <w:r>
        <w:rPr>
          <w:sz w:val="20"/>
        </w:rPr>
        <w:t xml:space="preserve"> Правительства РФ от 07.05.2017 N 542)</w:t>
      </w:r>
    </w:p>
    <w:p>
      <w:pPr>
        <w:pStyle w:val="0"/>
        <w:spacing w:before="200" w:line-rule="auto"/>
        <w:ind w:firstLine="540"/>
        <w:jc w:val="both"/>
      </w:pPr>
      <w:r>
        <w:rPr>
          <w:sz w:val="20"/>
        </w:rPr>
        <w:t xml:space="preserve">б) в случае если в соответствии с настоящими Правилами технические условия подлежат (подлежали) согласованию с субъектом оперативно-диспетчерского управления, проводит с участием заявителя осмотр энергопринимающих устройств лица, обратившегося с заявлением о переоформлении документов, с целью определения фактической схемы присоединения энергопринимающих устройств к электрическим сетям сетевой организации, по его итогам подготавливает и согласовывает технические условия с субъектом оперативно-диспетчерского управления, направляет согласованные с субъектом оперативно-диспетчерского управления технические условия лицу, обратившемуся с заявлением о переоформлении документов, а также проводит проверку выполнения технических условий в соответствии с </w:t>
      </w:r>
      <w:hyperlink w:history="0" w:anchor="P1997" w:tooltip="IX. Порядок проведения проверки выполнения заявителем">
        <w:r>
          <w:rPr>
            <w:sz w:val="20"/>
            <w:color w:val="0000ff"/>
          </w:rPr>
          <w:t xml:space="preserve">разделом IX</w:t>
        </w:r>
      </w:hyperlink>
      <w:r>
        <w:rPr>
          <w:sz w:val="20"/>
        </w:rPr>
        <w:t xml:space="preserve"> настоящих Правил. При этом сетевая организация направляет субъекту оперативно-диспетчерского управления технические условия не позднее 7 дней со дня получения заявления о переоформлении документов. При проведении проверки выполнения технических условий представление в сетевую организацию документов, предусмотренных </w:t>
      </w:r>
      <w:hyperlink w:history="0" w:anchor="P1997" w:tooltip="IX. Порядок проведения проверки выполнения заявителем">
        <w:r>
          <w:rPr>
            <w:sz w:val="20"/>
            <w:color w:val="0000ff"/>
          </w:rPr>
          <w:t xml:space="preserve">пунктом 93</w:t>
        </w:r>
      </w:hyperlink>
      <w:r>
        <w:rPr>
          <w:sz w:val="20"/>
        </w:rPr>
        <w:t xml:space="preserve"> настоящих Правил, не требуется. Срок проведения указанных мероприятий, включая выдачу лицу, обратившемуся с заявлением о переоформлении документов, восстановленных технических условий и акта об осуществлении технологического присоединения, не может превышать 45 дней со дня получения заявления о переоформлении документов.</w:t>
      </w:r>
    </w:p>
    <w:p>
      <w:pPr>
        <w:pStyle w:val="0"/>
        <w:jc w:val="both"/>
      </w:pPr>
      <w:r>
        <w:rPr>
          <w:sz w:val="20"/>
        </w:rPr>
        <w:t xml:space="preserve">(в ред. </w:t>
      </w:r>
      <w:hyperlink w:history="0" r:id="rId1013"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Постановления</w:t>
        </w:r>
      </w:hyperlink>
      <w:r>
        <w:rPr>
          <w:sz w:val="20"/>
        </w:rPr>
        <w:t xml:space="preserve"> Правительства РФ от 07.05.2017 N 542)</w:t>
      </w:r>
    </w:p>
    <w:bookmarkStart w:id="1958" w:name="P1958"/>
    <w:bookmarkEnd w:id="1958"/>
    <w:p>
      <w:pPr>
        <w:pStyle w:val="0"/>
        <w:spacing w:before="200" w:line-rule="auto"/>
        <w:ind w:firstLine="540"/>
        <w:jc w:val="both"/>
      </w:pPr>
      <w:r>
        <w:rPr>
          <w:sz w:val="20"/>
        </w:rPr>
        <w:t xml:space="preserve">73. В случаях, предусмотренных </w:t>
      </w:r>
      <w:hyperlink w:history="0" w:anchor="P1950" w:tooltip="71. При получении заявления о переоформлении документов в связи с необходимостью восстановления утраченных технических условий, если к заявлению о переоформлении документов приложены документы, указанные в подпунктах &quot;г&quot; или &quot;е&quot; пункта 62 настоящих Правил, или такие документы имеются в наличии у сетевой организации, сетевая организация осуществляет подготовку и выдачу лицу, обратившемуся с заявлением о переоформлении документов, новых технических условий.">
        <w:r>
          <w:rPr>
            <w:sz w:val="20"/>
            <w:color w:val="0000ff"/>
          </w:rPr>
          <w:t xml:space="preserve">пунктами 71</w:t>
        </w:r>
      </w:hyperlink>
      <w:r>
        <w:rPr>
          <w:sz w:val="20"/>
        </w:rPr>
        <w:t xml:space="preserve"> и </w:t>
      </w:r>
      <w:hyperlink w:history="0" w:anchor="P1953" w:tooltip="72. При отсутствии у лица, обратившегося с заявлением о переоформлении документов, и сетевой организации документов, предусмотренных подпунктами &quot;в&quot;, &quot;г&quot; и &quot;е&quot; пункта 62 настоящих Правил, сетевая организация при получении заявления о переоформлении документов в связи с необходимостью восстановления утраченных (полностью или частично) документов о технологическом присоединении (в том числе технических условий):">
        <w:r>
          <w:rPr>
            <w:sz w:val="20"/>
            <w:color w:val="0000ff"/>
          </w:rPr>
          <w:t xml:space="preserve">72</w:t>
        </w:r>
      </w:hyperlink>
      <w:r>
        <w:rPr>
          <w:sz w:val="20"/>
        </w:rPr>
        <w:t xml:space="preserve"> настоящих Правил, сетевая организация подготавливает и выдает лицу, обратившемуся с заявлением о переоформлении документов, согласованные с субъектом оперативно-диспетчерского управления (в случаях если технические условия в соответствии с настоящими Правилами подлежат согласованию с субъектом оперативно-диспетчерского управления) технические условия на основании документов, указанных в </w:t>
      </w:r>
      <w:hyperlink w:history="0" w:anchor="P1930" w:tooltip="г) копии акта разграничения границ балансовой принадлежности сторон, акта разграничения эксплуатационной ответственности сторон,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в том числе оформленных на предыдущего собственника или иного законного владельца ранее присоединенных энергопринимающих устройств (при наличии);">
        <w:r>
          <w:rPr>
            <w:sz w:val="20"/>
            <w:color w:val="0000ff"/>
          </w:rPr>
          <w:t xml:space="preserve">подпунктах "г"</w:t>
        </w:r>
      </w:hyperlink>
      <w:r>
        <w:rPr>
          <w:sz w:val="20"/>
        </w:rPr>
        <w:t xml:space="preserve"> или </w:t>
      </w:r>
      <w:hyperlink w:history="0" w:anchor="P1933" w:tooltip="е) копии иных документов, подтверждающих факт технологического присоединения энергопринимающих устройств к электрическим сетям (в том числе оформленных на предыдущего собственника энергопринимающих устройств) в случае отсутствия документов, предусмотренных подпунктом &quot;г&quot; настоящего пункта.">
        <w:r>
          <w:rPr>
            <w:sz w:val="20"/>
            <w:color w:val="0000ff"/>
          </w:rPr>
          <w:t xml:space="preserve">"е" пункта 62</w:t>
        </w:r>
      </w:hyperlink>
      <w:r>
        <w:rPr>
          <w:sz w:val="20"/>
        </w:rPr>
        <w:t xml:space="preserve"> настоящих Правил, а при их отсутствии - на основании фактической схемы электроснабжения энергопринимающих устройств заявителя.</w:t>
      </w:r>
    </w:p>
    <w:p>
      <w:pPr>
        <w:pStyle w:val="0"/>
        <w:spacing w:before="200" w:line-rule="auto"/>
        <w:ind w:firstLine="540"/>
        <w:jc w:val="both"/>
      </w:pPr>
      <w:r>
        <w:rPr>
          <w:sz w:val="20"/>
        </w:rPr>
        <w:t xml:space="preserve">В восстанавливаемых технических условиях указываются следующие сведения:</w:t>
      </w:r>
    </w:p>
    <w:p>
      <w:pPr>
        <w:pStyle w:val="0"/>
        <w:spacing w:before="200" w:line-rule="auto"/>
        <w:ind w:firstLine="540"/>
        <w:jc w:val="both"/>
      </w:pPr>
      <w:r>
        <w:rPr>
          <w:sz w:val="20"/>
        </w:rPr>
        <w:t xml:space="preserve">схемы приема мощности и точки присоединения (вводные распределительные устройства, линии электропередачи, базовые подстанции);</w:t>
      </w:r>
    </w:p>
    <w:p>
      <w:pPr>
        <w:pStyle w:val="0"/>
        <w:spacing w:before="200" w:line-rule="auto"/>
        <w:ind w:firstLine="540"/>
        <w:jc w:val="both"/>
      </w:pPr>
      <w:r>
        <w:rPr>
          <w:sz w:val="20"/>
        </w:rPr>
        <w:t xml:space="preserve">максимальная мощность и ее распределение по каждой точке присоединения к объектам электросетевого хозяйства;</w:t>
      </w:r>
    </w:p>
    <w:p>
      <w:pPr>
        <w:pStyle w:val="0"/>
        <w:spacing w:before="200" w:line-rule="auto"/>
        <w:ind w:firstLine="540"/>
        <w:jc w:val="both"/>
      </w:pPr>
      <w:r>
        <w:rPr>
          <w:sz w:val="20"/>
        </w:rPr>
        <w:t xml:space="preserve">требования к устройствам релейной защиты, регулированию реактивной мощности, противоаварийной и режимной автоматике, телемеханике, связи, изоляции и защите от перенапряжения, а также к контролю и поддержанию качества электроэнергии, к приборам учета электрической энергии и мощности (активной и реактивной).</w:t>
      </w:r>
    </w:p>
    <w:p>
      <w:pPr>
        <w:pStyle w:val="0"/>
        <w:spacing w:before="200" w:line-rule="auto"/>
        <w:ind w:firstLine="540"/>
        <w:jc w:val="both"/>
      </w:pPr>
      <w:r>
        <w:rPr>
          <w:sz w:val="20"/>
        </w:rPr>
        <w:t xml:space="preserve">В восстанавливаемых технических условиях заявителей,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указываются следующие сведения:</w:t>
      </w:r>
    </w:p>
    <w:p>
      <w:pPr>
        <w:pStyle w:val="0"/>
        <w:spacing w:before="200" w:line-rule="auto"/>
        <w:ind w:firstLine="540"/>
        <w:jc w:val="both"/>
      </w:pPr>
      <w:r>
        <w:rPr>
          <w:sz w:val="20"/>
        </w:rPr>
        <w:t xml:space="preserve">схемы приема мощности и точки присоединения (вводные распределительные устройства, линии электропередачи, базовые подстанции);</w:t>
      </w:r>
    </w:p>
    <w:p>
      <w:pPr>
        <w:pStyle w:val="0"/>
        <w:spacing w:before="200" w:line-rule="auto"/>
        <w:ind w:firstLine="540"/>
        <w:jc w:val="both"/>
      </w:pPr>
      <w:r>
        <w:rPr>
          <w:sz w:val="20"/>
        </w:rPr>
        <w:t xml:space="preserve">максимальная мощность и ее распределение по каждой точке присоединения к объектам электросетевого хозяйства;</w:t>
      </w:r>
    </w:p>
    <w:p>
      <w:pPr>
        <w:pStyle w:val="0"/>
        <w:spacing w:before="200" w:line-rule="auto"/>
        <w:ind w:firstLine="540"/>
        <w:jc w:val="both"/>
      </w:pPr>
      <w:r>
        <w:rPr>
          <w:sz w:val="20"/>
        </w:rPr>
        <w:t xml:space="preserve">требования к приборам учета электрической энергии (мощности), устройствам релейной защиты и устройствам, обеспечивающим контроль величины максимальной мощности.</w:t>
      </w:r>
    </w:p>
    <w:p>
      <w:pPr>
        <w:pStyle w:val="0"/>
        <w:spacing w:before="200" w:line-rule="auto"/>
        <w:ind w:firstLine="540"/>
        <w:jc w:val="both"/>
      </w:pPr>
      <w:r>
        <w:rPr>
          <w:sz w:val="20"/>
        </w:rPr>
        <w:t xml:space="preserve">Включение других требований в технические условия не допускается.</w:t>
      </w:r>
    </w:p>
    <w:p>
      <w:pPr>
        <w:pStyle w:val="0"/>
        <w:spacing w:before="200" w:line-rule="auto"/>
        <w:ind w:firstLine="540"/>
        <w:jc w:val="both"/>
      </w:pPr>
      <w:r>
        <w:rPr>
          <w:sz w:val="20"/>
        </w:rPr>
        <w:t xml:space="preserve">В целях определения фактической схемы электроснабжения сетевая организация с участием заявителя осуществляет осмотр ранее присоединенных энергопринимающих устройств, по результатам которого сетевой организацией и заявителем составляется и подписывается акт о выполнении технических условий по форме согласно </w:t>
      </w:r>
      <w:hyperlink w:history="0" w:anchor="P5210" w:tooltip="                                    АКТ">
        <w:r>
          <w:rPr>
            <w:sz w:val="20"/>
            <w:color w:val="0000ff"/>
          </w:rPr>
          <w:t xml:space="preserve">приложению N 15</w:t>
        </w:r>
      </w:hyperlink>
      <w:r>
        <w:rPr>
          <w:sz w:val="20"/>
        </w:rPr>
        <w:t xml:space="preserve">, включающий однолинейную схему электрических сетей внешнего электроснабжения энергопринимающих устройств.</w:t>
      </w:r>
    </w:p>
    <w:p>
      <w:pPr>
        <w:pStyle w:val="0"/>
        <w:jc w:val="both"/>
      </w:pPr>
      <w:r>
        <w:rPr>
          <w:sz w:val="20"/>
        </w:rPr>
        <w:t xml:space="preserve">(в ред. </w:t>
      </w:r>
      <w:hyperlink w:history="0" r:id="rId1014"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Постановления</w:t>
        </w:r>
      </w:hyperlink>
      <w:r>
        <w:rPr>
          <w:sz w:val="20"/>
        </w:rPr>
        <w:t xml:space="preserve"> Правительства РФ от 07.05.2017 N 542)</w:t>
      </w:r>
    </w:p>
    <w:p>
      <w:pPr>
        <w:pStyle w:val="0"/>
        <w:spacing w:before="200" w:line-rule="auto"/>
        <w:ind w:firstLine="540"/>
        <w:jc w:val="both"/>
      </w:pPr>
      <w:r>
        <w:rPr>
          <w:sz w:val="20"/>
        </w:rPr>
        <w:t xml:space="preserve">74. При получении сетевой организацией заявления о переоформлении документов от лица, технологическое присоединение энергопринимающих устройств которого состоялось после 1 января 2010 г. либо документы о технологическом присоединении энергопринимающих устройств которого составлены (переоформлены) после указанной даты, сетевая организация вне зависимости от наличия документов, указанных в </w:t>
      </w:r>
      <w:hyperlink w:history="0" w:anchor="P1929" w:tooltip="в) копия технических условий, в том числе оформленных на предыдущего собственника или иного законного владельца ранее присоединенных энергопринимающих устройств (при наличии);">
        <w:r>
          <w:rPr>
            <w:sz w:val="20"/>
            <w:color w:val="0000ff"/>
          </w:rPr>
          <w:t xml:space="preserve">подпунктах "в"</w:t>
        </w:r>
      </w:hyperlink>
      <w:r>
        <w:rPr>
          <w:sz w:val="20"/>
        </w:rPr>
        <w:t xml:space="preserve"> - </w:t>
      </w:r>
      <w:hyperlink w:history="0" w:anchor="P1933" w:tooltip="е) копии иных документов, подтверждающих факт технологического присоединения энергопринимающих устройств к электрическим сетям (в том числе оформленных на предыдущего собственника энергопринимающих устройств) в случае отсутствия документов, предусмотренных подпунктом &quot;г&quot; настоящего пункта.">
        <w:r>
          <w:rPr>
            <w:sz w:val="20"/>
            <w:color w:val="0000ff"/>
          </w:rPr>
          <w:t xml:space="preserve">"е" пункта 62</w:t>
        </w:r>
      </w:hyperlink>
      <w:r>
        <w:rPr>
          <w:sz w:val="20"/>
        </w:rPr>
        <w:t xml:space="preserve"> настоящих Правил, прилагаемых к заявлению о переоформлении документов, не позднее 7 дней со дня получения заявления о переоформлении документов выдает дубликаты ранее оформленных документов о технологическом присоединении либо восстановленные (переоформленные) документы о технологическом присоединении.</w:t>
      </w:r>
    </w:p>
    <w:p>
      <w:pPr>
        <w:pStyle w:val="0"/>
        <w:jc w:val="both"/>
      </w:pPr>
      <w:r>
        <w:rPr>
          <w:sz w:val="20"/>
        </w:rPr>
        <w:t xml:space="preserve">(в ред. </w:t>
      </w:r>
      <w:hyperlink w:history="0" r:id="rId1015"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Постановления</w:t>
        </w:r>
      </w:hyperlink>
      <w:r>
        <w:rPr>
          <w:sz w:val="20"/>
        </w:rPr>
        <w:t xml:space="preserve"> Правительства РФ от 07.05.2017 N 542)</w:t>
      </w:r>
    </w:p>
    <w:p>
      <w:pPr>
        <w:pStyle w:val="0"/>
        <w:spacing w:before="200" w:line-rule="auto"/>
        <w:ind w:firstLine="540"/>
        <w:jc w:val="both"/>
      </w:pPr>
      <w:r>
        <w:rPr>
          <w:sz w:val="20"/>
        </w:rPr>
        <w:t xml:space="preserve">Если для лица, подавшего заявление о переоформлении документов в соответствии с настоящим пунктом, по результатам проведения процедуры технологического присоединения были составлены акт разграничения балансовой принадлежности объектов электроэнергетики (энергопринимающих устройств) сторон, акт разграничения эксплуатационной ответственности сторон и акт об осуществлении технологического присоединения, сетевая организация на основании ранее составленных документов составляет и выдает акт об осуществлении технологического присоединения по форме, предусмотренной </w:t>
      </w:r>
      <w:hyperlink w:history="0" w:anchor="P2176" w:tooltip="                                    АКТ">
        <w:r>
          <w:rPr>
            <w:sz w:val="20"/>
            <w:color w:val="0000ff"/>
          </w:rPr>
          <w:t xml:space="preserve">приложением N 1</w:t>
        </w:r>
      </w:hyperlink>
      <w:r>
        <w:rPr>
          <w:sz w:val="20"/>
        </w:rP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 их дубликаты не выдаются.</w:t>
      </w:r>
    </w:p>
    <w:p>
      <w:pPr>
        <w:pStyle w:val="0"/>
        <w:jc w:val="both"/>
      </w:pPr>
      <w:r>
        <w:rPr>
          <w:sz w:val="20"/>
        </w:rPr>
        <w:t xml:space="preserve">(абзац введен </w:t>
      </w:r>
      <w:hyperlink w:history="0" r:id="rId1016"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Постановлением</w:t>
        </w:r>
      </w:hyperlink>
      <w:r>
        <w:rPr>
          <w:sz w:val="20"/>
        </w:rPr>
        <w:t xml:space="preserve"> Правительства РФ от 07.05.2017 N 542)</w:t>
      </w:r>
    </w:p>
    <w:p>
      <w:pPr>
        <w:pStyle w:val="0"/>
        <w:spacing w:before="200" w:line-rule="auto"/>
        <w:ind w:firstLine="540"/>
        <w:jc w:val="both"/>
      </w:pPr>
      <w:r>
        <w:rPr>
          <w:sz w:val="20"/>
        </w:rPr>
        <w:t xml:space="preserve">75. Условия технологического присоединения, в том числе величина максимальной мощности энергопринимающих устройств, в новых технических условиях и акте об осуществлении технологического присоединения должны быть идентичны условиям, указанным в ранее выданных документах о технологическом присоединении.</w:t>
      </w:r>
    </w:p>
    <w:p>
      <w:pPr>
        <w:pStyle w:val="0"/>
        <w:jc w:val="both"/>
      </w:pPr>
      <w:r>
        <w:rPr>
          <w:sz w:val="20"/>
        </w:rPr>
        <w:t xml:space="preserve">(в ред. </w:t>
      </w:r>
      <w:hyperlink w:history="0" r:id="rId1017"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Постановления</w:t>
        </w:r>
      </w:hyperlink>
      <w:r>
        <w:rPr>
          <w:sz w:val="20"/>
        </w:rPr>
        <w:t xml:space="preserve"> Правительства РФ от 07.05.2017 N 542)</w:t>
      </w:r>
    </w:p>
    <w:p>
      <w:pPr>
        <w:pStyle w:val="0"/>
        <w:spacing w:before="200" w:line-rule="auto"/>
        <w:ind w:firstLine="540"/>
        <w:jc w:val="both"/>
      </w:pPr>
      <w:r>
        <w:rPr>
          <w:sz w:val="20"/>
        </w:rPr>
        <w:t xml:space="preserve">76. В случае если на основании сведений, содержащихся в имеющихся документах о технологическом присоединении или документах, указанных в </w:t>
      </w:r>
      <w:hyperlink w:history="0" w:anchor="P1932" w:tooltip="д)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релейной защите и автоматике, телемеханике и связи (прилагаются при отсутствии технических условий или отсутствии в них и имеющихся документах о технологическом присоединении информации о максимальной мощности ранее присоединенных энергопринимающих устройств, если при этом в соответствии с законодательством Российской Федер...">
        <w:r>
          <w:rPr>
            <w:sz w:val="20"/>
            <w:color w:val="0000ff"/>
          </w:rPr>
          <w:t xml:space="preserve">подпунктах "д"</w:t>
        </w:r>
      </w:hyperlink>
      <w:r>
        <w:rPr>
          <w:sz w:val="20"/>
        </w:rPr>
        <w:t xml:space="preserve"> и </w:t>
      </w:r>
      <w:hyperlink w:history="0" w:anchor="P1933" w:tooltip="е) копии иных документов, подтверждающих факт технологического присоединения энергопринимающих устройств к электрическим сетям (в том числе оформленных на предыдущего собственника энергопринимающих устройств) в случае отсутствия документов, предусмотренных подпунктом &quot;г&quot; настоящего пункта.">
        <w:r>
          <w:rPr>
            <w:sz w:val="20"/>
            <w:color w:val="0000ff"/>
          </w:rPr>
          <w:t xml:space="preserve">"е" пункта 62</w:t>
        </w:r>
      </w:hyperlink>
      <w:r>
        <w:rPr>
          <w:sz w:val="20"/>
        </w:rPr>
        <w:t xml:space="preserve"> настоящих Правил, не представляется возможным определить величину максимальной мощности ранее присоединенных энергопринимающих устройств (в том числе расчетным способом) и иное не установлено соглашением сторон, при этом в таких документах величина мощности указана в мегавольт-амперах, сетевая организация в новых технических условиях и (или) акте об осуществлении технологического присоединения указывает величину максимальной мощности в киловаттах.</w:t>
      </w:r>
    </w:p>
    <w:p>
      <w:pPr>
        <w:pStyle w:val="0"/>
        <w:jc w:val="both"/>
      </w:pPr>
      <w:r>
        <w:rPr>
          <w:sz w:val="20"/>
        </w:rPr>
        <w:t xml:space="preserve">(в ред. </w:t>
      </w:r>
      <w:hyperlink w:history="0" r:id="rId1018"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Постановления</w:t>
        </w:r>
      </w:hyperlink>
      <w:r>
        <w:rPr>
          <w:sz w:val="20"/>
        </w:rPr>
        <w:t xml:space="preserve"> Правительства РФ от 07.05.2017 N 542)</w:t>
      </w:r>
    </w:p>
    <w:p>
      <w:pPr>
        <w:pStyle w:val="0"/>
        <w:spacing w:before="200" w:line-rule="auto"/>
        <w:ind w:firstLine="540"/>
        <w:jc w:val="both"/>
      </w:pPr>
      <w:r>
        <w:rPr>
          <w:sz w:val="20"/>
        </w:rPr>
        <w:t xml:space="preserve">Перерасчет величины максимальной мощности осуществляется сетевой организацией исходя из величины мощности энергопринимающих устройств заявителя, указанной в мегавольт-амперах в имеющихся у заявителя документах о технологическом присоединении, и коэффициента соотношения потребления активной и реактивной мощности (коэффициента реактивной мощности).</w:t>
      </w:r>
    </w:p>
    <w:p>
      <w:pPr>
        <w:pStyle w:val="0"/>
        <w:spacing w:before="200" w:line-rule="auto"/>
        <w:ind w:firstLine="540"/>
        <w:jc w:val="both"/>
      </w:pPr>
      <w:r>
        <w:rPr>
          <w:sz w:val="20"/>
        </w:rPr>
        <w:t xml:space="preserve">В случае отсутствия в документах о технологическом присоединении информации о коэффициенте соотношения потребления активной и реактивной мощности для расчета величины максимальной мощности в киловаттах применяются следующие коэффициенты:</w:t>
      </w:r>
    </w:p>
    <w:p>
      <w:pPr>
        <w:pStyle w:val="0"/>
        <w:spacing w:before="200" w:line-rule="auto"/>
        <w:ind w:firstLine="540"/>
        <w:jc w:val="both"/>
      </w:pPr>
      <w:r>
        <w:rPr>
          <w:sz w:val="20"/>
        </w:rPr>
        <w:t xml:space="preserve">0,35 - для точек присоединения напряжением менее 6 кВ;</w:t>
      </w:r>
    </w:p>
    <w:p>
      <w:pPr>
        <w:pStyle w:val="0"/>
        <w:spacing w:before="200" w:line-rule="auto"/>
        <w:ind w:firstLine="540"/>
        <w:jc w:val="both"/>
      </w:pPr>
      <w:r>
        <w:rPr>
          <w:sz w:val="20"/>
        </w:rPr>
        <w:t xml:space="preserve">0,4 - для точек присоединения напряжением 6 кВ и выше;</w:t>
      </w:r>
    </w:p>
    <w:p>
      <w:pPr>
        <w:pStyle w:val="0"/>
        <w:spacing w:before="200" w:line-rule="auto"/>
        <w:ind w:firstLine="540"/>
        <w:jc w:val="both"/>
      </w:pPr>
      <w:r>
        <w:rPr>
          <w:sz w:val="20"/>
        </w:rPr>
        <w:t xml:space="preserve">0,5 - для точек присоединения напряжением 110 кВ и выше.</w:t>
      </w:r>
    </w:p>
    <w:p>
      <w:pPr>
        <w:pStyle w:val="0"/>
        <w:spacing w:before="200" w:line-rule="auto"/>
        <w:ind w:firstLine="540"/>
        <w:jc w:val="both"/>
      </w:pPr>
      <w:r>
        <w:rPr>
          <w:sz w:val="20"/>
        </w:rPr>
        <w:t xml:space="preserve">77. В случае отсутствия у лица, обратившегося с заявлением о переоформлении документов, документов о технологическом присоединении, а также в случае, если в таких документах не указана величина максимальной мощности ранее присоединенных энергопринимающих устройств (в том числе расчетным способом) и иное не установлено соглашением сторон, величина максимальной мощности энергопринимающих устройств определяется в рамках границ балансовой принадлежности с указанием величины максимальной мощности для каждой точки присоединения в отношении энергопринимающего устройства, принадлежащего на праве собственности или ином законном основании потребителю, а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то величина максимальной мощности энергопринимающих устройств определяется в отношении такой совокупности энергопринимающих устройств. В отношении таких лиц сетевая организация определяет величину максимальной мощности по выбору лица, обратившегося с заявлением о переоформлении документов:</w:t>
      </w:r>
    </w:p>
    <w:p>
      <w:pPr>
        <w:pStyle w:val="0"/>
        <w:spacing w:before="200" w:line-rule="auto"/>
        <w:ind w:firstLine="540"/>
        <w:jc w:val="both"/>
      </w:pPr>
      <w:r>
        <w:rPr>
          <w:sz w:val="20"/>
        </w:rPr>
        <w:t xml:space="preserve">а) исходя из максимальной величины мощности (нагрузки), определенной по результатам проведения контрольных замеров (летний и зимний контрольный замерный день) за последние 5 лет либо за срок, когда контрольные замеры проводились, если этот срок составляет меньше 5 лет. По согласованию сторон допускается использование таких замеров в дни, отличные от летнего и зимнего контрольного замерного дня;</w:t>
      </w:r>
    </w:p>
    <w:p>
      <w:pPr>
        <w:pStyle w:val="0"/>
        <w:spacing w:before="200" w:line-rule="auto"/>
        <w:ind w:firstLine="540"/>
        <w:jc w:val="both"/>
      </w:pPr>
      <w:r>
        <w:rPr>
          <w:sz w:val="20"/>
        </w:rPr>
        <w:t xml:space="preserve">б) исходя из расчетной величины максимальной мощности, определяемой как максимальное значение из почасовых объемов потребления электрической энергии, полученных за последние 3 года, либо, в случае если с момента технологического присоединения (начала оказания услуг по передаче электрической энергии) прошло менее 3 лет, - с момента осуществления технологического присоединения (начала оказания услуг по передаче электрической энергии), в следующем порядке:</w:t>
      </w:r>
    </w:p>
    <w:p>
      <w:pPr>
        <w:pStyle w:val="0"/>
        <w:spacing w:before="200" w:line-rule="auto"/>
        <w:ind w:firstLine="540"/>
        <w:jc w:val="both"/>
      </w:pPr>
      <w:r>
        <w:rPr>
          <w:sz w:val="20"/>
        </w:rPr>
        <w:t xml:space="preserve">при наличии показаний интервальных расчетных приборов учета электрической энергии за соответствующий период (часть периода) - исходя из их показаний в порядке, предусмотренном Основными положениями функционирования розничных рынков электрической энергии;</w:t>
      </w:r>
    </w:p>
    <w:p>
      <w:pPr>
        <w:pStyle w:val="0"/>
        <w:spacing w:before="200" w:line-rule="auto"/>
        <w:ind w:firstLine="540"/>
        <w:jc w:val="both"/>
      </w:pPr>
      <w:r>
        <w:rPr>
          <w:sz w:val="20"/>
        </w:rPr>
        <w:t xml:space="preserve">при наличии показаний интегральных расчетных приборов учета электрической энергии за соответствующий период (часть периода) - в соответствии с порядком определения почасовых объемов потребления электрической энергии, предусмотренным </w:t>
      </w:r>
      <w:hyperlink w:history="0" r:id="rId1019"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разделом X</w:t>
        </w:r>
      </w:hyperlink>
      <w:r>
        <w:rPr>
          <w:sz w:val="20"/>
        </w:rPr>
        <w:t xml:space="preserve"> Основных положений функционирования розничных рынков электрической энергии, для 3-го и последующих расчетных периодов подряд, за которые не предоставлены показания расчетного прибора учета, для случая наличия показаний интегральных контрольных приборов учета без ограничения на величину максимальной мощности соответствующих почасовых значений;</w:t>
      </w:r>
    </w:p>
    <w:p>
      <w:pPr>
        <w:pStyle w:val="0"/>
        <w:jc w:val="both"/>
      </w:pPr>
      <w:r>
        <w:rPr>
          <w:sz w:val="20"/>
        </w:rPr>
        <w:t xml:space="preserve">(в ред. </w:t>
      </w:r>
      <w:hyperlink w:history="0" r:id="rId1020" w:tooltip="Постановление Правительства РФ от 18.04.2020 N 55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18.04.2020 N 554)</w:t>
      </w:r>
    </w:p>
    <w:p>
      <w:pPr>
        <w:pStyle w:val="0"/>
        <w:spacing w:before="200" w:line-rule="auto"/>
        <w:ind w:firstLine="540"/>
        <w:jc w:val="both"/>
      </w:pPr>
      <w:r>
        <w:rPr>
          <w:sz w:val="20"/>
        </w:rPr>
        <w:t xml:space="preserve">при отсутствии показаний интервальных и интегральных расчетных приборов учета электрической энергии - в соответствии с порядком определения почасовых объемов потребления электрической энергии, предусмотренным </w:t>
      </w:r>
      <w:hyperlink w:history="0" r:id="rId1021"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пунктом 166</w:t>
        </w:r>
      </w:hyperlink>
      <w:r>
        <w:rPr>
          <w:sz w:val="20"/>
        </w:rPr>
        <w:t xml:space="preserve"> Основных положений функционирования розничных рынков электрической энергии, для 3-го и последующих расчетных периодов подряд, за которые не предоставлены показания расчетного прибора учета.</w:t>
      </w:r>
    </w:p>
    <w:p>
      <w:pPr>
        <w:pStyle w:val="0"/>
        <w:spacing w:before="200" w:line-rule="auto"/>
        <w:ind w:firstLine="540"/>
        <w:jc w:val="both"/>
      </w:pPr>
      <w:r>
        <w:rPr>
          <w:sz w:val="20"/>
        </w:rPr>
        <w:t xml:space="preserve">78. Лицо, обратившееся с заявлением о переоформлении документов, подписывает восстановленные (переоформленные) документы о технологическом присоединении и возвращает один подписанный экземпляр в сетевую организацию в течение 3 дней со дня получения указанных документов.</w:t>
      </w:r>
    </w:p>
    <w:p>
      <w:pPr>
        <w:pStyle w:val="0"/>
        <w:spacing w:before="200" w:line-rule="auto"/>
        <w:ind w:firstLine="540"/>
        <w:jc w:val="both"/>
      </w:pPr>
      <w:r>
        <w:rPr>
          <w:sz w:val="20"/>
        </w:rPr>
        <w:t xml:space="preserve">В случае если у лица, обратившегося с заявлением на переоформление документов, заключен договор энергоснабжения (купли-продажи (поставки) электрической энергии (мощности) с субъектом розничного рынка, сетевая организация направляет в письменном или электронном виде копии восстановленных (переоформленных) технических условий и акта об осуществлении технологического присоединения соответствующему субъекту розничного рынка. Направление восстановленных (переоформленных) технических условий и акта об осуществлении технологического присоединения осуществляется сетевой организацией без взимания платы и в сроки, не превышающие 3 дней со дня возврата лицом, обратившимся с заявлением о переоформлении документов, восстановленных (переоформленных) технических условий и акта об осуществлении технологического присоединения.</w:t>
      </w:r>
    </w:p>
    <w:p>
      <w:pPr>
        <w:pStyle w:val="0"/>
        <w:jc w:val="both"/>
      </w:pPr>
      <w:r>
        <w:rPr>
          <w:sz w:val="20"/>
        </w:rPr>
        <w:t xml:space="preserve">(абзац введен </w:t>
      </w:r>
      <w:hyperlink w:history="0" r:id="rId1022"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Постановлением</w:t>
        </w:r>
      </w:hyperlink>
      <w:r>
        <w:rPr>
          <w:sz w:val="20"/>
        </w:rPr>
        <w:t xml:space="preserve"> Правительства РФ от 07.05.2017 N 542)</w:t>
      </w:r>
    </w:p>
    <w:bookmarkStart w:id="1993" w:name="P1993"/>
    <w:bookmarkEnd w:id="1993"/>
    <w:p>
      <w:pPr>
        <w:pStyle w:val="0"/>
        <w:spacing w:before="200" w:line-rule="auto"/>
        <w:ind w:firstLine="540"/>
        <w:jc w:val="both"/>
      </w:pPr>
      <w:r>
        <w:rPr>
          <w:sz w:val="20"/>
        </w:rPr>
        <w:t xml:space="preserve">79. Лицо, обратившееся с заявлением о переоформлении документов, обязано компенсировать сетевой организации затраты на переоформление документов о технологическом присоединении, за исключением случаев, предусмотренных </w:t>
      </w:r>
      <w:hyperlink w:history="0" w:anchor="P1572" w:tooltip="27.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сетевая организация по обращению заявителя вправе продлить срок действия ранее выданных технических условий. При этом дополнительная плата не взимается.">
        <w:r>
          <w:rPr>
            <w:sz w:val="20"/>
            <w:color w:val="0000ff"/>
          </w:rPr>
          <w:t xml:space="preserve">пунктом 27</w:t>
        </w:r>
      </w:hyperlink>
      <w:r>
        <w:rPr>
          <w:sz w:val="20"/>
        </w:rPr>
        <w:t xml:space="preserve"> настоящих Правил. При этом размер компенсации затрат на изготовление указанных документов не может превышать 1000 рублей за всю процедуру вне зависимости от количества переоформляемых (восстанавливаемых) документов.</w:t>
      </w:r>
    </w:p>
    <w:p>
      <w:pPr>
        <w:pStyle w:val="0"/>
        <w:jc w:val="both"/>
      </w:pPr>
      <w:r>
        <w:rPr>
          <w:sz w:val="20"/>
        </w:rPr>
        <w:t xml:space="preserve">(в ред. </w:t>
      </w:r>
      <w:hyperlink w:history="0" r:id="rId1023"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Постановления</w:t>
        </w:r>
      </w:hyperlink>
      <w:r>
        <w:rPr>
          <w:sz w:val="20"/>
        </w:rPr>
        <w:t xml:space="preserve"> Правительства РФ от 07.05.2017 N 542)</w:t>
      </w:r>
    </w:p>
    <w:p>
      <w:pPr>
        <w:pStyle w:val="0"/>
        <w:spacing w:before="200" w:line-rule="auto"/>
        <w:ind w:firstLine="540"/>
        <w:jc w:val="both"/>
      </w:pPr>
      <w:r>
        <w:rPr>
          <w:sz w:val="20"/>
        </w:rPr>
        <w:t xml:space="preserve">80. Сетевая организация осуществляет бессрочное хранение выданных технических условий и документов о технологическом присоединении в бумажной и электронной формах.</w:t>
      </w:r>
    </w:p>
    <w:p>
      <w:pPr>
        <w:pStyle w:val="0"/>
        <w:ind w:firstLine="540"/>
        <w:jc w:val="both"/>
      </w:pPr>
      <w:r>
        <w:rPr>
          <w:sz w:val="20"/>
        </w:rPr>
      </w:r>
    </w:p>
    <w:bookmarkStart w:id="1997" w:name="P1997"/>
    <w:bookmarkEnd w:id="1997"/>
    <w:p>
      <w:pPr>
        <w:pStyle w:val="2"/>
        <w:outlineLvl w:val="1"/>
        <w:jc w:val="center"/>
      </w:pPr>
      <w:r>
        <w:rPr>
          <w:sz w:val="20"/>
        </w:rPr>
        <w:t xml:space="preserve">IX. Порядок проведения проверки выполнения заявителем</w:t>
      </w:r>
    </w:p>
    <w:p>
      <w:pPr>
        <w:pStyle w:val="2"/>
        <w:jc w:val="center"/>
      </w:pPr>
      <w:r>
        <w:rPr>
          <w:sz w:val="20"/>
        </w:rPr>
        <w:t xml:space="preserve">и сетевой организацией технических условий</w:t>
      </w:r>
    </w:p>
    <w:p>
      <w:pPr>
        <w:pStyle w:val="0"/>
        <w:jc w:val="center"/>
      </w:pPr>
      <w:r>
        <w:rPr>
          <w:sz w:val="20"/>
        </w:rPr>
        <w:t xml:space="preserve">(введен </w:t>
      </w:r>
      <w:hyperlink w:history="0" r:id="rId1024"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sz w:val="20"/>
            <w:color w:val="0000ff"/>
          </w:rPr>
          <w:t xml:space="preserve">Постановлением</w:t>
        </w:r>
      </w:hyperlink>
      <w:r>
        <w:rPr>
          <w:sz w:val="20"/>
        </w:rPr>
        <w:t xml:space="preserve"> Правительства РФ от 20.02.2014 N 130)</w:t>
      </w:r>
    </w:p>
    <w:p>
      <w:pPr>
        <w:pStyle w:val="0"/>
        <w:ind w:firstLine="540"/>
        <w:jc w:val="both"/>
      </w:pPr>
      <w:r>
        <w:rPr>
          <w:sz w:val="20"/>
        </w:rPr>
      </w:r>
    </w:p>
    <w:p>
      <w:pPr>
        <w:pStyle w:val="0"/>
        <w:ind w:firstLine="540"/>
        <w:jc w:val="both"/>
      </w:pPr>
      <w:r>
        <w:rPr>
          <w:sz w:val="20"/>
        </w:rPr>
        <w:t xml:space="preserve">81. Проверка выполнения технических условий проводится в отношении каждых технических условий, выданных заявителям.</w:t>
      </w:r>
    </w:p>
    <w:p>
      <w:pPr>
        <w:pStyle w:val="0"/>
        <w:spacing w:before="200" w:line-rule="auto"/>
        <w:ind w:firstLine="540"/>
        <w:jc w:val="both"/>
      </w:pPr>
      <w:r>
        <w:rPr>
          <w:sz w:val="20"/>
        </w:rPr>
        <w:t xml:space="preserve">В отношении заявителей, чьи технические условия в соответствии с настоящими Правилами не подлежат согласованию с субъектом оперативно-диспетчерского управления (субъектом оперативно-диспетчерского управления в технологически изолированных территориальных электроэнергетических системах), проверка выполнения технических условий осуществляется в соответствии с </w:t>
      </w:r>
      <w:hyperlink w:history="0" w:anchor="P2006" w:tooltip="82. Проверка выполнения заявителем технических условий в случаях, когда не требуется согласование технических условий с субъектом оперативно-диспетчерского управления, осуществляется сетевой организацией и включает следующие мероприятия:">
        <w:r>
          <w:rPr>
            <w:sz w:val="20"/>
            <w:color w:val="0000ff"/>
          </w:rPr>
          <w:t xml:space="preserve">пунктами 82</w:t>
        </w:r>
      </w:hyperlink>
      <w:r>
        <w:rPr>
          <w:sz w:val="20"/>
        </w:rPr>
        <w:t xml:space="preserve"> - </w:t>
      </w:r>
      <w:hyperlink w:history="0" w:anchor="P2047" w:tooltip="90. Срок проведения мероприятий по проверке сетевой организацией выполнения заявителем технических условий (с учетом направления заявителю подписанного сетевой организацией акта о выполнении технических условий) не должен превышать 10 дней со дня получения сетевой организацией уведомления от заявителя о выполнении им технических условий либо уведомления об устранении замечаний вне зависимости от факта выполнения технических условий со стороны сетевой организации.">
        <w:r>
          <w:rPr>
            <w:sz w:val="20"/>
            <w:color w:val="0000ff"/>
          </w:rPr>
          <w:t xml:space="preserve">90</w:t>
        </w:r>
      </w:hyperlink>
      <w:r>
        <w:rPr>
          <w:sz w:val="20"/>
        </w:rPr>
        <w:t xml:space="preserve"> настоящих Правил.</w:t>
      </w:r>
    </w:p>
    <w:p>
      <w:pPr>
        <w:pStyle w:val="0"/>
        <w:jc w:val="both"/>
      </w:pPr>
      <w:r>
        <w:rPr>
          <w:sz w:val="20"/>
        </w:rPr>
        <w:t xml:space="preserve">(в ред. </w:t>
      </w:r>
      <w:hyperlink w:history="0" r:id="rId1025"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30.09.2015 N 1044)</w:t>
      </w:r>
    </w:p>
    <w:p>
      <w:pPr>
        <w:pStyle w:val="0"/>
        <w:spacing w:before="200" w:line-rule="auto"/>
        <w:ind w:firstLine="540"/>
        <w:jc w:val="both"/>
      </w:pPr>
      <w:r>
        <w:rPr>
          <w:sz w:val="20"/>
        </w:rPr>
        <w:t xml:space="preserve">В отношении заявителей, чьи технические условия в соответствии с настоящими Правилами подлежат согласованию с субъектом оперативно-диспетчерского управления (субъектом оперативно-диспетчерского управления в технологически изолированных территориальных электроэнергетических системах), проверка выполнения технических условий осуществляется в соответствии с </w:t>
      </w:r>
      <w:hyperlink w:history="0" w:anchor="P2049" w:tooltip="91. Проверка выполнения технических условий в случаях, когда требуется согласование технических условий с субъектом оперативно-диспетчерского управления, осуществляется сетевой организацией и субъектом оперативно-диспетчерского управления и включает следующие мероприятия:">
        <w:r>
          <w:rPr>
            <w:sz w:val="20"/>
            <w:color w:val="0000ff"/>
          </w:rPr>
          <w:t xml:space="preserve">пунктами 91</w:t>
        </w:r>
      </w:hyperlink>
      <w:r>
        <w:rPr>
          <w:sz w:val="20"/>
        </w:rPr>
        <w:t xml:space="preserve"> - </w:t>
      </w:r>
      <w:hyperlink w:history="0" w:anchor="P2094" w:tooltip="102. Срок проведения мероприятий по проверке выполнения технических условий (с учетом выдачи заявителю подписанных со стороны сетевой организации и субъекта оперативно-диспетчерского управления акта о выполнении технических условий) не должен превышать 25 дней со дня получения сетевой организацией уведомления от заявителя о готовности к проверке выполнения технических условий либо уведомления об устранении замечаний.">
        <w:r>
          <w:rPr>
            <w:sz w:val="20"/>
            <w:color w:val="0000ff"/>
          </w:rPr>
          <w:t xml:space="preserve">102</w:t>
        </w:r>
      </w:hyperlink>
      <w:r>
        <w:rPr>
          <w:sz w:val="20"/>
        </w:rPr>
        <w:t xml:space="preserve"> настоящих Правил.</w:t>
      </w:r>
    </w:p>
    <w:p>
      <w:pPr>
        <w:pStyle w:val="0"/>
        <w:jc w:val="both"/>
      </w:pPr>
      <w:r>
        <w:rPr>
          <w:sz w:val="20"/>
        </w:rPr>
        <w:t xml:space="preserve">(в ред. </w:t>
      </w:r>
      <w:hyperlink w:history="0" r:id="rId1026"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30.09.2015 N 1044)</w:t>
      </w:r>
    </w:p>
    <w:bookmarkStart w:id="2006" w:name="P2006"/>
    <w:bookmarkEnd w:id="2006"/>
    <w:p>
      <w:pPr>
        <w:pStyle w:val="0"/>
        <w:spacing w:before="200" w:line-rule="auto"/>
        <w:ind w:firstLine="540"/>
        <w:jc w:val="both"/>
      </w:pPr>
      <w:r>
        <w:rPr>
          <w:sz w:val="20"/>
        </w:rPr>
        <w:t xml:space="preserve">82. Проверка выполнения заявителем технических условий в случаях, когда не требуется согласование технических условий с субъектом оперативно-диспетчерского управления, осуществляется сетевой организацией и включает следующие мероприятия:</w:t>
      </w:r>
    </w:p>
    <w:p>
      <w:pPr>
        <w:pStyle w:val="0"/>
        <w:jc w:val="both"/>
      </w:pPr>
      <w:r>
        <w:rPr>
          <w:sz w:val="20"/>
        </w:rPr>
        <w:t xml:space="preserve">(в ред. </w:t>
      </w:r>
      <w:hyperlink w:history="0" r:id="rId1027"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30.09.2015 N 1044)</w:t>
      </w:r>
    </w:p>
    <w:p>
      <w:pPr>
        <w:pStyle w:val="0"/>
        <w:spacing w:before="200" w:line-rule="auto"/>
        <w:ind w:firstLine="540"/>
        <w:jc w:val="both"/>
      </w:pPr>
      <w:r>
        <w:rPr>
          <w:sz w:val="20"/>
        </w:rPr>
        <w:t xml:space="preserve">а) проверка соответствия технических решений, параметров оборудования (устройств) и проведенных мероприятий, указанных в документах, представленных заявителем в соответствии с </w:t>
      </w:r>
      <w:hyperlink w:history="0" w:anchor="P2017" w:tooltip="85. Для проведения проверки выполнения технических условий заявитель представляет в сетевую организацию уведомление о выполнении технических условий с приложением следующих документов:">
        <w:r>
          <w:rPr>
            <w:sz w:val="20"/>
            <w:color w:val="0000ff"/>
          </w:rPr>
          <w:t xml:space="preserve">пунктом 85</w:t>
        </w:r>
      </w:hyperlink>
      <w:r>
        <w:rPr>
          <w:sz w:val="20"/>
        </w:rPr>
        <w:t xml:space="preserve"> настоящих Правил, требованиям технических условий;</w:t>
      </w:r>
    </w:p>
    <w:p>
      <w:pPr>
        <w:pStyle w:val="0"/>
        <w:spacing w:before="200" w:line-rule="auto"/>
        <w:ind w:firstLine="540"/>
        <w:jc w:val="both"/>
      </w:pPr>
      <w:r>
        <w:rPr>
          <w:sz w:val="20"/>
        </w:rPr>
        <w:t xml:space="preserve">б) осмотр сетевой организацией присоединяемых электроустановок заявителя, построенных (реконструированных) в рамках выполнения технических условий, на соответствие фактически выполненных заявителем мероприятий по технологическому присоединению техническим условиям и представленной заявителем проектной документации, а в случаях, если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 - на соответствие требованиям, определенным в технических условиях.</w:t>
      </w:r>
    </w:p>
    <w:p>
      <w:pPr>
        <w:pStyle w:val="0"/>
        <w:spacing w:before="200" w:line-rule="auto"/>
        <w:ind w:firstLine="540"/>
        <w:jc w:val="both"/>
      </w:pPr>
      <w:r>
        <w:rPr>
          <w:sz w:val="20"/>
        </w:rPr>
        <w:t xml:space="preserve">82(1). Одновременно с осмотром присоединяемых электроустановок заявителя осуществляется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к эксплуатации в порядке, предусмотренном </w:t>
      </w:r>
      <w:hyperlink w:history="0" r:id="rId1028"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разделом X</w:t>
        </w:r>
      </w:hyperlink>
      <w:r>
        <w:rPr>
          <w:sz w:val="20"/>
        </w:rPr>
        <w:t xml:space="preserve"> Основных положений функционирования розничных рынков электрической энергии. Форма акта допуска в эксплуатацию прибора учета электрической энергии приведена в </w:t>
      </w:r>
      <w:hyperlink w:history="0" w:anchor="P5564" w:tooltip="                                    АКТ">
        <w:r>
          <w:rPr>
            <w:sz w:val="20"/>
            <w:color w:val="0000ff"/>
          </w:rPr>
          <w:t xml:space="preserve">приложении N 16</w:t>
        </w:r>
      </w:hyperlink>
      <w:r>
        <w:rPr>
          <w:sz w:val="20"/>
        </w:rPr>
        <w:t xml:space="preserve">.</w:t>
      </w:r>
    </w:p>
    <w:p>
      <w:pPr>
        <w:pStyle w:val="0"/>
        <w:jc w:val="both"/>
      </w:pPr>
      <w:r>
        <w:rPr>
          <w:sz w:val="20"/>
        </w:rPr>
        <w:t xml:space="preserve">(в ред. </w:t>
      </w:r>
      <w:hyperlink w:history="0" r:id="rId1029" w:tooltip="Постановление Правительства РФ от 18.04.2020 N 55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18.04.2020 N 554)</w:t>
      </w:r>
    </w:p>
    <w:p>
      <w:pPr>
        <w:pStyle w:val="0"/>
        <w:spacing w:before="200" w:line-rule="auto"/>
        <w:ind w:firstLine="540"/>
        <w:jc w:val="both"/>
      </w:pPr>
      <w:r>
        <w:rPr>
          <w:sz w:val="20"/>
        </w:rPr>
        <w:t xml:space="preserve">При этом для допуска к эксплуатации установленного в процессе технологического присоединения прибора учета электрической энергии сетевая организация обязана в сроки и в порядке, которые предусмотрены </w:t>
      </w:r>
      <w:hyperlink w:history="0" r:id="rId1030"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разделом X</w:t>
        </w:r>
      </w:hyperlink>
      <w:r>
        <w:rPr>
          <w:sz w:val="20"/>
        </w:rPr>
        <w:t xml:space="preserve"> Основных положений функционирования розничных рынков электрической энергии, обеспечить приглашение для участия в процедуре указанного допуска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а также иных субъектов розничных рынков, приглашение которых для допуска к эксплуатации прибора учета электрической энергии является обязательным в соответствии с </w:t>
      </w:r>
      <w:hyperlink w:history="0" r:id="rId1031"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разделом X</w:t>
        </w:r>
      </w:hyperlink>
      <w:r>
        <w:rPr>
          <w:sz w:val="20"/>
        </w:rPr>
        <w:t xml:space="preserve"> Основных положений функционирования розничных рынков электрической энергии. Сетевая организация несет перед заявителем ответственность за неприглашение на процедуру допуска прибора учета электрической энергии к эксплуатации субъектов розничных рынков, указанных в настоящем пункте, в сроки и в порядке, которые предусмотрены </w:t>
      </w:r>
      <w:hyperlink w:history="0" r:id="rId1032"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разделом X</w:t>
        </w:r>
      </w:hyperlink>
      <w:r>
        <w:rPr>
          <w:sz w:val="20"/>
        </w:rPr>
        <w:t xml:space="preserve"> Основных положений функционирования розничных рынков электрической энергии, и обязана в этом случае возместить заявителю расходы, понесенные им в результате применения расчетных способов определения объемов безучетного потребления электрической энергии в отношении соответствующих энергопринимающих устройств.</w:t>
      </w:r>
    </w:p>
    <w:p>
      <w:pPr>
        <w:pStyle w:val="0"/>
        <w:jc w:val="both"/>
      </w:pPr>
      <w:r>
        <w:rPr>
          <w:sz w:val="20"/>
        </w:rPr>
        <w:t xml:space="preserve">(п. 82(1) введен </w:t>
      </w:r>
      <w:hyperlink w:history="0" r:id="rId1033"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Постановлением</w:t>
        </w:r>
      </w:hyperlink>
      <w:r>
        <w:rPr>
          <w:sz w:val="20"/>
        </w:rPr>
        <w:t xml:space="preserve"> Правительства РФ от 07.05.2017 N 542)</w:t>
      </w:r>
    </w:p>
    <w:p>
      <w:pPr>
        <w:pStyle w:val="0"/>
        <w:spacing w:before="200" w:line-rule="auto"/>
        <w:ind w:firstLine="540"/>
        <w:jc w:val="both"/>
      </w:pPr>
      <w:r>
        <w:rPr>
          <w:sz w:val="20"/>
        </w:rPr>
        <w:t xml:space="preserve">83. Абзац утратил силу. - </w:t>
      </w:r>
      <w:hyperlink w:history="0" r:id="rId1034"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w:t>
        </w:r>
      </w:hyperlink>
      <w:r>
        <w:rPr>
          <w:sz w:val="20"/>
        </w:rPr>
        <w:t xml:space="preserve"> Правительства РФ от 30.09.2015 N 1044.</w:t>
      </w:r>
    </w:p>
    <w:p>
      <w:pPr>
        <w:pStyle w:val="0"/>
        <w:spacing w:before="200" w:line-rule="auto"/>
        <w:ind w:firstLine="540"/>
        <w:jc w:val="both"/>
      </w:pPr>
      <w:r>
        <w:rPr>
          <w:sz w:val="20"/>
        </w:rPr>
        <w:t xml:space="preserve">Мероприятия по проверке выполнения технических условий заявителями с энергопринимающими устройствами мощностью до 150 кВт включительно (по одному источнику электроснабжения), а также заявителями, для которых в соответствии с </w:t>
      </w:r>
      <w:hyperlink w:history="0" r:id="rId1035" w:tooltip="&quot;Градостроительный кодекс Российской Федерации&quot; от 29.12.2004 N 190-ФЗ (ред. от 01.05.2022) {КонсультантПлюс}">
        <w:r>
          <w:rPr>
            <w:sz w:val="20"/>
            <w:color w:val="0000ff"/>
          </w:rPr>
          <w:t xml:space="preserve">законодательством</w:t>
        </w:r>
      </w:hyperlink>
      <w:r>
        <w:rPr>
          <w:sz w:val="20"/>
        </w:rPr>
        <w:t xml:space="preserve"> Российской Федерации о градостроительной деятельности разработка проектной документации не является обязательной, проводятся непосредственно в процессе проведения осмотра электроустановок заявителей.</w:t>
      </w:r>
    </w:p>
    <w:p>
      <w:pPr>
        <w:pStyle w:val="0"/>
        <w:spacing w:before="200" w:line-rule="auto"/>
        <w:ind w:firstLine="540"/>
        <w:jc w:val="both"/>
      </w:pPr>
      <w:r>
        <w:rPr>
          <w:sz w:val="20"/>
        </w:rPr>
        <w:t xml:space="preserve">84. Сетевая организация проводит осмотр присоединяемых электроустановок заявителя до распределительного устройства (пункта) заявителя (распределительного устройства трансформаторной подстанции, вводного устройства, вводного распределительного устройства, главного распределительного щита, узла учета) включительно.</w:t>
      </w:r>
    </w:p>
    <w:bookmarkStart w:id="2017" w:name="P2017"/>
    <w:bookmarkEnd w:id="2017"/>
    <w:p>
      <w:pPr>
        <w:pStyle w:val="0"/>
        <w:spacing w:before="200" w:line-rule="auto"/>
        <w:ind w:firstLine="540"/>
        <w:jc w:val="both"/>
      </w:pPr>
      <w:r>
        <w:rPr>
          <w:sz w:val="20"/>
        </w:rPr>
        <w:t xml:space="preserve">85. Для проведения проверки выполнения технических условий заявитель представляет в сетевую организацию уведомление о выполнении технических условий с приложением следующих документов:</w:t>
      </w:r>
    </w:p>
    <w:p>
      <w:pPr>
        <w:pStyle w:val="0"/>
        <w:spacing w:before="200" w:line-rule="auto"/>
        <w:ind w:firstLine="540"/>
        <w:jc w:val="both"/>
      </w:pPr>
      <w:r>
        <w:rPr>
          <w:sz w:val="20"/>
        </w:rPr>
        <w:t xml:space="preserve">а) копии сертификатов соответствия на электрооборудование (если оборудование подлежит обязательной сертификации) и (или) сопроводительной технической документации (технические паспорта оборудования), содержащей сведения о сертификации;</w:t>
      </w:r>
    </w:p>
    <w:bookmarkStart w:id="2019" w:name="P2019"/>
    <w:bookmarkEnd w:id="2019"/>
    <w:p>
      <w:pPr>
        <w:pStyle w:val="0"/>
        <w:spacing w:before="200" w:line-rule="auto"/>
        <w:ind w:firstLine="540"/>
        <w:jc w:val="both"/>
      </w:pPr>
      <w:r>
        <w:rPr>
          <w:sz w:val="20"/>
        </w:rPr>
        <w:t xml:space="preserve">б)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и обосновывающих величину аварийной и технологической брони (при ее наличии),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pPr>
        <w:pStyle w:val="0"/>
        <w:jc w:val="both"/>
      </w:pPr>
      <w:r>
        <w:rPr>
          <w:sz w:val="20"/>
        </w:rPr>
        <w:t xml:space="preserve">(в ред. </w:t>
      </w:r>
      <w:hyperlink w:history="0" r:id="rId1036" w:tooltip="Постановление Правительства РФ от 17.09.2018 N 1096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sz w:val="20"/>
            <w:color w:val="0000ff"/>
          </w:rPr>
          <w:t xml:space="preserve">Постановления</w:t>
        </w:r>
      </w:hyperlink>
      <w:r>
        <w:rPr>
          <w:sz w:val="20"/>
        </w:rPr>
        <w:t xml:space="preserve"> Правительства РФ от 17.09.2018 N 1096)</w:t>
      </w:r>
    </w:p>
    <w:bookmarkStart w:id="2021" w:name="P2021"/>
    <w:bookmarkEnd w:id="2021"/>
    <w:p>
      <w:pPr>
        <w:pStyle w:val="0"/>
        <w:spacing w:before="200" w:line-rule="auto"/>
        <w:ind w:firstLine="540"/>
        <w:jc w:val="both"/>
      </w:pPr>
      <w:r>
        <w:rPr>
          <w:sz w:val="20"/>
        </w:rPr>
        <w:t xml:space="preserve">в) документы, содержащие информацию о результатах проведения пусконаладочных работ, приемо-сдаточных и иных испытаний;</w:t>
      </w:r>
    </w:p>
    <w:bookmarkStart w:id="2022" w:name="P2022"/>
    <w:bookmarkEnd w:id="2022"/>
    <w:p>
      <w:pPr>
        <w:pStyle w:val="0"/>
        <w:spacing w:before="200" w:line-rule="auto"/>
        <w:ind w:firstLine="540"/>
        <w:jc w:val="both"/>
      </w:pPr>
      <w:r>
        <w:rPr>
          <w:sz w:val="20"/>
        </w:rPr>
        <w:t xml:space="preserve">г) нормальные (временные нормальные) схемы электрических соединений объекта электроэнергетики, в том числе однолинейная схема электрических соединений (электроустановки).</w:t>
      </w:r>
    </w:p>
    <w:p>
      <w:pPr>
        <w:pStyle w:val="0"/>
        <w:spacing w:before="200" w:line-rule="auto"/>
        <w:ind w:firstLine="540"/>
        <w:jc w:val="both"/>
      </w:pPr>
      <w:r>
        <w:rPr>
          <w:sz w:val="20"/>
        </w:rPr>
        <w:t xml:space="preserve">86. Документы, указанные в </w:t>
      </w:r>
      <w:hyperlink w:history="0" w:anchor="P2021" w:tooltip="в) документы, содержащие информацию о результатах проведения пусконаладочных работ, приемо-сдаточных и иных испытаний;">
        <w:r>
          <w:rPr>
            <w:sz w:val="20"/>
            <w:color w:val="0000ff"/>
          </w:rPr>
          <w:t xml:space="preserve">подпунктах "в"</w:t>
        </w:r>
      </w:hyperlink>
      <w:r>
        <w:rPr>
          <w:sz w:val="20"/>
        </w:rPr>
        <w:t xml:space="preserve"> и </w:t>
      </w:r>
      <w:hyperlink w:history="0" w:anchor="P2022" w:tooltip="г) нормальные (временные нормальные) схемы электрических соединений объекта электроэнергетики, в том числе однолинейная схема электрических соединений (электроустановки).">
        <w:r>
          <w:rPr>
            <w:sz w:val="20"/>
            <w:color w:val="0000ff"/>
          </w:rPr>
          <w:t xml:space="preserve">"г" пункта 85</w:t>
        </w:r>
      </w:hyperlink>
      <w:r>
        <w:rPr>
          <w:sz w:val="20"/>
        </w:rPr>
        <w:t xml:space="preserve"> настоящих Правил, не требуются для представления заявителями, электрохозяйство которых включает в себя только вводное устройство напряжением до 1000 В, осветительные установки, переносное электрооборудование и энергопринимающие устройства номинальным напряжением не выше 380 В.</w:t>
      </w:r>
    </w:p>
    <w:p>
      <w:pPr>
        <w:pStyle w:val="0"/>
        <w:spacing w:before="200" w:line-rule="auto"/>
        <w:ind w:firstLine="540"/>
        <w:jc w:val="both"/>
      </w:pPr>
      <w:r>
        <w:rPr>
          <w:sz w:val="20"/>
        </w:rPr>
        <w:t xml:space="preserve">87. Сетевая организация рассматривает представленные заявителем документы, предусмотренные </w:t>
      </w:r>
      <w:hyperlink w:history="0" w:anchor="P2017" w:tooltip="85. Для проведения проверки выполнения технических условий заявитель представляет в сетевую организацию уведомление о выполнении технических условий с приложением следующих документов:">
        <w:r>
          <w:rPr>
            <w:sz w:val="20"/>
            <w:color w:val="0000ff"/>
          </w:rPr>
          <w:t xml:space="preserve">пунктом 85</w:t>
        </w:r>
      </w:hyperlink>
      <w:r>
        <w:rPr>
          <w:sz w:val="20"/>
        </w:rPr>
        <w:t xml:space="preserve"> настоящих Правил, и осуществляет осмотр электроустановок заявителя.</w:t>
      </w:r>
    </w:p>
    <w:p>
      <w:pPr>
        <w:pStyle w:val="0"/>
        <w:spacing w:before="200" w:line-rule="auto"/>
        <w:ind w:firstLine="540"/>
        <w:jc w:val="both"/>
      </w:pPr>
      <w:r>
        <w:rPr>
          <w:sz w:val="20"/>
        </w:rPr>
        <w:t xml:space="preserve">Абзац утратил силу. - </w:t>
      </w:r>
      <w:hyperlink w:history="0" r:id="rId1037"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Постановление</w:t>
        </w:r>
      </w:hyperlink>
      <w:r>
        <w:rPr>
          <w:sz w:val="20"/>
        </w:rPr>
        <w:t xml:space="preserve"> Правительства РФ от 07.05.2017 N 542.</w:t>
      </w:r>
    </w:p>
    <w:p>
      <w:pPr>
        <w:pStyle w:val="0"/>
        <w:spacing w:before="200" w:line-rule="auto"/>
        <w:ind w:firstLine="540"/>
        <w:jc w:val="both"/>
      </w:pPr>
      <w:r>
        <w:rPr>
          <w:sz w:val="20"/>
        </w:rPr>
        <w:t xml:space="preserve">Если технические условия в соответствии с настоящими Правилами содержат требования в отношении коллективных (общедомовых) приборов учета электрической энергии и иного оборудования, которое используется для организации коллективного (общедомового) коммерческого учета электрической энергии (мощности) в многоквартирных домах, сетевая организация в течение 3 дней со дня получения от заявителя уведомления о выполнении технических условий направляет гарантирующему поставщику, в зоне деятельности которого располагается (будет располагаться) многоквартирный дом, копию такого уведомления и копии приложенных к нему документов.</w:t>
      </w:r>
    </w:p>
    <w:p>
      <w:pPr>
        <w:pStyle w:val="0"/>
        <w:jc w:val="both"/>
      </w:pPr>
      <w:r>
        <w:rPr>
          <w:sz w:val="20"/>
        </w:rPr>
        <w:t xml:space="preserve">(абзац введен </w:t>
      </w:r>
      <w:hyperlink w:history="0" r:id="rId1038" w:tooltip="Постановление Правительства РФ от 21.12.2020 N 2184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Постановлением</w:t>
        </w:r>
      </w:hyperlink>
      <w:r>
        <w:rPr>
          <w:sz w:val="20"/>
        </w:rPr>
        <w:t xml:space="preserve"> Правительства РФ от 21.12.2020 N 2184)</w:t>
      </w:r>
    </w:p>
    <w:p>
      <w:pPr>
        <w:pStyle w:val="0"/>
        <w:spacing w:before="200" w:line-rule="auto"/>
        <w:ind w:firstLine="540"/>
        <w:jc w:val="both"/>
      </w:pPr>
      <w:r>
        <w:rPr>
          <w:sz w:val="20"/>
        </w:rPr>
        <w:t xml:space="preserve">88. По результатам мероприятий по проверке выполнения заявителем технических условий сетевая организация в 3-дневный срок составляет и направляет для подписания заявителю подписанный со своей стороны в 2 экземплярах акт о выполнении технических условий по форме согласно </w:t>
      </w:r>
      <w:hyperlink w:history="0" w:anchor="P5210" w:tooltip="                                    АКТ">
        <w:r>
          <w:rPr>
            <w:sz w:val="20"/>
            <w:color w:val="0000ff"/>
          </w:rPr>
          <w:t xml:space="preserve">приложению N 15</w:t>
        </w:r>
      </w:hyperlink>
      <w:r>
        <w:rPr>
          <w:sz w:val="20"/>
        </w:rPr>
        <w:t xml:space="preserve"> (далее - акт о выполнении технических условий).</w:t>
      </w:r>
    </w:p>
    <w:p>
      <w:pPr>
        <w:pStyle w:val="0"/>
        <w:spacing w:before="200" w:line-rule="auto"/>
        <w:ind w:firstLine="540"/>
        <w:jc w:val="both"/>
      </w:pPr>
      <w:r>
        <w:rPr>
          <w:sz w:val="20"/>
        </w:rPr>
        <w:t xml:space="preserve">Заявитель в течение 5 дней со дня получения подписанного сетевой организацией акта о выполнении технических условий возвращает в сетевую организацию один экземпляр подписанного со своей стороны акта о выполнении технических условий.</w:t>
      </w:r>
    </w:p>
    <w:p>
      <w:pPr>
        <w:pStyle w:val="0"/>
        <w:spacing w:before="200" w:line-rule="auto"/>
        <w:ind w:firstLine="540"/>
        <w:jc w:val="both"/>
      </w:pPr>
      <w:r>
        <w:rPr>
          <w:sz w:val="20"/>
        </w:rPr>
        <w:t xml:space="preserve">Акт о выполнении технических условий составляется в отношении заявителей, указанных в </w:t>
      </w:r>
      <w:hyperlink w:history="0" w:anchor="P1081" w:tooltip="12. В заявке, направляемой заявителем - юридическим лицом или индивидуальным предпринимателем, максимальная мощность энергопринимающих устройств которых составляет свыше 150 кВт и менее 670 кВт, должны быть указаны:">
        <w:r>
          <w:rPr>
            <w:sz w:val="20"/>
            <w:color w:val="0000ff"/>
          </w:rPr>
          <w:t xml:space="preserve">пункте 12</w:t>
        </w:r>
      </w:hyperlink>
      <w:r>
        <w:rPr>
          <w:sz w:val="20"/>
        </w:rPr>
        <w:t xml:space="preserve"> настоящих Правил, в случае осуществления технологического присоединения энергопринимающих устройств к электрическим сетям классом напряжения до 20 кВ включительно по одному источнику электроснабжения, а также заявителей,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01" w:tooltip="13. В заявке, направляемой заявителем в целях временного технологического присоединения, предусмотренного разделом VII настоящих Правил, указывается:">
        <w:r>
          <w:rPr>
            <w:sz w:val="20"/>
            <w:color w:val="0000ff"/>
          </w:rPr>
          <w:t xml:space="preserve">13</w:t>
        </w:r>
      </w:hyperlink>
      <w:r>
        <w:rPr>
          <w:sz w:val="20"/>
        </w:rPr>
        <w:t xml:space="preserve">,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технологическое присоединение энергопринимающих устройств которых осуществляется на уровне напряжения выше 0,4 кВ, и подписывается заявителем и сетевой организацией непосредственно в день проведения осмотра.</w:t>
      </w:r>
    </w:p>
    <w:p>
      <w:pPr>
        <w:pStyle w:val="0"/>
        <w:jc w:val="both"/>
      </w:pPr>
      <w:r>
        <w:rPr>
          <w:sz w:val="20"/>
        </w:rPr>
        <w:t xml:space="preserve">(в ред. </w:t>
      </w:r>
      <w:hyperlink w:history="0" r:id="rId1039"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bookmarkStart w:id="2032" w:name="P2032"/>
    <w:bookmarkEnd w:id="2032"/>
    <w:p>
      <w:pPr>
        <w:pStyle w:val="0"/>
        <w:spacing w:before="200" w:line-rule="auto"/>
        <w:ind w:firstLine="540"/>
        <w:jc w:val="both"/>
      </w:pPr>
      <w:r>
        <w:rPr>
          <w:sz w:val="20"/>
        </w:rPr>
        <w:t xml:space="preserve">Сетевая организация вместе с актом о выполнении технических условий обязана предоставить заявителю ранее полученные от гарантирующего поставщика:</w:t>
      </w:r>
    </w:p>
    <w:p>
      <w:pPr>
        <w:pStyle w:val="0"/>
        <w:jc w:val="both"/>
      </w:pPr>
      <w:r>
        <w:rPr>
          <w:sz w:val="20"/>
        </w:rPr>
        <w:t xml:space="preserve">(в ред. </w:t>
      </w:r>
      <w:hyperlink w:history="0" r:id="rId1040"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Постановления</w:t>
        </w:r>
      </w:hyperlink>
      <w:r>
        <w:rPr>
          <w:sz w:val="20"/>
        </w:rPr>
        <w:t xml:space="preserve"> Правительства РФ от 11.05.2017 N 557)</w:t>
      </w:r>
    </w:p>
    <w:p>
      <w:pPr>
        <w:pStyle w:val="0"/>
        <w:spacing w:before="200" w:line-rule="auto"/>
        <w:ind w:firstLine="540"/>
        <w:jc w:val="both"/>
      </w:pPr>
      <w:r>
        <w:rPr>
          <w:sz w:val="20"/>
        </w:rPr>
        <w:t xml:space="preserve">или 2 экземпляра подписанного гарантирующим поставщиком проекта договора энергоснабжения (дополнительного соглашения к действующему договору) - если в заявке в качестве вида договора, обеспечивающего продажу заявителю электрической энергии (мощности) на розничном рынке, указан договор энергоснабжения;</w:t>
      </w:r>
    </w:p>
    <w:bookmarkStart w:id="2035" w:name="P2035"/>
    <w:bookmarkEnd w:id="2035"/>
    <w:p>
      <w:pPr>
        <w:pStyle w:val="0"/>
        <w:spacing w:before="200" w:line-rule="auto"/>
        <w:ind w:firstLine="540"/>
        <w:jc w:val="both"/>
      </w:pPr>
      <w:r>
        <w:rPr>
          <w:sz w:val="20"/>
        </w:rPr>
        <w:t xml:space="preserve">или 2 экземпляра подписанного гарантирующим поставщиком проекта договора купли-продажи (поставки) электрической энергии (мощности) (дополнительного соглашения к действующему договору) - если в заявке в качестве вида договора, обеспечивающего продажу заявителю электрической энергии (мощности) на розничном рынке, указан договор купли-продажи (поставки) электрической энергии (мощности).</w:t>
      </w:r>
    </w:p>
    <w:p>
      <w:pPr>
        <w:pStyle w:val="0"/>
        <w:spacing w:before="200" w:line-rule="auto"/>
        <w:ind w:firstLine="540"/>
        <w:jc w:val="both"/>
      </w:pPr>
      <w:r>
        <w:rPr>
          <w:sz w:val="20"/>
        </w:rPr>
        <w:t xml:space="preserve">При несогласии заявителя с каким-либо условием проекта договора, обеспечивающего продажу электрической энергии (мощности) на розничном рынке, содержание которого установлено законодательством, по причине несоответствия формулировки такого условия формулировке, предусмотренной законодательством, либо при его несогласии с каким-либо условием указанного договора, содержание которого в соответствии с законодательством может быть определено по усмотрению сторон, заявитель вправе направить гарантирующему поставщику, с которым заявитель намерен заключить договор, обеспечивающий продажу электрической энергии (мощности) на розничном рынке, предложение о заключении такого договора на иных условиях.</w:t>
      </w:r>
    </w:p>
    <w:p>
      <w:pPr>
        <w:pStyle w:val="0"/>
        <w:jc w:val="both"/>
      </w:pPr>
      <w:r>
        <w:rPr>
          <w:sz w:val="20"/>
        </w:rPr>
        <w:t xml:space="preserve">(в ред. </w:t>
      </w:r>
      <w:hyperlink w:history="0" r:id="rId1041"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Постановления</w:t>
        </w:r>
      </w:hyperlink>
      <w:r>
        <w:rPr>
          <w:sz w:val="20"/>
        </w:rPr>
        <w:t xml:space="preserve"> Правительства РФ от 11.05.2017 N 557)</w:t>
      </w:r>
    </w:p>
    <w:p>
      <w:pPr>
        <w:pStyle w:val="0"/>
        <w:spacing w:before="200" w:line-rule="auto"/>
        <w:ind w:firstLine="540"/>
        <w:jc w:val="both"/>
      </w:pPr>
      <w:r>
        <w:rPr>
          <w:sz w:val="20"/>
        </w:rPr>
        <w:t xml:space="preserve">В случае когда к заявке был приложен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history="0" w:anchor="P1670" w:tooltip="33. При наличии ограничения на технологическое присоединение дополнительной мощности допускается присоединение к электрическим сетям энергопринимающих устройств в пределах величины мощности, не вызывающей ограничений в использовании потребляемой (генерирующей) мощности всех ранее присоединенных к данным сетям потребителей электрической энергии, либо в заявленном объеме по согласованию с указанными потребителями.">
        <w:r>
          <w:rPr>
            <w:sz w:val="20"/>
            <w:color w:val="0000ff"/>
          </w:rPr>
          <w:t xml:space="preserve">пунктом 33</w:t>
        </w:r>
      </w:hyperlink>
      <w:r>
        <w:rPr>
          <w:sz w:val="20"/>
        </w:rPr>
        <w:t xml:space="preserve"> Основных положений функционирования розничных рынков электрической энергии, по которому у гарантирующего поставщика отсутствуют возражения, то сетевая организация в порядке, предусмотренном </w:t>
      </w:r>
      <w:r>
        <w:rPr>
          <w:sz w:val="20"/>
        </w:rPr>
        <w:t xml:space="preserve">абзацами четвертым</w:t>
      </w:r>
      <w:r>
        <w:rPr>
          <w:sz w:val="20"/>
        </w:rPr>
        <w:t xml:space="preserve"> - </w:t>
      </w:r>
      <w:hyperlink w:history="0" w:anchor="P2035" w:tooltip="или 2 экземпляра подписанного гарантирующим поставщиком проекта договора купли-продажи (поставки) электрической энергии (мощности) (дополнительного соглашения к действующему договору) - если в заявке в качестве вида договора, обеспечивающего продажу заявителю электрической энергии (мощности) на розничном рынке, указан договор купли-продажи (поставки) электрической энергии (мощности).">
        <w:r>
          <w:rPr>
            <w:sz w:val="20"/>
            <w:color w:val="0000ff"/>
          </w:rPr>
          <w:t xml:space="preserve">шестым</w:t>
        </w:r>
      </w:hyperlink>
      <w:r>
        <w:rPr>
          <w:sz w:val="20"/>
        </w:rPr>
        <w:t xml:space="preserve"> настоящего пункта, предоставляет заявителю ранее полученный от гарантирующего поставщика один экземпляр подписанного со стороны гарантирующего поставщика договора или протокола разногласий соответственно.</w:t>
      </w:r>
    </w:p>
    <w:p>
      <w:pPr>
        <w:pStyle w:val="0"/>
        <w:jc w:val="both"/>
      </w:pPr>
      <w:r>
        <w:rPr>
          <w:sz w:val="20"/>
        </w:rPr>
        <w:t xml:space="preserve">(в ред. </w:t>
      </w:r>
      <w:hyperlink w:history="0" r:id="rId1042"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Постановления</w:t>
        </w:r>
      </w:hyperlink>
      <w:r>
        <w:rPr>
          <w:sz w:val="20"/>
        </w:rPr>
        <w:t xml:space="preserve"> Правительства РФ от 11.05.2017 N 557)</w:t>
      </w:r>
    </w:p>
    <w:p>
      <w:pPr>
        <w:pStyle w:val="0"/>
        <w:spacing w:before="200" w:line-rule="auto"/>
        <w:ind w:firstLine="540"/>
        <w:jc w:val="both"/>
      </w:pPr>
      <w:r>
        <w:rPr>
          <w:sz w:val="20"/>
        </w:rPr>
        <w:t xml:space="preserve">Сетевая организация, направившая в адрес гарантирующего поставщика,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копию подписанного с заявителем договора и копии документов заявителя, предусмотренных </w:t>
      </w:r>
      <w:hyperlink w:history="0" w:anchor="P1040" w:tooltip="10. К заявке прилагаются следующие документы:">
        <w:r>
          <w:rPr>
            <w:sz w:val="20"/>
            <w:color w:val="0000ff"/>
          </w:rPr>
          <w:t xml:space="preserve">пунктом 10</w:t>
        </w:r>
      </w:hyperlink>
      <w:r>
        <w:rPr>
          <w:sz w:val="20"/>
        </w:rPr>
        <w:t xml:space="preserve"> настоящих Правил, и получившая от гарантирующего поставщика отказ от заключения договора энергоснабжения (купли-продажи (поставки) электрической энергии (мощности) с указанием причин такого отказа, обязана не позднее 2 рабочих дней направить такую информацию заявителю.</w:t>
      </w:r>
    </w:p>
    <w:p>
      <w:pPr>
        <w:pStyle w:val="0"/>
        <w:jc w:val="both"/>
      </w:pPr>
      <w:r>
        <w:rPr>
          <w:sz w:val="20"/>
        </w:rPr>
        <w:t xml:space="preserve">(в ред. Постановлений Правительства РФ от 22.02.2016 </w:t>
      </w:r>
      <w:hyperlink w:history="0" r:id="rId1043" w:tooltip="Постановление Правительства РФ от 22.02.2016 N 128 &quot;О внесении изменений в некоторые акты Правительства Российской Федерации по вопросам взаимодействия субъектов розничных рынков электрической энергии при заключении договоров энергоснабжения (купли-продажи (поставки) электрической энергии (мощности) с потребителям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N 128</w:t>
        </w:r>
      </w:hyperlink>
      <w:r>
        <w:rPr>
          <w:sz w:val="20"/>
        </w:rPr>
        <w:t xml:space="preserve">, от 11.05.2017 </w:t>
      </w:r>
      <w:hyperlink w:history="0" r:id="rId1044"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энергопринимающих устройств потребителей электрической энергии&quot; {КонсультантПлюс}">
        <w:r>
          <w:rPr>
            <w:sz w:val="20"/>
            <w:color w:val="0000ff"/>
          </w:rPr>
          <w:t xml:space="preserve">N 557</w:t>
        </w:r>
      </w:hyperlink>
      <w:r>
        <w:rPr>
          <w:sz w:val="20"/>
        </w:rPr>
        <w:t xml:space="preserve">)</w:t>
      </w:r>
    </w:p>
    <w:p>
      <w:pPr>
        <w:pStyle w:val="0"/>
        <w:spacing w:before="200" w:line-rule="auto"/>
        <w:ind w:firstLine="540"/>
        <w:jc w:val="both"/>
      </w:pPr>
      <w:r>
        <w:rPr>
          <w:sz w:val="20"/>
        </w:rPr>
        <w:t xml:space="preserve">89. При невыполнении требований технических условий сетевая организация в письменной форме уведомляет об этом заявителя.</w:t>
      </w:r>
    </w:p>
    <w:p>
      <w:pPr>
        <w:pStyle w:val="0"/>
        <w:spacing w:before="200" w:line-rule="auto"/>
        <w:ind w:firstLine="540"/>
        <w:jc w:val="both"/>
      </w:pPr>
      <w:r>
        <w:rPr>
          <w:sz w:val="20"/>
        </w:rPr>
        <w:t xml:space="preserve">При выявлении в ходе осмотра невыполнения заявителем требований технических условий и проектной документации, представляемой в сетевую организацию в соответствии с </w:t>
      </w:r>
      <w:hyperlink w:history="0" w:anchor="P2019" w:tooltip="б)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и обосновывающих величину аварийной и технологической брони (при ее наличии), в случае если такая проектная документация не была представлена заявителем в сетевую организацию до направления заявителем в...">
        <w:r>
          <w:rPr>
            <w:sz w:val="20"/>
            <w:color w:val="0000ff"/>
          </w:rPr>
          <w:t xml:space="preserve">подпунктом "б" пункта 85</w:t>
        </w:r>
      </w:hyperlink>
      <w:r>
        <w:rPr>
          <w:sz w:val="20"/>
        </w:rPr>
        <w:t xml:space="preserve"> настоящих Правил, сетевая организация по завершении осмотра электроустановок составляет и передает заявителю перечень замечаний, выявленных в ходе проверки и подлежащих выполнению. Повторный осмотр электроустановки заявителя осуществляется не позднее 3 рабочих дней после получения от него уведомления об устранении замечаний с приложением информации о принятых мерах по их устранению.</w:t>
      </w:r>
    </w:p>
    <w:p>
      <w:pPr>
        <w:pStyle w:val="0"/>
        <w:jc w:val="both"/>
      </w:pPr>
      <w:r>
        <w:rPr>
          <w:sz w:val="20"/>
        </w:rPr>
        <w:t xml:space="preserve">(в ред. </w:t>
      </w:r>
      <w:hyperlink w:history="0" r:id="rId1045"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Постановления</w:t>
        </w:r>
      </w:hyperlink>
      <w:r>
        <w:rPr>
          <w:sz w:val="20"/>
        </w:rPr>
        <w:t xml:space="preserve"> Правительства РФ от 07.05.2017 N 542)</w:t>
      </w:r>
    </w:p>
    <w:p>
      <w:pPr>
        <w:pStyle w:val="0"/>
        <w:spacing w:before="200" w:line-rule="auto"/>
        <w:ind w:firstLine="540"/>
        <w:jc w:val="both"/>
      </w:pPr>
      <w:r>
        <w:rPr>
          <w:sz w:val="20"/>
        </w:rPr>
        <w:t xml:space="preserve">Акт о выполнении технических условий подписывается после устранения всех замечаний, направленных сетевой организацией заявителю.</w:t>
      </w:r>
    </w:p>
    <w:p>
      <w:pPr>
        <w:pStyle w:val="0"/>
        <w:jc w:val="both"/>
      </w:pPr>
      <w:r>
        <w:rPr>
          <w:sz w:val="20"/>
        </w:rPr>
        <w:t xml:space="preserve">(абзац введен </w:t>
      </w:r>
      <w:hyperlink w:history="0" r:id="rId1046"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Постановлением</w:t>
        </w:r>
      </w:hyperlink>
      <w:r>
        <w:rPr>
          <w:sz w:val="20"/>
        </w:rPr>
        <w:t xml:space="preserve"> Правительства РФ от 07.05.2017 N 542)</w:t>
      </w:r>
    </w:p>
    <w:bookmarkStart w:id="2047" w:name="P2047"/>
    <w:bookmarkEnd w:id="2047"/>
    <w:p>
      <w:pPr>
        <w:pStyle w:val="0"/>
        <w:spacing w:before="200" w:line-rule="auto"/>
        <w:ind w:firstLine="540"/>
        <w:jc w:val="both"/>
      </w:pPr>
      <w:r>
        <w:rPr>
          <w:sz w:val="20"/>
        </w:rPr>
        <w:t xml:space="preserve">90. Срок проведения мероприятий по проверке сетевой организацией выполнения заявителем технических условий (с учетом направления заявителю подписанного сетевой организацией акта о выполнении технических условий) не должен превышать 10 дней со дня получения сетевой организацией уведомления от заявителя о выполнении им технических условий либо уведомления об устранении замечаний вне зависимости от факта выполнения технических условий со стороны сетевой организации.</w:t>
      </w:r>
    </w:p>
    <w:p>
      <w:pPr>
        <w:pStyle w:val="0"/>
        <w:jc w:val="both"/>
      </w:pPr>
      <w:r>
        <w:rPr>
          <w:sz w:val="20"/>
        </w:rPr>
        <w:t xml:space="preserve">(в ред. Постановлений Правительства РФ от 07.05.2017 </w:t>
      </w:r>
      <w:hyperlink w:history="0" r:id="rId1047"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N 542</w:t>
        </w:r>
      </w:hyperlink>
      <w:r>
        <w:rPr>
          <w:sz w:val="20"/>
        </w:rPr>
        <w:t xml:space="preserve">, от 01.04.2020 </w:t>
      </w:r>
      <w:hyperlink w:history="0" r:id="rId1048" w:tooltip="Постановление Правительства РФ от 01.04.2020 N 403 (ред. от 30.06.202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sz w:val="20"/>
            <w:color w:val="0000ff"/>
          </w:rPr>
          <w:t xml:space="preserve">N 403</w:t>
        </w:r>
      </w:hyperlink>
      <w:r>
        <w:rPr>
          <w:sz w:val="20"/>
        </w:rPr>
        <w:t xml:space="preserve">)</w:t>
      </w:r>
    </w:p>
    <w:bookmarkStart w:id="2049" w:name="P2049"/>
    <w:bookmarkEnd w:id="2049"/>
    <w:p>
      <w:pPr>
        <w:pStyle w:val="0"/>
        <w:spacing w:before="200" w:line-rule="auto"/>
        <w:ind w:firstLine="540"/>
        <w:jc w:val="both"/>
      </w:pPr>
      <w:r>
        <w:rPr>
          <w:sz w:val="20"/>
        </w:rPr>
        <w:t xml:space="preserve">91. Проверка выполнения технических условий в случаях, когда требуется согласование технических условий с субъектом оперативно-диспетчерского управления, осуществляется сетевой организацией и субъектом оперативно-диспетчерского управления и включает следующие мероприятия:</w:t>
      </w:r>
    </w:p>
    <w:p>
      <w:pPr>
        <w:pStyle w:val="0"/>
        <w:jc w:val="both"/>
      </w:pPr>
      <w:r>
        <w:rPr>
          <w:sz w:val="20"/>
        </w:rPr>
        <w:t xml:space="preserve">(в ред. </w:t>
      </w:r>
      <w:hyperlink w:history="0" r:id="rId1049"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30.09.2015 N 1044)</w:t>
      </w:r>
    </w:p>
    <w:p>
      <w:pPr>
        <w:pStyle w:val="0"/>
        <w:spacing w:before="200" w:line-rule="auto"/>
        <w:ind w:firstLine="540"/>
        <w:jc w:val="both"/>
      </w:pPr>
      <w:r>
        <w:rPr>
          <w:sz w:val="20"/>
        </w:rPr>
        <w:t xml:space="preserve">а) проверка соответствия технических решений, параметров оборудования (устройств) и проведенных мероприятий, указанных в документах, представленных заявителем, требованиям технических условий;</w:t>
      </w:r>
    </w:p>
    <w:p>
      <w:pPr>
        <w:pStyle w:val="0"/>
        <w:spacing w:before="200" w:line-rule="auto"/>
        <w:ind w:firstLine="540"/>
        <w:jc w:val="both"/>
      </w:pPr>
      <w:r>
        <w:rPr>
          <w:sz w:val="20"/>
        </w:rPr>
        <w:t xml:space="preserve">б) осмотр сетевой организацией, а также субъектом оперативно-диспетчерского управления присоединяемых электроустановок и объектов электросетевого хозяйства, построенных (реконструированных) в рамках выполнения технических условий, на соответствие фактически выполненных мероприятий по технологическому присоединению техническим условиям и представленной заявителем и сетевой организацией проектной документации.</w:t>
      </w:r>
    </w:p>
    <w:p>
      <w:pPr>
        <w:pStyle w:val="0"/>
        <w:spacing w:before="200" w:line-rule="auto"/>
        <w:ind w:firstLine="540"/>
        <w:jc w:val="both"/>
      </w:pPr>
      <w:r>
        <w:rPr>
          <w:sz w:val="20"/>
        </w:rPr>
        <w:t xml:space="preserve">91(1). Одновременно с осмотром присоединяемых электроустановок заявителя осуществляется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электрической энергии к эксплуатации в порядке, предусмотренном </w:t>
      </w:r>
      <w:hyperlink w:history="0" r:id="rId1050"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разделом X</w:t>
        </w:r>
      </w:hyperlink>
      <w:r>
        <w:rPr>
          <w:sz w:val="20"/>
        </w:rPr>
        <w:t xml:space="preserve"> Основных положений функционирования розничных рынков электрической энергии. Форма акта допуска в эксплуатацию прибора учета электрической энергии приведена в </w:t>
      </w:r>
      <w:hyperlink w:history="0" w:anchor="P5564" w:tooltip="                                    АКТ">
        <w:r>
          <w:rPr>
            <w:sz w:val="20"/>
            <w:color w:val="0000ff"/>
          </w:rPr>
          <w:t xml:space="preserve">приложении N 16</w:t>
        </w:r>
      </w:hyperlink>
      <w:r>
        <w:rPr>
          <w:sz w:val="20"/>
        </w:rPr>
        <w:t xml:space="preserve"> к настоящим Правилам.</w:t>
      </w:r>
    </w:p>
    <w:p>
      <w:pPr>
        <w:pStyle w:val="0"/>
        <w:jc w:val="both"/>
      </w:pPr>
      <w:r>
        <w:rPr>
          <w:sz w:val="20"/>
        </w:rPr>
        <w:t xml:space="preserve">(в ред. Постановлений Правительства РФ от 27.12.2017 </w:t>
      </w:r>
      <w:hyperlink w:history="0" r:id="rId1051"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1661</w:t>
        </w:r>
      </w:hyperlink>
      <w:r>
        <w:rPr>
          <w:sz w:val="20"/>
        </w:rPr>
        <w:t xml:space="preserve">, от 18.04.2020 </w:t>
      </w:r>
      <w:hyperlink w:history="0" r:id="rId1052" w:tooltip="Постановление Правительства РФ от 18.04.2020 N 55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554</w:t>
        </w:r>
      </w:hyperlink>
      <w:r>
        <w:rPr>
          <w:sz w:val="20"/>
        </w:rPr>
        <w:t xml:space="preserve">)</w:t>
      </w:r>
    </w:p>
    <w:p>
      <w:pPr>
        <w:pStyle w:val="0"/>
        <w:spacing w:before="200" w:line-rule="auto"/>
        <w:ind w:firstLine="540"/>
        <w:jc w:val="both"/>
      </w:pPr>
      <w:r>
        <w:rPr>
          <w:sz w:val="20"/>
        </w:rPr>
        <w:t xml:space="preserve">При этом для допуска к эксплуатации установленного в процессе технологического присоединения прибора учета электрической энергии сетевая организация обязана в сроки и в порядке, которые предусмотрены </w:t>
      </w:r>
      <w:hyperlink w:history="0" r:id="rId1053"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разделом X</w:t>
        </w:r>
      </w:hyperlink>
      <w:r>
        <w:rPr>
          <w:sz w:val="20"/>
        </w:rPr>
        <w:t xml:space="preserve"> Основных положений функционирования розничных рынков электрической энергии, обеспечить приглашение для участия в процедуре указанного допуска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а также иных субъектов розничных рынков, приглашение которых для допуска к эксплуатации прибора учета электрической энергии является обязательным в соответствии с </w:t>
      </w:r>
      <w:hyperlink w:history="0" r:id="rId1054"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разделом X</w:t>
        </w:r>
      </w:hyperlink>
      <w:r>
        <w:rPr>
          <w:sz w:val="20"/>
        </w:rPr>
        <w:t xml:space="preserve"> Основных положений функционирования розничных рынков электрической энергии. Сетевая организация несет перед заявителем ответственность за неприглашение на процедуру допуска к эксплуатации прибора учета электрической энергии субъектов розничных рынков, указанных в настоящем пункте, в сроки и в порядке, которые предусмотрены </w:t>
      </w:r>
      <w:hyperlink w:history="0" r:id="rId1055"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разделом X</w:t>
        </w:r>
      </w:hyperlink>
      <w:r>
        <w:rPr>
          <w:sz w:val="20"/>
        </w:rPr>
        <w:t xml:space="preserve"> Основных положений функционирования розничных рынков электрической энергии, и обязана в этом случае возместить заявителю расходы, понесенные им в результате применения расчетных способов определения объемов безучетного потребления электрической энергии в отношении соответствующих энергопринимающих устройств.</w:t>
      </w:r>
    </w:p>
    <w:p>
      <w:pPr>
        <w:pStyle w:val="0"/>
        <w:jc w:val="both"/>
      </w:pPr>
      <w:r>
        <w:rPr>
          <w:sz w:val="20"/>
        </w:rPr>
        <w:t xml:space="preserve">(п. 91(1) введен </w:t>
      </w:r>
      <w:hyperlink w:history="0" r:id="rId1056"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Постановлением</w:t>
        </w:r>
      </w:hyperlink>
      <w:r>
        <w:rPr>
          <w:sz w:val="20"/>
        </w:rPr>
        <w:t xml:space="preserve"> Правительства РФ от 07.05.2017 N 542)</w:t>
      </w:r>
    </w:p>
    <w:p>
      <w:pPr>
        <w:pStyle w:val="0"/>
        <w:spacing w:before="200" w:line-rule="auto"/>
        <w:ind w:firstLine="540"/>
        <w:jc w:val="both"/>
      </w:pPr>
      <w:r>
        <w:rPr>
          <w:sz w:val="20"/>
        </w:rPr>
        <w:t xml:space="preserve">92. Проверка выполнения технических условий проводится сетевой организацией в отношении мероприятий, которые предусмотрены техническими условиями и проектной документацией и которые выполняются заявителем, а субъектом оперативно-диспетчерского управления - в отношении мероприятий, которые предусмотрены техническими условиями и проектной документацией и которые выполняются заявителем и сетевой организацией в части реализации технических решений, обеспечивающих создание технической возможности технологического присоединения, требований к отключающей способности коммутационных аппаратов (для объектов электросетевого хозяйства классом напряжения ниже 110 кВ указанные технические решения и требования проверяются в отношении объектов диспетчеризации), требований к релейной защите и автоматике, телемеханике и связи, к установке (модернизации, замене) и техническим параметрам оборудования и устройств, обеспечивающих регулирование напряжения, регулирование частоты электрического тока и перетоков электрической энергии (мощности), а также требований к маневренным и иным техническим характеристикам генерирующего оборудования и подключению под действие противоаварийной и режимной автоматики. В случаях, указанных в </w:t>
      </w:r>
      <w:hyperlink w:history="0" w:anchor="P1031" w:tooltip="н) сведения о планируемых объемах и сроках вывода из эксплуатации существующего объекта по производству электрической энергии (мощности) заявителя, входящего в его состав оборудования - в случае технологического присоединения вновь сооружаемого объекта по производству электрической энергии (мощности) в целях замещения им другого объекта по производству электрической энергии (мощности), принадлежащего заявителю и присоединенного к электрическим сетям этой сетевой организации, реализуемых в рамках одного и...">
        <w:r>
          <w:rPr>
            <w:sz w:val="20"/>
            <w:color w:val="0000ff"/>
          </w:rPr>
          <w:t xml:space="preserve">подпункте "н" пункта 9</w:t>
        </w:r>
      </w:hyperlink>
      <w:r>
        <w:rPr>
          <w:sz w:val="20"/>
        </w:rPr>
        <w:t xml:space="preserve"> и </w:t>
      </w:r>
      <w:hyperlink w:history="0" w:anchor="P1846" w:tooltip="решением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мощности) из эксплуатации и выданными на его основании сетевой организацией техническими условиями вывода из эксплуатации объекта по производству электрической энергии (мощности) установлена необходимость осуществления мероприятий на объектах электросетевого хозяйства смежной сетевой организации.">
        <w:r>
          <w:rPr>
            <w:sz w:val="20"/>
            <w:color w:val="0000ff"/>
          </w:rPr>
          <w:t xml:space="preserve">абзаце четвертом пункта 41</w:t>
        </w:r>
      </w:hyperlink>
      <w:r>
        <w:rPr>
          <w:sz w:val="20"/>
        </w:rPr>
        <w:t xml:space="preserve"> настоящих Правил, проверка выполнения технических условий проводится субъектом оперативно-диспетчерского управления также в части реализации технических решений и мероприятий, обеспечивающих возможность вывода соответствующего объекта по производству электрической энергии (мощности) из эксплуатации.</w:t>
      </w:r>
    </w:p>
    <w:p>
      <w:pPr>
        <w:pStyle w:val="0"/>
        <w:jc w:val="both"/>
      </w:pPr>
      <w:r>
        <w:rPr>
          <w:sz w:val="20"/>
        </w:rPr>
        <w:t xml:space="preserve">(в ред. </w:t>
      </w:r>
      <w:hyperlink w:history="0" r:id="rId1057" w:tooltip="Постановление Правительства РФ от 30.01.2021 N 86 (ред. от 21.03.2022)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quot; {КонсультантПлюс}">
        <w:r>
          <w:rPr>
            <w:sz w:val="20"/>
            <w:color w:val="0000ff"/>
          </w:rPr>
          <w:t xml:space="preserve">Постановления</w:t>
        </w:r>
      </w:hyperlink>
      <w:r>
        <w:rPr>
          <w:sz w:val="20"/>
        </w:rPr>
        <w:t xml:space="preserve"> Правительства РФ от 30.01.2021 N 86)</w:t>
      </w:r>
    </w:p>
    <w:bookmarkStart w:id="2059" w:name="P2059"/>
    <w:bookmarkEnd w:id="2059"/>
    <w:p>
      <w:pPr>
        <w:pStyle w:val="0"/>
        <w:spacing w:before="200" w:line-rule="auto"/>
        <w:ind w:firstLine="540"/>
        <w:jc w:val="both"/>
      </w:pPr>
      <w:r>
        <w:rPr>
          <w:sz w:val="20"/>
        </w:rPr>
        <w:t xml:space="preserve">93. Для проведения проверки выполнения технических условий заявитель и сетевая организация (каждый в отношении принадлежащих им электроустановок (объектов электросетевого хозяйства) направляют уведомление о готовности к проверке выполнения технических условий. К уведомлению о готовности к проверке выполнения технических условий прилагаются следующие документы:</w:t>
      </w:r>
    </w:p>
    <w:p>
      <w:pPr>
        <w:pStyle w:val="0"/>
        <w:spacing w:before="200" w:line-rule="auto"/>
        <w:ind w:firstLine="540"/>
        <w:jc w:val="both"/>
      </w:pPr>
      <w:r>
        <w:rPr>
          <w:sz w:val="20"/>
        </w:rPr>
        <w:t xml:space="preserve">а) копии сертификатов соответствия на электрооборудование (если оборудование подлежит обязательной сертификации) и (или) сопроводительную техническую документацию (технические паспорта оборудования), содержащую сведения о сертификации, информацию о технических параметрах и характеристиках энергопринимающих устройств и объектов электроэнергетики, входящих в их состав оборудования и устройств релейной защиты и автоматики, средств диспетчерского и технологического управления;</w:t>
      </w:r>
    </w:p>
    <w:bookmarkStart w:id="2061" w:name="P2061"/>
    <w:bookmarkEnd w:id="2061"/>
    <w:p>
      <w:pPr>
        <w:pStyle w:val="0"/>
        <w:spacing w:before="200" w:line-rule="auto"/>
        <w:ind w:firstLine="540"/>
        <w:jc w:val="both"/>
      </w:pPr>
      <w:r>
        <w:rPr>
          <w:sz w:val="20"/>
        </w:rPr>
        <w:t xml:space="preserve">б)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и обосновывающих величину аварийной и технологической брони (при ее наличии), в случае если такая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w:t>
      </w:r>
    </w:p>
    <w:p>
      <w:pPr>
        <w:pStyle w:val="0"/>
        <w:jc w:val="both"/>
      </w:pPr>
      <w:r>
        <w:rPr>
          <w:sz w:val="20"/>
        </w:rPr>
        <w:t xml:space="preserve">(в ред. </w:t>
      </w:r>
      <w:hyperlink w:history="0" r:id="rId1058" w:tooltip="Постановление Правительства РФ от 17.09.2018 N 1096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sz w:val="20"/>
            <w:color w:val="0000ff"/>
          </w:rPr>
          <w:t xml:space="preserve">Постановления</w:t>
        </w:r>
      </w:hyperlink>
      <w:r>
        <w:rPr>
          <w:sz w:val="20"/>
        </w:rPr>
        <w:t xml:space="preserve"> Правительства РФ от 17.09.2018 N 1096)</w:t>
      </w:r>
    </w:p>
    <w:p>
      <w:pPr>
        <w:pStyle w:val="0"/>
        <w:spacing w:before="200" w:line-rule="auto"/>
        <w:ind w:firstLine="540"/>
        <w:jc w:val="both"/>
      </w:pPr>
      <w:r>
        <w:rPr>
          <w:sz w:val="20"/>
        </w:rPr>
        <w:t xml:space="preserve">в) нормальные (временные нормальные) схемы электрических соединений объектов электроэнергетики, строительство (реконструкция) или технологическое присоединение которых осуществляются в рамках выполнения технических условий;</w:t>
      </w:r>
    </w:p>
    <w:p>
      <w:pPr>
        <w:pStyle w:val="0"/>
        <w:spacing w:before="200" w:line-rule="auto"/>
        <w:ind w:firstLine="540"/>
        <w:jc w:val="both"/>
      </w:pPr>
      <w:r>
        <w:rPr>
          <w:sz w:val="20"/>
        </w:rPr>
        <w:t xml:space="preserve">г) документы, подтверждающие проведение проверки устройств (комплексов) релейной защиты и автоматики и их готовность к вводу в работу, настройку устройств (комплексов) релейной защиты и автоматики в соответствии с требованиями субъекта оперативно-диспетчерского управления, включая принципиальные, функционально-логические схемы, схемы программируемой логики, данные по конфигурированию и параметрированию устройств (комплексов) релейной защиты и автоматики, исполнительные схемы;</w:t>
      </w:r>
    </w:p>
    <w:p>
      <w:pPr>
        <w:pStyle w:val="0"/>
        <w:spacing w:before="200" w:line-rule="auto"/>
        <w:ind w:firstLine="540"/>
        <w:jc w:val="both"/>
      </w:pPr>
      <w:r>
        <w:rPr>
          <w:sz w:val="20"/>
        </w:rPr>
        <w:t xml:space="preserve">д) документы, подтверждающие выполнение требований к системам телемеханики и связи, схемы организации оперативно-диспетчерской и технологической связи, протоколы испытаний каналов, устройств и средств связи;</w:t>
      </w:r>
    </w:p>
    <w:p>
      <w:pPr>
        <w:pStyle w:val="0"/>
        <w:spacing w:before="200" w:line-rule="auto"/>
        <w:ind w:firstLine="540"/>
        <w:jc w:val="both"/>
      </w:pPr>
      <w:r>
        <w:rPr>
          <w:sz w:val="20"/>
        </w:rPr>
        <w:t xml:space="preserve">е) документ, подписанный соответственно заявителем или сетевой организацией, подтверждающий выполнение мероприятий по вводу в работу энергопринимающего устройства или объекта электроэнергетики, включая проведение пусконаладочных работ, приемо-сдаточных и иных испытаний;</w:t>
      </w:r>
    </w:p>
    <w:p>
      <w:pPr>
        <w:pStyle w:val="0"/>
        <w:spacing w:before="200" w:line-rule="auto"/>
        <w:ind w:firstLine="540"/>
        <w:jc w:val="both"/>
      </w:pPr>
      <w:r>
        <w:rPr>
          <w:sz w:val="20"/>
        </w:rPr>
        <w:t xml:space="preserve">ж) документы, содержащие информацию о результатах проведения пусконаладочных работ, приемо-сдаточных и иных испытаний.</w:t>
      </w:r>
    </w:p>
    <w:p>
      <w:pPr>
        <w:pStyle w:val="0"/>
        <w:spacing w:before="200" w:line-rule="auto"/>
        <w:ind w:firstLine="540"/>
        <w:jc w:val="both"/>
      </w:pPr>
      <w:r>
        <w:rPr>
          <w:sz w:val="20"/>
        </w:rPr>
        <w:t xml:space="preserve">94. Уведомление о готовности к проверке выполнения технических условий направляется заявителем в адрес сетевой организации, а сетевой организацией в отношении своих объектов - в адрес субъекта оперативно-диспетчерского управления. Сетевая организация в течение 2 дней со дня получения от заявителя уведомления о готовности к проверке выполнения технических условий направляет субъекту оперативно-диспетчерского управления копию такого уведомления и копии приложенных к нему документов, представленных заявителем.</w:t>
      </w:r>
    </w:p>
    <w:p>
      <w:pPr>
        <w:pStyle w:val="0"/>
        <w:spacing w:before="200" w:line-rule="auto"/>
        <w:ind w:firstLine="540"/>
        <w:jc w:val="both"/>
      </w:pPr>
      <w:r>
        <w:rPr>
          <w:sz w:val="20"/>
        </w:rPr>
        <w:t xml:space="preserve">Если технические условия в соответствии с настоящими Правилами содержат требования в отношении коллективных (общедомовых) приборов учета электрической энергии и иного оборудования, которое используется для организации коллективного (общедомового) коммерческого учета электрической энергии (мощности) в многоквартирных домах, сетевая организация в течение 3 дней со дня получения от заявителя уведомления о выполнении технических условий направляет гарантирующему поставщику, в зоне деятельности которого располагается (будет располагаться) многоквартирный дом, копию такого уведомления и копии приложенных к нему документов.</w:t>
      </w:r>
    </w:p>
    <w:p>
      <w:pPr>
        <w:pStyle w:val="0"/>
        <w:jc w:val="both"/>
      </w:pPr>
      <w:r>
        <w:rPr>
          <w:sz w:val="20"/>
        </w:rPr>
        <w:t xml:space="preserve">(абзац введен </w:t>
      </w:r>
      <w:hyperlink w:history="0" r:id="rId1059" w:tooltip="Постановление Правительства РФ от 21.12.2020 N 2184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Постановлением</w:t>
        </w:r>
      </w:hyperlink>
      <w:r>
        <w:rPr>
          <w:sz w:val="20"/>
        </w:rPr>
        <w:t xml:space="preserve"> Правительства РФ от 21.12.2020 N 2184)</w:t>
      </w:r>
    </w:p>
    <w:p>
      <w:pPr>
        <w:pStyle w:val="0"/>
        <w:spacing w:before="200" w:line-rule="auto"/>
        <w:ind w:firstLine="540"/>
        <w:jc w:val="both"/>
      </w:pPr>
      <w:r>
        <w:rPr>
          <w:sz w:val="20"/>
        </w:rPr>
        <w:t xml:space="preserve">95. Сетевая организация и субъект оперативно-диспетчерского управления рассматривают полученные документы, указанные в </w:t>
      </w:r>
      <w:hyperlink w:history="0" w:anchor="P2059" w:tooltip="93. Для проведения проверки выполнения технических условий заявитель и сетевая организация (каждый в отношении принадлежащих им электроустановок (объектов электросетевого хозяйства) направляют уведомление о готовности к проверке выполнения технических условий. К уведомлению о готовности к проверке выполнения технических условий прилагаются следующие документы:">
        <w:r>
          <w:rPr>
            <w:sz w:val="20"/>
            <w:color w:val="0000ff"/>
          </w:rPr>
          <w:t xml:space="preserve">пункте 93</w:t>
        </w:r>
      </w:hyperlink>
      <w:r>
        <w:rPr>
          <w:sz w:val="20"/>
        </w:rPr>
        <w:t xml:space="preserve"> настоящих Правил, и осуществляют осмотр электроустановок заявителя и объектов электросетевого хозяйства сетевой организации, построенных (реконструированных) в рамках выполнения технических условий.</w:t>
      </w:r>
    </w:p>
    <w:p>
      <w:pPr>
        <w:pStyle w:val="0"/>
        <w:spacing w:before="200" w:line-rule="auto"/>
        <w:ind w:firstLine="540"/>
        <w:jc w:val="both"/>
      </w:pPr>
      <w:r>
        <w:rPr>
          <w:sz w:val="20"/>
        </w:rPr>
        <w:t xml:space="preserve">96. Осмотр электроустановок заявителя и объектов электросетевого хозяйства сетевой организации, построенных (реконструированных) в рамках выполнения технических условий, осуществляется сетевой организацией с участием субъекта оперативно-диспетчерского управления.</w:t>
      </w:r>
    </w:p>
    <w:p>
      <w:pPr>
        <w:pStyle w:val="0"/>
        <w:spacing w:before="200" w:line-rule="auto"/>
        <w:ind w:firstLine="540"/>
        <w:jc w:val="both"/>
      </w:pPr>
      <w:r>
        <w:rPr>
          <w:sz w:val="20"/>
        </w:rPr>
        <w:t xml:space="preserve">Сетевая организация в письменной форме уведомляет субъект оперативно-диспетчерского управления о предполагаемой дате проведения осмотра соответствующих объектов электросетевого хозяйства и (или) электроустановок заявителя не позднее чем за 5 рабочих дней до дня его проведения. Субъект оперативно-диспетчерского управления направляет сетевой организации решение об участии (отказе от участия) в таком осмотре не позднее чем за 2 рабочих дня до его проведения.</w:t>
      </w:r>
    </w:p>
    <w:p>
      <w:pPr>
        <w:pStyle w:val="0"/>
        <w:spacing w:before="200" w:line-rule="auto"/>
        <w:ind w:firstLine="540"/>
        <w:jc w:val="both"/>
      </w:pPr>
      <w:r>
        <w:rPr>
          <w:sz w:val="20"/>
        </w:rPr>
        <w:t xml:space="preserve">97. При выявлении в ходе осмотра невыполнения заявителем и (или) сетевой организацией требований технических условий и проектной документации, представляемой в сетевую организацию в соответствии с </w:t>
      </w:r>
      <w:hyperlink w:history="0" w:anchor="P2061" w:tooltip="б)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и обосновывающих величину аварийной и технологической брони (при ее наличии), в случае если такая документация не была представлена заявителем в сетевую организацию до направления заявителем в сетевую о...">
        <w:r>
          <w:rPr>
            <w:sz w:val="20"/>
            <w:color w:val="0000ff"/>
          </w:rPr>
          <w:t xml:space="preserve">подпунктом "б" пункта 93</w:t>
        </w:r>
      </w:hyperlink>
      <w:r>
        <w:rPr>
          <w:sz w:val="20"/>
        </w:rPr>
        <w:t xml:space="preserve"> настоящих Правил, по завершении осмотра электроустановок составляется и передается заявителю и (или) сетевой организации перечень выявленных замечаний, подлежащих устранению.</w:t>
      </w:r>
    </w:p>
    <w:p>
      <w:pPr>
        <w:pStyle w:val="0"/>
        <w:jc w:val="both"/>
      </w:pPr>
      <w:r>
        <w:rPr>
          <w:sz w:val="20"/>
        </w:rPr>
        <w:t xml:space="preserve">(в ред. </w:t>
      </w:r>
      <w:hyperlink w:history="0" r:id="rId1060"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Постановления</w:t>
        </w:r>
      </w:hyperlink>
      <w:r>
        <w:rPr>
          <w:sz w:val="20"/>
        </w:rPr>
        <w:t xml:space="preserve"> Правительства РФ от 07.05.2017 N 542)</w:t>
      </w:r>
    </w:p>
    <w:p>
      <w:pPr>
        <w:pStyle w:val="0"/>
        <w:spacing w:before="200" w:line-rule="auto"/>
        <w:ind w:firstLine="540"/>
        <w:jc w:val="both"/>
      </w:pPr>
      <w:r>
        <w:rPr>
          <w:sz w:val="20"/>
        </w:rPr>
        <w:t xml:space="preserve">В случае если представители субъекта оперативно-диспетчерского управления участвовали в осмотре, перечень выявленных замечаний, подлежащих устранению, составляемый по ее результатам, подлежит согласованию с субъектом оперативно-диспетчерского управления.</w:t>
      </w:r>
    </w:p>
    <w:p>
      <w:pPr>
        <w:pStyle w:val="0"/>
        <w:jc w:val="both"/>
      </w:pPr>
      <w:r>
        <w:rPr>
          <w:sz w:val="20"/>
        </w:rPr>
        <w:t xml:space="preserve">(в ред. </w:t>
      </w:r>
      <w:hyperlink w:history="0" r:id="rId1061"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Постановления</w:t>
        </w:r>
      </w:hyperlink>
      <w:r>
        <w:rPr>
          <w:sz w:val="20"/>
        </w:rPr>
        <w:t xml:space="preserve"> Правительства РФ от 07.05.2017 N 542)</w:t>
      </w:r>
    </w:p>
    <w:p>
      <w:pPr>
        <w:pStyle w:val="0"/>
        <w:spacing w:before="200" w:line-rule="auto"/>
        <w:ind w:firstLine="540"/>
        <w:jc w:val="both"/>
      </w:pPr>
      <w:r>
        <w:rPr>
          <w:sz w:val="20"/>
        </w:rPr>
        <w:t xml:space="preserve">Акт о выполнении технических условий подписывается после устранения всех замечаний, направленных сетевой организацией заявителю.</w:t>
      </w:r>
    </w:p>
    <w:p>
      <w:pPr>
        <w:pStyle w:val="0"/>
        <w:jc w:val="both"/>
      </w:pPr>
      <w:r>
        <w:rPr>
          <w:sz w:val="20"/>
        </w:rPr>
        <w:t xml:space="preserve">(абзац введен </w:t>
      </w:r>
      <w:hyperlink w:history="0" r:id="rId1062"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Постановлением</w:t>
        </w:r>
      </w:hyperlink>
      <w:r>
        <w:rPr>
          <w:sz w:val="20"/>
        </w:rPr>
        <w:t xml:space="preserve"> Правительства РФ от 07.05.2017 N 542)</w:t>
      </w:r>
    </w:p>
    <w:p>
      <w:pPr>
        <w:pStyle w:val="0"/>
        <w:spacing w:before="200" w:line-rule="auto"/>
        <w:ind w:firstLine="540"/>
        <w:jc w:val="both"/>
      </w:pPr>
      <w:r>
        <w:rPr>
          <w:sz w:val="20"/>
        </w:rPr>
        <w:t xml:space="preserve">98. При невыполнении требований технических условий субъект оперативно-диспетчерского управления уведомляет об этом сетевую организацию в письменной форме с указанием замечаний.</w:t>
      </w:r>
    </w:p>
    <w:p>
      <w:pPr>
        <w:pStyle w:val="0"/>
        <w:spacing w:before="200" w:line-rule="auto"/>
        <w:ind w:firstLine="540"/>
        <w:jc w:val="both"/>
      </w:pPr>
      <w:r>
        <w:rPr>
          <w:sz w:val="20"/>
        </w:rPr>
        <w:t xml:space="preserve">Сетевая организация, в свою очередь, в письменной форме уведомляет заявителя о выявленных замечаниях по мероприятиям, выполнение которых возложено на заявителя, с приложением к такому уведомлению замечаний субъекта оперативно-диспетчерского управления.</w:t>
      </w:r>
    </w:p>
    <w:p>
      <w:pPr>
        <w:pStyle w:val="0"/>
        <w:spacing w:before="200" w:line-rule="auto"/>
        <w:ind w:firstLine="540"/>
        <w:jc w:val="both"/>
      </w:pPr>
      <w:r>
        <w:rPr>
          <w:sz w:val="20"/>
        </w:rPr>
        <w:t xml:space="preserve">До получения от заявителя и (или) сетевой организации соответственно письменного уведомления об устранении замечаний с приложением подтверждающих документов осмотр (обследование) электроустановок заявителя и (или) объектов электросетевого хозяйства сетевой организации не проводится.</w:t>
      </w:r>
    </w:p>
    <w:p>
      <w:pPr>
        <w:pStyle w:val="0"/>
        <w:spacing w:before="200" w:line-rule="auto"/>
        <w:ind w:firstLine="540"/>
        <w:jc w:val="both"/>
      </w:pPr>
      <w:r>
        <w:rPr>
          <w:sz w:val="20"/>
        </w:rPr>
        <w:t xml:space="preserve">Повторный осмотр осуществляется не позднее чем через 3 рабочих дня после получения от заявителя или сетевой организации соответственно уведомления об устранении замечаний с приложением информации и документов о принятых мерах по их устранению.</w:t>
      </w:r>
    </w:p>
    <w:p>
      <w:pPr>
        <w:pStyle w:val="0"/>
        <w:spacing w:before="200" w:line-rule="auto"/>
        <w:ind w:firstLine="540"/>
        <w:jc w:val="both"/>
      </w:pPr>
      <w:r>
        <w:rPr>
          <w:sz w:val="20"/>
        </w:rPr>
        <w:t xml:space="preserve">99. По результатам мероприятий по проверке выполнения технических условий сетевая организация составляет в 3 экземплярах акт о выполнении технических условий и согласовывает его с субъектом оперативно-диспетчерского управления.</w:t>
      </w:r>
    </w:p>
    <w:p>
      <w:pPr>
        <w:pStyle w:val="0"/>
        <w:spacing w:before="200" w:line-rule="auto"/>
        <w:ind w:firstLine="540"/>
        <w:jc w:val="both"/>
      </w:pPr>
      <w:r>
        <w:rPr>
          <w:sz w:val="20"/>
        </w:rPr>
        <w:t xml:space="preserve">Акт о выполнении технических условий должен содержать выводы о выполнении (невыполнении) всех мероприятий и требований, предусмотренных техническими условиями.</w:t>
      </w:r>
    </w:p>
    <w:p>
      <w:pPr>
        <w:pStyle w:val="0"/>
        <w:spacing w:before="200" w:line-rule="auto"/>
        <w:ind w:firstLine="540"/>
        <w:jc w:val="both"/>
      </w:pPr>
      <w:r>
        <w:rPr>
          <w:sz w:val="20"/>
        </w:rPr>
        <w:t xml:space="preserve">Сетевая организация в 3-дневный срок направляет заявителю подписанный со своей стороны акт о выполнении технических условий в 2 экземплярах. В случае если технические условия были согласованы с субъектом оперативно-диспетчерского управления, акт о выполнении технических условий, согласованный с субъектом оперативно-диспетчерского управления, направляется заявителю в 3 экземплярах.</w:t>
      </w:r>
    </w:p>
    <w:p>
      <w:pPr>
        <w:pStyle w:val="0"/>
        <w:jc w:val="both"/>
      </w:pPr>
      <w:r>
        <w:rPr>
          <w:sz w:val="20"/>
        </w:rPr>
        <w:t xml:space="preserve">(в ред. </w:t>
      </w:r>
      <w:hyperlink w:history="0" r:id="rId1063"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Постановления</w:t>
        </w:r>
      </w:hyperlink>
      <w:r>
        <w:rPr>
          <w:sz w:val="20"/>
        </w:rPr>
        <w:t xml:space="preserve"> Правительства РФ от 30.09.2015 N 1044)</w:t>
      </w:r>
    </w:p>
    <w:p>
      <w:pPr>
        <w:pStyle w:val="0"/>
        <w:spacing w:before="200" w:line-rule="auto"/>
        <w:ind w:firstLine="540"/>
        <w:jc w:val="both"/>
      </w:pPr>
      <w:r>
        <w:rPr>
          <w:sz w:val="20"/>
        </w:rPr>
        <w:t xml:space="preserve">Заявитель в течение 5 дней со дня получения акта о выполнении технических условий в 3 экземплярах возвращает в сетевую организацию подписанные со своей стороны экземпляры акта о выполнении технических условий, при этом один экземпляр акта о выполнении технических условий остается у заявителя.</w:t>
      </w:r>
    </w:p>
    <w:p>
      <w:pPr>
        <w:pStyle w:val="0"/>
        <w:spacing w:before="200" w:line-rule="auto"/>
        <w:ind w:firstLine="540"/>
        <w:jc w:val="both"/>
      </w:pPr>
      <w:r>
        <w:rPr>
          <w:sz w:val="20"/>
        </w:rPr>
        <w:t xml:space="preserve">Сетевая организация в течение 2 дней со дня получения 2 подписанных заявителем экземпляров акта о выполнении технических условий направляет один экземпляр акта о выполнении технических условий субъекту оперативно-диспетчерского управления.</w:t>
      </w:r>
    </w:p>
    <w:p>
      <w:pPr>
        <w:pStyle w:val="0"/>
        <w:spacing w:before="200" w:line-rule="auto"/>
        <w:ind w:firstLine="540"/>
        <w:jc w:val="both"/>
      </w:pPr>
      <w:r>
        <w:rPr>
          <w:sz w:val="20"/>
        </w:rPr>
        <w:t xml:space="preserve">100. В случае если проверки выполнения технических условий в части мероприятий, выполнение которых возложено на заявителя, и в части мероприятий, выполняемых сетевой организацией, проводятся отдельно (в разное время), допускается составление отдельных актов о выполнении технических условий по результатам каждой из проверок.</w:t>
      </w:r>
    </w:p>
    <w:p>
      <w:pPr>
        <w:pStyle w:val="0"/>
        <w:spacing w:before="200" w:line-rule="auto"/>
        <w:ind w:firstLine="540"/>
        <w:jc w:val="both"/>
      </w:pPr>
      <w:r>
        <w:rPr>
          <w:sz w:val="20"/>
        </w:rPr>
        <w:t xml:space="preserve">По результатам проверки выполнения технических условий сетевой организацией, в случае если такая проверка проводится отдельно от проверки выполнения технических условий заявителем, акт о выполнении технических условий подготавливается сетевой организацией и подписывается сетевой организацией и субъектом оперативно-диспетчерского управления.</w:t>
      </w:r>
    </w:p>
    <w:p>
      <w:pPr>
        <w:pStyle w:val="0"/>
        <w:jc w:val="both"/>
      </w:pPr>
      <w:r>
        <w:rPr>
          <w:sz w:val="20"/>
        </w:rPr>
        <w:t xml:space="preserve">(в ред. </w:t>
      </w:r>
      <w:hyperlink w:history="0" r:id="rId1064"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Постановления</w:t>
        </w:r>
      </w:hyperlink>
      <w:r>
        <w:rPr>
          <w:sz w:val="20"/>
        </w:rPr>
        <w:t xml:space="preserve"> Правительства РФ от 07.05.2017 N 542)</w:t>
      </w:r>
    </w:p>
    <w:p>
      <w:pPr>
        <w:pStyle w:val="0"/>
        <w:spacing w:before="200" w:line-rule="auto"/>
        <w:ind w:firstLine="540"/>
        <w:jc w:val="both"/>
      </w:pPr>
      <w:r>
        <w:rPr>
          <w:sz w:val="20"/>
        </w:rPr>
        <w:t xml:space="preserve">101. В случае если техническими условиями предусмотрен поэтапный ввод в работу энергопринимающих устройств, проверка выполнения технических условий проводится в части мероприятий, предусмотренных каждым этапом, и по техническим условиям в целом по завершении выполнения всех этапов.</w:t>
      </w:r>
    </w:p>
    <w:bookmarkStart w:id="2094" w:name="P2094"/>
    <w:bookmarkEnd w:id="2094"/>
    <w:p>
      <w:pPr>
        <w:pStyle w:val="0"/>
        <w:spacing w:before="200" w:line-rule="auto"/>
        <w:ind w:firstLine="540"/>
        <w:jc w:val="both"/>
      </w:pPr>
      <w:r>
        <w:rPr>
          <w:sz w:val="20"/>
        </w:rPr>
        <w:t xml:space="preserve">102. Срок проведения мероприятий по проверке выполнения технических условий (с учетом выдачи заявителю подписанных со стороны сетевой организации и субъекта оперативно-диспетчерского управления акта о выполнении технических условий) не должен превышать 25 дней со дня получения сетевой организацией уведомления от заявителя о готовности к проверке выполнения технических условий либо уведомления об устранении замечаний.</w:t>
      </w:r>
    </w:p>
    <w:p>
      <w:pPr>
        <w:pStyle w:val="0"/>
        <w:ind w:firstLine="540"/>
        <w:jc w:val="both"/>
      </w:pPr>
      <w:r>
        <w:rPr>
          <w:sz w:val="20"/>
        </w:rPr>
      </w:r>
    </w:p>
    <w:bookmarkStart w:id="2096" w:name="P2096"/>
    <w:bookmarkEnd w:id="2096"/>
    <w:p>
      <w:pPr>
        <w:pStyle w:val="2"/>
        <w:outlineLvl w:val="1"/>
        <w:jc w:val="center"/>
      </w:pPr>
      <w:r>
        <w:rPr>
          <w:sz w:val="20"/>
        </w:rPr>
        <w:t xml:space="preserve">X. Особенности технологического присоединения заявителей,</w:t>
      </w:r>
    </w:p>
    <w:p>
      <w:pPr>
        <w:pStyle w:val="2"/>
        <w:jc w:val="center"/>
      </w:pPr>
      <w:r>
        <w:rPr>
          <w:sz w:val="20"/>
        </w:rPr>
        <w:t xml:space="preserve">указанных в пунктах 12(1), 13(2) - 13(5) и 14 настоящих Правил</w:t>
      </w:r>
    </w:p>
    <w:p>
      <w:pPr>
        <w:pStyle w:val="0"/>
        <w:jc w:val="center"/>
      </w:pPr>
      <w:r>
        <w:rPr>
          <w:sz w:val="20"/>
        </w:rPr>
        <w:t xml:space="preserve">(в ред. </w:t>
      </w:r>
      <w:hyperlink w:history="0" r:id="rId1065"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Постановления</w:t>
        </w:r>
      </w:hyperlink>
      <w:r>
        <w:rPr>
          <w:sz w:val="20"/>
        </w:rPr>
        <w:t xml:space="preserve"> Правительства РФ от 02.03.2021 N 299)</w:t>
      </w:r>
    </w:p>
    <w:p>
      <w:pPr>
        <w:pStyle w:val="0"/>
        <w:jc w:val="center"/>
      </w:pPr>
      <w:r>
        <w:rPr>
          <w:sz w:val="20"/>
        </w:rPr>
        <w:t xml:space="preserve">(введен </w:t>
      </w:r>
      <w:hyperlink w:history="0" r:id="rId1066" w:tooltip="Постановление Правительства РФ от 10.03.2020 N 262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нологического присоединения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10.03.2020 N 262)</w:t>
      </w:r>
    </w:p>
    <w:p>
      <w:pPr>
        <w:pStyle w:val="0"/>
        <w:jc w:val="both"/>
      </w:pPr>
      <w:r>
        <w:rPr>
          <w:sz w:val="20"/>
        </w:rPr>
      </w:r>
    </w:p>
    <w:bookmarkStart w:id="2101" w:name="P2101"/>
    <w:bookmarkEnd w:id="2101"/>
    <w:p>
      <w:pPr>
        <w:pStyle w:val="0"/>
        <w:ind w:firstLine="540"/>
        <w:jc w:val="both"/>
      </w:pPr>
      <w:r>
        <w:rPr>
          <w:sz w:val="20"/>
        </w:rPr>
        <w:t xml:space="preserve">103. Договор между сетевой организацией и заявителем, указанным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заключается с использованием личного кабинета заявителя.</w:t>
      </w:r>
    </w:p>
    <w:p>
      <w:pPr>
        <w:pStyle w:val="0"/>
        <w:spacing w:before="200" w:line-rule="auto"/>
        <w:ind w:firstLine="540"/>
        <w:jc w:val="both"/>
      </w:pPr>
      <w:r>
        <w:rPr>
          <w:sz w:val="20"/>
        </w:rPr>
        <w:t xml:space="preserve">Действие договора между сетевой организацией и заявителем, указанным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не ставится в зависимость от факта составления договора, подписанного сторонами в письменной форме.</w:t>
      </w:r>
    </w:p>
    <w:p>
      <w:pPr>
        <w:pStyle w:val="0"/>
        <w:spacing w:before="200" w:line-rule="auto"/>
        <w:ind w:firstLine="540"/>
        <w:jc w:val="both"/>
      </w:pPr>
      <w:r>
        <w:rPr>
          <w:sz w:val="20"/>
        </w:rPr>
        <w:t xml:space="preserve">Наличие договора между сетевой организацией и заявителем, указанным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подтверждается документом об оплате (полностью или в установленных настоящими Правилами случаях частично) заявителем сетевой организации выставленного ею и размещенного в личном кабинете заявителя счета на оплату технологического присоединения по договору, предусмотренному </w:t>
      </w:r>
      <w:hyperlink w:history="0" w:anchor="P2114" w:tooltip="105. В отношении заявителя, указанного в пунктах 12(1), 13(2) - 13(5) и 14 настоящих Правил, сетевая организация в течение 10 рабочих дней со дня поступления заявки размещает в личном кабинете заявителя:">
        <w:r>
          <w:rPr>
            <w:sz w:val="20"/>
            <w:color w:val="0000ff"/>
          </w:rPr>
          <w:t xml:space="preserve">пунктом 105</w:t>
        </w:r>
      </w:hyperlink>
      <w:r>
        <w:rPr>
          <w:sz w:val="20"/>
        </w:rPr>
        <w:t xml:space="preserve"> настоящих Правил. Документ об оплате должен содержать наименование и платежные реквизиты сетевой организации, а также реквизиты счета на оплату технологического присоединения.</w:t>
      </w:r>
    </w:p>
    <w:p>
      <w:pPr>
        <w:pStyle w:val="0"/>
        <w:spacing w:before="200" w:line-rule="auto"/>
        <w:ind w:firstLine="540"/>
        <w:jc w:val="both"/>
      </w:pPr>
      <w:r>
        <w:rPr>
          <w:sz w:val="20"/>
        </w:rPr>
        <w:t xml:space="preserve">В счет на оплату технологического присоединения по договору включается плата за технологическое присоединение в полном объеме.</w:t>
      </w:r>
    </w:p>
    <w:p>
      <w:pPr>
        <w:pStyle w:val="0"/>
        <w:spacing w:before="200" w:line-rule="auto"/>
        <w:ind w:firstLine="540"/>
        <w:jc w:val="both"/>
      </w:pPr>
      <w:r>
        <w:rPr>
          <w:sz w:val="20"/>
        </w:rPr>
        <w:t xml:space="preserve">Оплата счета (кроме случаев, когда заявитель в соответствии с настоящими Правилами воспользовался правом предоставления рассрочки платежа за технологическое присоединение) осуществляется в следующем порядке:</w:t>
      </w:r>
    </w:p>
    <w:p>
      <w:pPr>
        <w:pStyle w:val="0"/>
        <w:spacing w:before="200" w:line-rule="auto"/>
        <w:ind w:firstLine="540"/>
        <w:jc w:val="both"/>
      </w:pPr>
      <w:r>
        <w:rPr>
          <w:sz w:val="20"/>
        </w:rPr>
        <w:t xml:space="preserve">15 процентов платы за технологическое присоединение вносятся в порядке, предусмотренном </w:t>
      </w:r>
      <w:hyperlink w:history="0" w:anchor="P2124" w:tooltip="106. Заявитель обязан в течение 5 рабочих дней (если для заявителя установлено требование осуществления закупки с соблюдением требований Федерального закона &quot;О контрактной системе в сфере закупок товаров, работ, услуг для обеспечения государственных и муниципальных нужд&quot; или Федерального закона &quot;О государственном оборонном заказе&quot;, - в течение 15 рабочих дней) со дня выставления сетевой организацией счета на оплату технологического присоединения, предусмотренного пунктом 103 настоящих Правил, оплатить та...">
        <w:r>
          <w:rPr>
            <w:sz w:val="20"/>
            <w:color w:val="0000ff"/>
          </w:rPr>
          <w:t xml:space="preserve">пунктом 106</w:t>
        </w:r>
      </w:hyperlink>
      <w:r>
        <w:rPr>
          <w:sz w:val="20"/>
        </w:rPr>
        <w:t xml:space="preserve"> настоящих Правил;</w:t>
      </w:r>
    </w:p>
    <w:p>
      <w:pPr>
        <w:pStyle w:val="0"/>
        <w:spacing w:before="200" w:line-rule="auto"/>
        <w:ind w:firstLine="540"/>
        <w:jc w:val="both"/>
      </w:pPr>
      <w:r>
        <w:rPr>
          <w:sz w:val="20"/>
        </w:rPr>
        <w:t xml:space="preserve">30 процентов платы за технологическое присоединение вносятся в течение 20 дней со дня размещения в личном кабинете заявителя счета;</w:t>
      </w:r>
    </w:p>
    <w:p>
      <w:pPr>
        <w:pStyle w:val="0"/>
        <w:spacing w:before="200" w:line-rule="auto"/>
        <w:ind w:firstLine="540"/>
        <w:jc w:val="both"/>
      </w:pPr>
      <w:r>
        <w:rPr>
          <w:sz w:val="20"/>
        </w:rPr>
        <w:t xml:space="preserve">35 процентов платы за технологическое присоединение вносятся в течение 40 дней со дня размещения в личном кабинете заявителя счета;</w:t>
      </w:r>
    </w:p>
    <w:p>
      <w:pPr>
        <w:pStyle w:val="0"/>
        <w:spacing w:before="200" w:line-rule="auto"/>
        <w:ind w:firstLine="540"/>
        <w:jc w:val="both"/>
      </w:pPr>
      <w:r>
        <w:rPr>
          <w:sz w:val="20"/>
        </w:rPr>
        <w:t xml:space="preserve">20 процентов платы за технологическое присоединение вносятся в течение 10 дней со дня размещения в личном кабинете заявителя акта об осуществлении технологического присоединения или уведомления об обеспечении сетевой организацией возможности присоединения к электрическим сетям.</w:t>
      </w:r>
    </w:p>
    <w:p>
      <w:pPr>
        <w:pStyle w:val="0"/>
        <w:jc w:val="both"/>
      </w:pPr>
      <w:r>
        <w:rPr>
          <w:sz w:val="20"/>
        </w:rPr>
        <w:t xml:space="preserve">(п. 103 в ред. </w:t>
      </w:r>
      <w:hyperlink w:history="0" r:id="rId1067"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bookmarkStart w:id="2111" w:name="P2111"/>
    <w:bookmarkEnd w:id="2111"/>
    <w:p>
      <w:pPr>
        <w:pStyle w:val="0"/>
        <w:spacing w:before="200" w:line-rule="auto"/>
        <w:ind w:firstLine="540"/>
        <w:jc w:val="both"/>
      </w:pPr>
      <w:r>
        <w:rPr>
          <w:sz w:val="20"/>
        </w:rPr>
        <w:t xml:space="preserve">104. В отношении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и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настоящих Правил заявителей (с учетом предусмотренных </w:t>
      </w:r>
      <w:hyperlink w:history="0" w:anchor="P1098" w:tooltip="12(2). Предусмотренные пунктом 12(1) настоящих Правил заявители, за исключением заявителей, соответствующих критериям, указанным в абзаце двадцать шестом пункта 17 настоящих Правил, при желании воспользоваться рассрочкой платежа за технологическое присоединение указывают об этом в направляемой ими заявке.">
        <w:r>
          <w:rPr>
            <w:sz w:val="20"/>
            <w:color w:val="0000ff"/>
          </w:rPr>
          <w:t xml:space="preserve">пунктами 12(2)</w:t>
        </w:r>
      </w:hyperlink>
      <w:r>
        <w:rPr>
          <w:sz w:val="20"/>
        </w:rPr>
        <w:t xml:space="preserve"> и </w:t>
      </w:r>
      <w:hyperlink w:history="0" w:anchor="P1164" w:tooltip="13(7). Заявители из числа указанных в пунктах 13(3) и 13(5) настоящих Правил, за исключением заявителей, соответствующих критериям, указанным в абзаце восьмом пункта 17 настоящих Правил, при желании воспользоваться рассрочкой платежа за технологическое присоединение указывают это в направляемой ими заявке.">
        <w:r>
          <w:rPr>
            <w:sz w:val="20"/>
            <w:color w:val="0000ff"/>
          </w:rPr>
          <w:t xml:space="preserve">13(7)</w:t>
        </w:r>
      </w:hyperlink>
      <w:r>
        <w:rPr>
          <w:sz w:val="20"/>
        </w:rPr>
        <w:t xml:space="preserve"> настоящих Правил требований) в заявке (по желанию таких заявителей) предусматривается рассрочка платежа в размере 90 процентов платы за технологическое присоединение с условием ежеквартального внесения платы равными долями от общей суммы рассрочки на период до 3 лет со дня подписания сторонами акта об осуществлении технологического присоединения (в отношении заявителей, технологическое присоединение энергопринимающих устройств которых осуществляется на уровне напряжения 0,4 кВ и ниже, - со дня размещения в личном кабинете заявителя уведомления об обеспечении сетевой организацией возможности присоединения к электрическим сетям, подписанного со стороны сетевой организации). В этом случае в счет, предусмотренный </w:t>
      </w:r>
      <w:hyperlink w:history="0" w:anchor="P2101" w:tooltip="103. Договор между сетевой организацией и заявителем, указанным в пунктах 12(1), 13(2) - 13(5) и 14 настоящих Правил, заключается с использованием личного кабинета заявителя.">
        <w:r>
          <w:rPr>
            <w:sz w:val="20"/>
            <w:color w:val="0000ff"/>
          </w:rPr>
          <w:t xml:space="preserve">пунктом 103</w:t>
        </w:r>
      </w:hyperlink>
      <w:r>
        <w:rPr>
          <w:sz w:val="20"/>
        </w:rPr>
        <w:t xml:space="preserve"> настоящих Правил, включается 10 процентов стоимости мероприятий по технологическому присоединению энергопринимающих устройств заявителя.</w:t>
      </w:r>
    </w:p>
    <w:p>
      <w:pPr>
        <w:pStyle w:val="0"/>
        <w:spacing w:before="200" w:line-rule="auto"/>
        <w:ind w:firstLine="540"/>
        <w:jc w:val="both"/>
      </w:pPr>
      <w:r>
        <w:rPr>
          <w:sz w:val="20"/>
        </w:rPr>
        <w:t xml:space="preserve">В случае если в соответствии с </w:t>
      </w:r>
      <w:hyperlink w:history="0" w:anchor="P2142" w:tooltip="Заявитель в течение 20 рабочих дней со дня получения уведомления от сетевой организации о составлении и размещении в личном кабинете заявителя акта о выполнении технических условий и акта об осуществлении технологического присоединения (в отношении заявителей, указанных в пунктах 12(1), 13(2) - 13(5) и 14 настоящих Правил, технологическое присоединение энергопринимающих устройств (объектов микрогенерации) которых осуществляется на уровне напряжения 0,4 кВ и ниже, - уведомления об обеспечении сетевой орга...">
        <w:r>
          <w:rPr>
            <w:sz w:val="20"/>
            <w:color w:val="0000ff"/>
          </w:rPr>
          <w:t xml:space="preserve">абзацем вторым пункта 110</w:t>
        </w:r>
      </w:hyperlink>
      <w:r>
        <w:rPr>
          <w:sz w:val="20"/>
        </w:rPr>
        <w:t xml:space="preserve"> настоящих Правил заявителем представлены замечания к размещенному в личном кабинете заявителя уведомлению об обеспечении сетевой организацией возможности присоединения к электрическим сетям, исчисление срока, предусмотренного </w:t>
      </w:r>
      <w:hyperlink w:history="0" w:anchor="P2111" w:tooltip="104. В отношении указанных в пунктах 12(1), 13(2) и 13(5) настоящих Правил заявителей (с учетом предусмотренных пунктами 12(2) и 13(7) настоящих Правил требований) в заявке (по желанию таких заявителей) предусматривается рассрочка платежа в размере 90 процентов платы за технологическое присоединение с условием ежеквартального внесения платы равными долями от общей суммы рассрочки на период до 3 лет со дня подписания сторонами акта об осуществлении технологического присоединения (в отношении заявителей, т...">
        <w:r>
          <w:rPr>
            <w:sz w:val="20"/>
            <w:color w:val="0000ff"/>
          </w:rPr>
          <w:t xml:space="preserve">абзацем первым</w:t>
        </w:r>
      </w:hyperlink>
      <w:r>
        <w:rPr>
          <w:sz w:val="20"/>
        </w:rPr>
        <w:t xml:space="preserve"> настоящего пункта, осуществляется со дня, когда после повторного размещения сетевой организацией в личном кабинете заявителя уведомления об обеспечении сетевой организацией возможности присоединения к электрическим сетям замечания признаются устраненными в соответствии с </w:t>
      </w:r>
      <w:hyperlink w:history="0" w:anchor="P2140" w:tooltip="110. В отношении заявителей, указанных в пунктах 12(1), 13(2) - 13(5) и 14 настоящих Правил, технологическое присоединение энергопринимающих устройств (объектов микрогенерации) которых осуществляется на уровне напряжения 0,4 кВ и ниже, по результатам выполнения сетевой организацией мероприятий по технологическому присоединению в соответствии с техническими условиями сетевая организация в течение одного рабочего дня составляет уведомление об обеспечении сетевой организацией возможности присоединения к эле...">
        <w:r>
          <w:rPr>
            <w:sz w:val="20"/>
            <w:color w:val="0000ff"/>
          </w:rPr>
          <w:t xml:space="preserve">пунктом 110</w:t>
        </w:r>
      </w:hyperlink>
      <w:r>
        <w:rPr>
          <w:sz w:val="20"/>
        </w:rPr>
        <w:t xml:space="preserve"> настоящих Правил.</w:t>
      </w:r>
    </w:p>
    <w:p>
      <w:pPr>
        <w:pStyle w:val="0"/>
        <w:jc w:val="both"/>
      </w:pPr>
      <w:r>
        <w:rPr>
          <w:sz w:val="20"/>
        </w:rPr>
        <w:t xml:space="preserve">(п. 104 в ред. </w:t>
      </w:r>
      <w:hyperlink w:history="0" r:id="rId1068"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bookmarkStart w:id="2114" w:name="P2114"/>
    <w:bookmarkEnd w:id="2114"/>
    <w:p>
      <w:pPr>
        <w:pStyle w:val="0"/>
        <w:spacing w:before="200" w:line-rule="auto"/>
        <w:ind w:firstLine="540"/>
        <w:jc w:val="both"/>
      </w:pPr>
      <w:r>
        <w:rPr>
          <w:sz w:val="20"/>
        </w:rPr>
        <w:t xml:space="preserve">105. В отношении заявителя, указанного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сетевая организация в течение 10 рабочих дней со дня поступления заявки размещает в личном кабинете заявителя:</w:t>
      </w:r>
    </w:p>
    <w:p>
      <w:pPr>
        <w:pStyle w:val="0"/>
        <w:spacing w:before="200" w:line-rule="auto"/>
        <w:ind w:firstLine="540"/>
        <w:jc w:val="both"/>
      </w:pPr>
      <w:r>
        <w:rPr>
          <w:sz w:val="20"/>
        </w:rPr>
        <w:t xml:space="preserve">условия типового договора об осуществлении технологического присоединения к электрическим сетям согласно </w:t>
      </w:r>
      <w:hyperlink w:history="0" w:anchor="P5871" w:tooltip="УСЛОВИЯ">
        <w:r>
          <w:rPr>
            <w:sz w:val="20"/>
            <w:color w:val="0000ff"/>
          </w:rPr>
          <w:t xml:space="preserve">приложению N 17</w:t>
        </w:r>
      </w:hyperlink>
      <w:r>
        <w:rPr>
          <w:sz w:val="20"/>
        </w:rPr>
        <w:t xml:space="preserve">;</w:t>
      </w:r>
    </w:p>
    <w:p>
      <w:pPr>
        <w:pStyle w:val="0"/>
        <w:spacing w:before="200" w:line-rule="auto"/>
        <w:ind w:firstLine="540"/>
        <w:jc w:val="both"/>
      </w:pPr>
      <w:r>
        <w:rPr>
          <w:sz w:val="20"/>
        </w:rPr>
        <w:t xml:space="preserve">счет на оплату технологического присоединения по договору;</w:t>
      </w:r>
    </w:p>
    <w:p>
      <w:pPr>
        <w:pStyle w:val="0"/>
        <w:spacing w:before="200" w:line-rule="auto"/>
        <w:ind w:firstLine="540"/>
        <w:jc w:val="both"/>
      </w:pPr>
      <w:r>
        <w:rPr>
          <w:sz w:val="20"/>
        </w:rPr>
        <w:t xml:space="preserve">подписанные со стороны сетевой организации технические условия, содержащие перечень мероприятий по технологическому присоединению в соответствии с </w:t>
      </w:r>
      <w:hyperlink w:history="0" w:anchor="P1524" w:tooltip="25(1). В технических условиях для заявителей, предусмотренных пунктами 12.1 и 14 настоящих Правил, должны быть указаны:">
        <w:r>
          <w:rPr>
            <w:sz w:val="20"/>
            <w:color w:val="0000ff"/>
          </w:rPr>
          <w:t xml:space="preserve">пунктами 25(1)</w:t>
        </w:r>
      </w:hyperlink>
      <w:r>
        <w:rPr>
          <w:sz w:val="20"/>
        </w:rPr>
        <w:t xml:space="preserve">, </w:t>
      </w:r>
      <w:hyperlink w:history="0" w:anchor="P1552" w:tooltip="25(6). В технических условиях для заявителей, предусмотренных пунктами 13(2) и 13(4) настоящих Правил, должны быть указаны:">
        <w:r>
          <w:rPr>
            <w:sz w:val="20"/>
            <w:color w:val="0000ff"/>
          </w:rPr>
          <w:t xml:space="preserve">25(6)</w:t>
        </w:r>
      </w:hyperlink>
      <w:r>
        <w:rPr>
          <w:sz w:val="20"/>
        </w:rPr>
        <w:t xml:space="preserve"> и </w:t>
      </w:r>
      <w:hyperlink w:history="0" w:anchor="P1559" w:tooltip="25(7). В технических условиях для заявителей, предусмотренных пунктами 13(3) и 13(5) настоящих Правил, должны быть указаны:">
        <w:r>
          <w:rPr>
            <w:sz w:val="20"/>
            <w:color w:val="0000ff"/>
          </w:rPr>
          <w:t xml:space="preserve">25(7)</w:t>
        </w:r>
      </w:hyperlink>
      <w:r>
        <w:rPr>
          <w:sz w:val="20"/>
        </w:rPr>
        <w:t xml:space="preserve"> настоящих Правил, а также срок выполнения мероприятий по технологическому присоединению со стороны заявителя и сетевой организации;</w:t>
      </w:r>
    </w:p>
    <w:p>
      <w:pPr>
        <w:pStyle w:val="0"/>
        <w:spacing w:before="200" w:line-rule="auto"/>
        <w:ind w:firstLine="540"/>
        <w:jc w:val="both"/>
      </w:pPr>
      <w:r>
        <w:rPr>
          <w:sz w:val="20"/>
        </w:rPr>
        <w:t xml:space="preserve">инструкцию, содержащую последовательный перечень мероприятий, обеспечивающих безопасное осуществление действиями заявителя фактического присоединения и фактического приема напряжения и мощности.</w:t>
      </w:r>
    </w:p>
    <w:p>
      <w:pPr>
        <w:pStyle w:val="0"/>
        <w:spacing w:before="200" w:line-rule="auto"/>
        <w:ind w:firstLine="540"/>
        <w:jc w:val="both"/>
      </w:pPr>
      <w:r>
        <w:rPr>
          <w:sz w:val="20"/>
        </w:rPr>
        <w:t xml:space="preserve">Размещенные в личном кабинете заявителя условия типового договора об осуществлении технологического присоединения к электрическим сетям и технические условия признаются офертой, а оплата заявителем счета на оплату технологического присоединения по договору - акцептом договора об осуществлении технологического присоединения к электрическим сетям и технических условий. В случае несогласия с размещенными сетевой организацией в личном кабинете заявителя документами, предусмотренными абзацами вторым - четвертым настоящего пункта, и (или) несоответствия их настоящим Правилам заявитель вправе в течение 5 рабочих дней со дня размещения сетевой организацией таких документов направить сетевой организации мотивированный отказ от заключения договора с предложением об изменении размещенных документов и требованием о приведении их в соответствие с настоящими Правилами. Размещение сетевой организацией указанных документов, приведенных в соответствие с настоящими Правилами, осуществляется с использованием личного кабинета заявителя в течение 10 рабочих дней со дня получения такого требования.</w:t>
      </w:r>
    </w:p>
    <w:p>
      <w:pPr>
        <w:pStyle w:val="0"/>
        <w:spacing w:before="200" w:line-rule="auto"/>
        <w:ind w:firstLine="540"/>
        <w:jc w:val="both"/>
      </w:pPr>
      <w:r>
        <w:rPr>
          <w:sz w:val="20"/>
        </w:rPr>
        <w:t xml:space="preserve">В случае отсутствия у заявителя личного кабинета заявителя сетевая организация обязана его зарегистрировать и сообщить заявителю порядок доступа к личному кабинету заявителя, включая получение первоначального доступа к личному кабинету, регистрацию и авторизацию потребителя, определяемый в соответствии с едиными стандартами качества обслуживания сетевыми организациями потребителей услуг сетевых организаций,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pPr>
        <w:pStyle w:val="0"/>
        <w:spacing w:before="200" w:line-rule="auto"/>
        <w:ind w:firstLine="540"/>
        <w:jc w:val="both"/>
      </w:pPr>
      <w:r>
        <w:rPr>
          <w:sz w:val="20"/>
        </w:rPr>
        <w:t xml:space="preserve">В отношении заявителя, указанного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сетевая организация в офисах очного обслуживания потребителей обязана обеспечить доступ к личному кабинету потребителя на безвозмездной основе.</w:t>
      </w:r>
    </w:p>
    <w:p>
      <w:pPr>
        <w:pStyle w:val="0"/>
        <w:spacing w:before="200" w:line-rule="auto"/>
        <w:ind w:firstLine="540"/>
        <w:jc w:val="both"/>
      </w:pPr>
      <w:r>
        <w:rPr>
          <w:sz w:val="20"/>
        </w:rPr>
        <w:t xml:space="preserve">Сетевая организация обязана информировать заявителя на протяжении всей процедуры технологического присоединения о размещении в личном кабинете заявителя документов, подлежащих оформлению в процессе технологического присоединения энергопринимающих устройств заявителя, не позднее окончания рабочего дня, в течение которого был составлен и размещен документ, по указанным в заявке на технологическое присоединение номеру мобильного телефона и (или) адресу электронной почты заявителя или иным выбранным заявителем способом, позволяющим подтвердить факт получения информации.</w:t>
      </w:r>
    </w:p>
    <w:p>
      <w:pPr>
        <w:pStyle w:val="0"/>
        <w:jc w:val="both"/>
      </w:pPr>
      <w:r>
        <w:rPr>
          <w:sz w:val="20"/>
        </w:rPr>
        <w:t xml:space="preserve">(п. 105 в ред. </w:t>
      </w:r>
      <w:hyperlink w:history="0" r:id="rId1069"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bookmarkStart w:id="2124" w:name="P2124"/>
    <w:bookmarkEnd w:id="2124"/>
    <w:p>
      <w:pPr>
        <w:pStyle w:val="0"/>
        <w:spacing w:before="200" w:line-rule="auto"/>
        <w:ind w:firstLine="540"/>
        <w:jc w:val="both"/>
      </w:pPr>
      <w:r>
        <w:rPr>
          <w:sz w:val="20"/>
        </w:rPr>
        <w:t xml:space="preserve">106. Заявитель обязан в течение 5 рабочих дней (если для заявителя установлено требование осуществления закупки с соблюдением требований Федерального </w:t>
      </w:r>
      <w:hyperlink w:history="0" r:id="rId1070" w:tooltip="Федеральный закон от 05.04.2013 N 44-ФЗ (ред. от 28.06.2022)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 контрактной системе в сфере закупок товаров, работ, услуг для обеспечения государственных и муниципальных нужд" или Федерального </w:t>
      </w:r>
      <w:hyperlink w:history="0" r:id="rId1071" w:tooltip="Федеральный закон от 29.12.2012 N 275-ФЗ (ред. от 28.06.2022) &quot;О государственном оборонном заказе&quot; {КонсультантПлюс}">
        <w:r>
          <w:rPr>
            <w:sz w:val="20"/>
            <w:color w:val="0000ff"/>
          </w:rPr>
          <w:t xml:space="preserve">закона</w:t>
        </w:r>
      </w:hyperlink>
      <w:r>
        <w:rPr>
          <w:sz w:val="20"/>
        </w:rPr>
        <w:t xml:space="preserve"> "О государственном оборонном заказе", - в течение 15 рабочих дней) со дня выставления сетевой организацией счета на оплату технологического присоединения, предусмотренного </w:t>
      </w:r>
      <w:hyperlink w:history="0" w:anchor="P2101" w:tooltip="103. Договор между сетевой организацией и заявителем, указанным в пунктах 12(1), 13(2) - 13(5) и 14 настоящих Правил, заключается с использованием личного кабинета заявителя.">
        <w:r>
          <w:rPr>
            <w:sz w:val="20"/>
            <w:color w:val="0000ff"/>
          </w:rPr>
          <w:t xml:space="preserve">пунктом 103</w:t>
        </w:r>
      </w:hyperlink>
      <w:r>
        <w:rPr>
          <w:sz w:val="20"/>
        </w:rPr>
        <w:t xml:space="preserve"> настоящих Правил, оплатить такой счет в порядке, предусмотренном настоящими Правилами.</w:t>
      </w:r>
    </w:p>
    <w:p>
      <w:pPr>
        <w:pStyle w:val="0"/>
        <w:spacing w:before="200" w:line-rule="auto"/>
        <w:ind w:firstLine="540"/>
        <w:jc w:val="both"/>
      </w:pPr>
      <w:r>
        <w:rPr>
          <w:sz w:val="20"/>
        </w:rPr>
        <w:t xml:space="preserve">В случае неоплаты заявителем счета в установленный срок его заявка признается аннулированной.</w:t>
      </w:r>
    </w:p>
    <w:p>
      <w:pPr>
        <w:pStyle w:val="0"/>
        <w:jc w:val="both"/>
      </w:pPr>
      <w:r>
        <w:rPr>
          <w:sz w:val="20"/>
        </w:rPr>
        <w:t xml:space="preserve">(п. 106 в ред. </w:t>
      </w:r>
      <w:hyperlink w:history="0" r:id="rId1072"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bookmarkStart w:id="2127" w:name="P2127"/>
    <w:bookmarkEnd w:id="2127"/>
    <w:p>
      <w:pPr>
        <w:pStyle w:val="0"/>
        <w:spacing w:before="200" w:line-rule="auto"/>
        <w:ind w:firstLine="540"/>
        <w:jc w:val="both"/>
      </w:pPr>
      <w:r>
        <w:rPr>
          <w:sz w:val="20"/>
        </w:rPr>
        <w:t xml:space="preserve">107. Сетевая организация не позднее 2 рабочих дней со дня оплаты заявителем счета направляет копию заявки заявителя, а также копии документов, предусмотренных </w:t>
      </w:r>
      <w:hyperlink w:history="0" w:anchor="P1040" w:tooltip="10. К заявке прилагаются следующие документы:">
        <w:r>
          <w:rPr>
            <w:sz w:val="20"/>
            <w:color w:val="0000ff"/>
          </w:rPr>
          <w:t xml:space="preserve">пунктом 10</w:t>
        </w:r>
      </w:hyperlink>
      <w:r>
        <w:rPr>
          <w:sz w:val="20"/>
        </w:rPr>
        <w:t xml:space="preserve"> настоящих Правил, субъекту розничного рынка, указанному в заявке в соответствии с </w:t>
      </w:r>
      <w:hyperlink w:history="0" w:anchor="P1024"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
        <w:r>
          <w:rPr>
            <w:sz w:val="20"/>
            <w:color w:val="0000ff"/>
          </w:rPr>
          <w:t xml:space="preserve">подпунктом "л" пункта 9</w:t>
        </w:r>
      </w:hyperlink>
      <w:r>
        <w:rPr>
          <w:sz w:val="20"/>
        </w:rP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гарантирующему поставщику,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w:t>
      </w:r>
    </w:p>
    <w:p>
      <w:pPr>
        <w:pStyle w:val="0"/>
        <w:jc w:val="both"/>
      </w:pPr>
      <w:r>
        <w:rPr>
          <w:sz w:val="20"/>
        </w:rPr>
        <w:t xml:space="preserve">(п. 107 в ред. </w:t>
      </w:r>
      <w:hyperlink w:history="0" r:id="rId1073"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p>
      <w:pPr>
        <w:pStyle w:val="0"/>
        <w:spacing w:before="200" w:line-rule="auto"/>
        <w:ind w:firstLine="540"/>
        <w:jc w:val="both"/>
      </w:pPr>
      <w:r>
        <w:rPr>
          <w:sz w:val="20"/>
        </w:rPr>
        <w:t xml:space="preserve">108. Абзац утратил силу. - </w:t>
      </w:r>
      <w:hyperlink w:history="0" r:id="rId1074" w:tooltip="Постановление Правительства РФ от 21.12.2020 N 2184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Постановление</w:t>
        </w:r>
      </w:hyperlink>
      <w:r>
        <w:rPr>
          <w:sz w:val="20"/>
        </w:rPr>
        <w:t xml:space="preserve"> Правительства РФ от 21.12.2020 N 2184.</w:t>
      </w:r>
    </w:p>
    <w:p>
      <w:pPr>
        <w:pStyle w:val="0"/>
        <w:spacing w:before="200" w:line-rule="auto"/>
        <w:ind w:firstLine="540"/>
        <w:jc w:val="both"/>
      </w:pPr>
      <w:r>
        <w:rPr>
          <w:sz w:val="20"/>
        </w:rPr>
        <w:t xml:space="preserve">Если в соответствии с законодательством Российской Федерации установка приборов учета электрической энергии и (или) иного оборудования, необходимого для обеспечения коммерческого учета электрической энергии и обеспечения сетевой организацией возможности действиями заявителя осуществить фактическое присоединение объектов заявителя к электрическим сетям и фактический прием (подачу) напряжения и мощности для потребления энергопринимающими устройствами заявителя электрической энергии (мощности), возможна только в границах участка заявителя или на объектах заявителя, заявитель обязан на безвозмездной основе обеспечить предоставление сетевой организации мест установки приборов учета электрической энергии и (или) иного указанного оборудования и доступ к таким местам.</w:t>
      </w:r>
    </w:p>
    <w:p>
      <w:pPr>
        <w:pStyle w:val="0"/>
        <w:spacing w:before="200" w:line-rule="auto"/>
        <w:ind w:firstLine="540"/>
        <w:jc w:val="both"/>
      </w:pPr>
      <w:r>
        <w:rPr>
          <w:sz w:val="20"/>
        </w:rPr>
        <w:t xml:space="preserve">Результатом исполнения обязательств сетевой организации по выполнению мероприятий по технологическому присоединению энергопринимающих устройств (объектов микрогенерации) заявителей,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кроме случаев, если технологическое присоединение энергопринимающих устройств таких заявителей осуществляется на уровне напряжения выше 0,4 кВ, является обеспечение сетевой организацией возможности действиями заявителя осуществить фактическое присоединение объектов заявителя к электрическим сетям, а также фактический прием (подачу) напряжения и мощности для потребления энергопринимающими устройствами заявителя электрической энергии (мощности) и (или) выдачу в электрические сети производимой на объектах микрогенерации электрической энергии в соответствии с законодательством Российской Федерации и на основании договора, обеспечивающего продажу электрической энергии (мощности) на розничном рынке, договора купли-продажи электрической энергии, произведенной на объектах микрогенерации. Исполнение сетевой организацией указанных обязательств осуществляется вне зависимости от исполнения заявителем его обязательств по осуществлению мероприятий по технологическому присоединению.</w:t>
      </w:r>
    </w:p>
    <w:p>
      <w:pPr>
        <w:pStyle w:val="0"/>
        <w:jc w:val="both"/>
      </w:pPr>
      <w:r>
        <w:rPr>
          <w:sz w:val="20"/>
        </w:rPr>
        <w:t xml:space="preserve">(в ред. </w:t>
      </w:r>
      <w:hyperlink w:history="0" r:id="rId1075"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p>
      <w:pPr>
        <w:pStyle w:val="0"/>
        <w:spacing w:before="200" w:line-rule="auto"/>
        <w:ind w:firstLine="540"/>
        <w:jc w:val="both"/>
      </w:pPr>
      <w:r>
        <w:rPr>
          <w:sz w:val="20"/>
        </w:rPr>
        <w:t xml:space="preserve">В случае если технологическое присоединение энергопринимающих устройств заявителей,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осуществляется на уровне напряжения выше 0,4 кВ, мероприятия по технологическому присоединению включают в себя мероприятия, предусмотренные </w:t>
      </w:r>
      <w:hyperlink w:history="0" w:anchor="P1392" w:tooltip="18. Мероприятия по технологическому присоединению включают в себя:">
        <w:r>
          <w:rPr>
            <w:sz w:val="20"/>
            <w:color w:val="0000ff"/>
          </w:rPr>
          <w:t xml:space="preserve">пунктом 18</w:t>
        </w:r>
      </w:hyperlink>
      <w:r>
        <w:rPr>
          <w:sz w:val="20"/>
        </w:rPr>
        <w:t xml:space="preserve"> настоящих Правил.</w:t>
      </w:r>
    </w:p>
    <w:p>
      <w:pPr>
        <w:pStyle w:val="0"/>
        <w:jc w:val="both"/>
      </w:pPr>
      <w:r>
        <w:rPr>
          <w:sz w:val="20"/>
        </w:rPr>
        <w:t xml:space="preserve">(в ред. </w:t>
      </w:r>
      <w:hyperlink w:history="0" r:id="rId1076"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Постановления</w:t>
        </w:r>
      </w:hyperlink>
      <w:r>
        <w:rPr>
          <w:sz w:val="20"/>
        </w:rPr>
        <w:t xml:space="preserve"> Правительства РФ от 02.03.2021 N 299)</w:t>
      </w:r>
    </w:p>
    <w:p>
      <w:pPr>
        <w:pStyle w:val="0"/>
        <w:spacing w:before="200" w:line-rule="auto"/>
        <w:ind w:firstLine="540"/>
        <w:jc w:val="both"/>
      </w:pPr>
      <w:r>
        <w:rPr>
          <w:sz w:val="20"/>
        </w:rPr>
        <w:t xml:space="preserve">Указанные в настоящем пункте обязательства сетевой организации отражаются в технических условиях.</w:t>
      </w:r>
    </w:p>
    <w:bookmarkStart w:id="2136" w:name="P2136"/>
    <w:bookmarkEnd w:id="2136"/>
    <w:p>
      <w:pPr>
        <w:pStyle w:val="0"/>
        <w:spacing w:before="200" w:line-rule="auto"/>
        <w:ind w:firstLine="540"/>
        <w:jc w:val="both"/>
      </w:pPr>
      <w:r>
        <w:rPr>
          <w:sz w:val="20"/>
        </w:rPr>
        <w:t xml:space="preserve">109. Абзац утратил силу. - </w:t>
      </w:r>
      <w:hyperlink w:history="0" r:id="rId1077" w:tooltip="Постановление Правительства РФ от 21.12.2020 N 2184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Постановление</w:t>
        </w:r>
      </w:hyperlink>
      <w:r>
        <w:rPr>
          <w:sz w:val="20"/>
        </w:rPr>
        <w:t xml:space="preserve"> Правительства РФ от 21.12.2020 N 2184.</w:t>
      </w:r>
    </w:p>
    <w:p>
      <w:pPr>
        <w:pStyle w:val="0"/>
        <w:spacing w:before="200" w:line-rule="auto"/>
        <w:ind w:firstLine="540"/>
        <w:jc w:val="both"/>
      </w:pPr>
      <w:r>
        <w:rPr>
          <w:sz w:val="20"/>
        </w:rPr>
        <w:t xml:space="preserve">Допуск в эксплуатацию установленных приборов учета, за исключением коллективных (общедомовых) приборов учета электрической энергии, сетевая организация осуществляет самостоятельно (без участия иных субъектов розничных рынков). После осуществления допуска в эксплуатацию прибора учета сетевая организация не позднее окончания рабочего дня, когда был осуществлен допуск в эксплуатацию прибора учета, обязана разместить в личном кабинете потребителя акт допуска прибора учета в эксплуатацию, оформленный в соответствии с требованиями </w:t>
      </w:r>
      <w:hyperlink w:history="0" r:id="rId1078" w:tooltip="Постановление Правительства РФ от 04.05.2012 N 442 (ред. от 30.06.2022)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раздела X</w:t>
        </w:r>
      </w:hyperlink>
      <w:r>
        <w:rPr>
          <w:sz w:val="20"/>
        </w:rPr>
        <w:t xml:space="preserve"> Основных положений функционирования розничных рынков электрической энергии, о чем сетевая организация в течение 1 рабочего дня со дня размещения в личном кабинете потребителя акта допуска прибора учета в эксплуатацию обязана уведомить заявителя, а также в течение 2 рабочих дней направить такой акт в форме электронного документа, подписанного усиленной квалифицированной электронной подписью уполномоченного лица сетевой организации, субъекту розничного рынка, указанному в заявке в соответствии с </w:t>
      </w:r>
      <w:hyperlink w:history="0" w:anchor="P1024"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
        <w:r>
          <w:rPr>
            <w:sz w:val="20"/>
            <w:color w:val="0000ff"/>
          </w:rPr>
          <w:t xml:space="preserve">подпунктом "л" пункта 9</w:t>
        </w:r>
      </w:hyperlink>
      <w:r>
        <w:rPr>
          <w:sz w:val="20"/>
        </w:rPr>
        <w:t xml:space="preserve"> настоящих Правил, гарантирующему поставщику, в зоне деятельности которого находятся объекты микрогенерации, с которым заявителем планируется к заключению договор купли-продажи электрической энергии, произведенной на объектах микрогенерации.</w:t>
      </w:r>
    </w:p>
    <w:p>
      <w:pPr>
        <w:pStyle w:val="0"/>
        <w:jc w:val="both"/>
      </w:pPr>
      <w:r>
        <w:rPr>
          <w:sz w:val="20"/>
        </w:rPr>
        <w:t xml:space="preserve">(в ред. Постановлений Правительства РФ от 21.12.2020 </w:t>
      </w:r>
      <w:hyperlink w:history="0" r:id="rId1079" w:tooltip="Постановление Правительства РФ от 21.12.2020 N 2184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N 2184</w:t>
        </w:r>
      </w:hyperlink>
      <w:r>
        <w:rPr>
          <w:sz w:val="20"/>
        </w:rPr>
        <w:t xml:space="preserve">, от 30.06.2022 </w:t>
      </w:r>
      <w:hyperlink w:history="0" r:id="rId1080"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1178</w:t>
        </w:r>
      </w:hyperlink>
      <w:r>
        <w:rPr>
          <w:sz w:val="20"/>
        </w:rPr>
        <w:t xml:space="preserve">)</w:t>
      </w:r>
    </w:p>
    <w:p>
      <w:pPr>
        <w:pStyle w:val="0"/>
        <w:spacing w:before="200" w:line-rule="auto"/>
        <w:ind w:firstLine="540"/>
        <w:jc w:val="both"/>
      </w:pPr>
      <w:r>
        <w:rPr>
          <w:sz w:val="20"/>
        </w:rPr>
        <w:t xml:space="preserve">Со дня размещения акта допуска прибора учета в эксплуатацию в личном кабинете потребителя прибор учета считается введенным в эксплуатацию и с этого дня его показания учитываются при определении объема потребления электрической энергии (мощности).</w:t>
      </w:r>
    </w:p>
    <w:bookmarkStart w:id="2140" w:name="P2140"/>
    <w:bookmarkEnd w:id="2140"/>
    <w:p>
      <w:pPr>
        <w:pStyle w:val="0"/>
        <w:spacing w:before="200" w:line-rule="auto"/>
        <w:ind w:firstLine="540"/>
        <w:jc w:val="both"/>
      </w:pPr>
      <w:r>
        <w:rPr>
          <w:sz w:val="20"/>
        </w:rPr>
        <w:t xml:space="preserve">110. В отношении заявителей,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технологическое присоединение энергопринимающих устройств (объектов микрогенерации) которых осуществляется на уровне напряжения 0,4 кВ и ниже, по результатам выполнения сетевой организацией мероприятий по технологическому присоединению в соответствии с техническими условиями сетевая организация в течение одного рабочего дня составляет уведомление об обеспечении сетевой организацией возможности присоединения к электрическим сетям по форме, предусмотренной </w:t>
      </w:r>
      <w:hyperlink w:history="0" w:anchor="P2369" w:tooltip="УВЕДОМЛЕНИЕ">
        <w:r>
          <w:rPr>
            <w:sz w:val="20"/>
            <w:color w:val="0000ff"/>
          </w:rPr>
          <w:t xml:space="preserve">приложением N 1(1)</w:t>
        </w:r>
      </w:hyperlink>
      <w:r>
        <w:rPr>
          <w:sz w:val="20"/>
        </w:rPr>
        <w:t xml:space="preserve"> к настоящим Правилам, в форме электронного документа и размещает это уведомление, подписанное усиленной квалифицированной электронной подписью уполномоченного лица сетевой организации, в личном кабинете заявителя. По результатам выполнения сетевой организацией и заявителем, технологическое присоединение энергопринимающих устройств которого осуществляется на уровне напряжения выше 0,4 кВ, мероприятий по технологическому присоединению в соответствии с техническими условиями сетевая организация составляет в форме электронных документов и размещает в личном кабинете заявителя акт о выполнении технических условий по форме, предусмотренной </w:t>
      </w:r>
      <w:hyperlink w:history="0" w:anchor="P5210" w:tooltip="                                    АКТ">
        <w:r>
          <w:rPr>
            <w:sz w:val="20"/>
            <w:color w:val="0000ff"/>
          </w:rPr>
          <w:t xml:space="preserve">приложением N 15</w:t>
        </w:r>
      </w:hyperlink>
      <w:r>
        <w:rPr>
          <w:sz w:val="20"/>
        </w:rPr>
        <w:t xml:space="preserve"> к настоящим Правилам, содержащий перечень мероприятий, реализованных в соответствии с техническими условиями, и акт об осуществлении технологического присоединения по форме, предусмотренной </w:t>
      </w:r>
      <w:hyperlink w:history="0" w:anchor="P2176" w:tooltip="                                    АКТ">
        <w:r>
          <w:rPr>
            <w:sz w:val="20"/>
            <w:color w:val="0000ff"/>
          </w:rPr>
          <w:t xml:space="preserve">приложением N 1</w:t>
        </w:r>
      </w:hyperlink>
      <w:r>
        <w:rPr>
          <w:sz w:val="20"/>
        </w:rPr>
        <w:t xml:space="preserve"> к настоящим Правилам, подписанные усиленной квалифицированной электронной подписью уполномоченного лица сетевой организации, о чем сетевая организация не позднее окончания рабочего дня, в течение которого были составлены и размещены указанные документы, обязана уведомить заявителя.</w:t>
      </w:r>
    </w:p>
    <w:p>
      <w:pPr>
        <w:pStyle w:val="0"/>
        <w:jc w:val="both"/>
      </w:pPr>
      <w:r>
        <w:rPr>
          <w:sz w:val="20"/>
        </w:rPr>
        <w:t xml:space="preserve">(в ред. </w:t>
      </w:r>
      <w:hyperlink w:history="0" r:id="rId1081"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bookmarkStart w:id="2142" w:name="P2142"/>
    <w:bookmarkEnd w:id="2142"/>
    <w:p>
      <w:pPr>
        <w:pStyle w:val="0"/>
        <w:spacing w:before="200" w:line-rule="auto"/>
        <w:ind w:firstLine="540"/>
        <w:jc w:val="both"/>
      </w:pPr>
      <w:r>
        <w:rPr>
          <w:sz w:val="20"/>
        </w:rPr>
        <w:t xml:space="preserve">Заявитель в течение 20 рабочих дней со дня получения уведомления от сетевой организации о составлении и размещении в личном кабинете заявителя акта о выполнении технических условий и акта об осуществлении технологического присоединения (в отношении заявителей,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технологическое присоединение энергопринимающих устройств (объектов микрогенерации) которых осуществляется на уровне напряжения 0,4 кВ и ниже, - уведомления об обеспечении сетевой организацией возможности присоединения к электрическим сетям) вправе представить сетевой организации замечания к составленным актам (уведомлению об обеспечении сетевой организацией возможности присоединения к электрическим сетям).</w:t>
      </w:r>
    </w:p>
    <w:p>
      <w:pPr>
        <w:pStyle w:val="0"/>
        <w:jc w:val="both"/>
      </w:pPr>
      <w:r>
        <w:rPr>
          <w:sz w:val="20"/>
        </w:rPr>
        <w:t xml:space="preserve">(в ред. </w:t>
      </w:r>
      <w:hyperlink w:history="0" r:id="rId1082"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p>
      <w:pPr>
        <w:pStyle w:val="0"/>
        <w:spacing w:before="200" w:line-rule="auto"/>
        <w:ind w:firstLine="540"/>
        <w:jc w:val="both"/>
      </w:pPr>
      <w:r>
        <w:rPr>
          <w:sz w:val="20"/>
        </w:rPr>
        <w:t xml:space="preserve">В случае поступления замечаний заявителя по причине несоответствия реализованных сетевой организацией мероприятий техническим условиям и (или) настоящим Правилам сетевая организация в течение 10 рабочих дней со дня поступления указанных замечаний обязана их устранить и повторно разместить в личном кабинете заявителя документы, указанные в </w:t>
      </w:r>
      <w:hyperlink w:history="0" w:anchor="P2140" w:tooltip="110. В отношении заявителей, указанных в пунктах 12(1), 13(2) - 13(5) и 14 настоящих Правил, технологическое присоединение энергопринимающих устройств (объектов микрогенерации) которых осуществляется на уровне напряжения 0,4 кВ и ниже, по результатам выполнения сетевой организацией мероприятий по технологическому присоединению в соответствии с техническими условиями сетевая организация в течение одного рабочего дня составляет уведомление об обеспечении сетевой организацией возможности присоединения к эле...">
        <w:r>
          <w:rPr>
            <w:sz w:val="20"/>
            <w:color w:val="0000ff"/>
          </w:rPr>
          <w:t xml:space="preserve">абзаце первом</w:t>
        </w:r>
      </w:hyperlink>
      <w:r>
        <w:rPr>
          <w:sz w:val="20"/>
        </w:rPr>
        <w:t xml:space="preserve"> настоящего пункта, а также уведомить об этом заявителя не позднее окончания рабочего дня, в течение которого были составлены и размещены указанные документы.</w:t>
      </w:r>
    </w:p>
    <w:p>
      <w:pPr>
        <w:pStyle w:val="0"/>
        <w:jc w:val="both"/>
      </w:pPr>
      <w:r>
        <w:rPr>
          <w:sz w:val="20"/>
        </w:rPr>
        <w:t xml:space="preserve">(в ред. </w:t>
      </w:r>
      <w:hyperlink w:history="0" r:id="rId1083"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p>
      <w:pPr>
        <w:pStyle w:val="0"/>
        <w:spacing w:before="200" w:line-rule="auto"/>
        <w:ind w:firstLine="540"/>
        <w:jc w:val="both"/>
      </w:pPr>
      <w:r>
        <w:rPr>
          <w:sz w:val="20"/>
        </w:rPr>
        <w:t xml:space="preserve">В случае если в течение 6 месяцев после подписания со стороны сетевой организации акта о выполнении технических условий 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в процессе поставки электрической энергии (мощности) потребителю будут установлены обстоятельства, свидетельствующие о ненадлежащем исполнении сетевой организацией технических условий, которые не были установлены заявителем в срок, указанный в </w:t>
      </w:r>
      <w:hyperlink w:history="0" w:anchor="P2142" w:tooltip="Заявитель в течение 20 рабочих дней со дня получения уведомления от сетевой организации о составлении и размещении в личном кабинете заявителя акта о выполнении технических условий и акта об осуществлении технологического присоединения (в отношении заявителей, указанных в пунктах 12(1), 13(2) - 13(5) и 14 настоящих Правил, технологическое присоединение энергопринимающих устройств (объектов микрогенерации) которых осуществляется на уровне напряжения 0,4 кВ и ниже, - уведомления об обеспечении сетевой орга...">
        <w:r>
          <w:rPr>
            <w:sz w:val="20"/>
            <w:color w:val="0000ff"/>
          </w:rPr>
          <w:t xml:space="preserve">абзаце втором</w:t>
        </w:r>
      </w:hyperlink>
      <w:r>
        <w:rPr>
          <w:sz w:val="20"/>
        </w:rPr>
        <w:t xml:space="preserve"> настоящего пункта, такой потребитель вправе в течение 6 месяцев после подписания со стороны сетевой организации акта о выполнении технических условий 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обратиться к сетевой организации за устранением указанных обстоятельств, а сетевая организация обязана в течение 20 рабочих дней со дня поступления такого обращения потребителя устранить указанные обстоятельства.</w:t>
      </w:r>
    </w:p>
    <w:p>
      <w:pPr>
        <w:pStyle w:val="0"/>
        <w:jc w:val="both"/>
      </w:pPr>
      <w:r>
        <w:rPr>
          <w:sz w:val="20"/>
        </w:rPr>
        <w:t xml:space="preserve">(в ред. </w:t>
      </w:r>
      <w:hyperlink w:history="0" r:id="rId1084"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p>
      <w:pPr>
        <w:pStyle w:val="0"/>
        <w:spacing w:before="200" w:line-rule="auto"/>
        <w:ind w:firstLine="540"/>
        <w:jc w:val="both"/>
      </w:pPr>
      <w:r>
        <w:rPr>
          <w:sz w:val="20"/>
        </w:rPr>
        <w:t xml:space="preserve">В случае если после устранения сетевой организацией замечаний заявителя, указанного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настоящих Правил, технологическое присоединение энергопринимающих устройств (объектов микрогенерации) которого осуществлено на уровне напряжения 0,4 кВ и ниже, заявителем в течение 10 рабочих дней со дня повторного размещения сетевой организацией в личном кабинете заявителя уведомления об обеспечении сетевой организацией возможности присоединения к электрическим сетям не представлены замечания к такому уведомлению, замечания заявителя признаются устраненными.</w:t>
      </w:r>
    </w:p>
    <w:p>
      <w:pPr>
        <w:pStyle w:val="0"/>
        <w:jc w:val="both"/>
      </w:pPr>
      <w:r>
        <w:rPr>
          <w:sz w:val="20"/>
        </w:rPr>
        <w:t xml:space="preserve">(абзац введен </w:t>
      </w:r>
      <w:hyperlink w:history="0" r:id="rId1085"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30.06.2022 N 1178)</w:t>
      </w:r>
    </w:p>
    <w:bookmarkStart w:id="2150" w:name="P2150"/>
    <w:bookmarkEnd w:id="2150"/>
    <w:p>
      <w:pPr>
        <w:pStyle w:val="0"/>
        <w:spacing w:before="200" w:line-rule="auto"/>
        <w:ind w:firstLine="540"/>
        <w:jc w:val="both"/>
      </w:pPr>
      <w:r>
        <w:rPr>
          <w:sz w:val="20"/>
        </w:rPr>
        <w:t xml:space="preserve">111. В течение 2 рабочих дней со дня размещения в личном кабинете заявителя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сетевая организация обязана направить такой акт (уведомление об обеспечении сетевой организацией возможности присоединения к электрическим сетям) в форме электронного документа, подписанного усиленной квалифицированной электронной подписью уполномоченного лица сетевой организации, субъекту розничного рынка, указанному в заявке в соответствии с </w:t>
      </w:r>
      <w:hyperlink w:history="0" w:anchor="P1024"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
        <w:r>
          <w:rPr>
            <w:sz w:val="20"/>
            <w:color w:val="0000ff"/>
          </w:rPr>
          <w:t xml:space="preserve">подпунктом "л" пункта 9</w:t>
        </w:r>
      </w:hyperlink>
      <w:r>
        <w:rPr>
          <w:sz w:val="20"/>
        </w:rPr>
        <w:t xml:space="preserve"> настоящих Правил, гарантирующему поставщику, в зоне деятельности которого находятся объекты микрогенерации, с которым заявителем планируется к заключению договор купли-продажи электрической энергии, произведенной на объектах микрогенерации.</w:t>
      </w:r>
    </w:p>
    <w:p>
      <w:pPr>
        <w:pStyle w:val="0"/>
        <w:spacing w:before="200" w:line-rule="auto"/>
        <w:ind w:firstLine="540"/>
        <w:jc w:val="both"/>
      </w:pPr>
      <w:r>
        <w:rPr>
          <w:sz w:val="20"/>
        </w:rPr>
        <w:t xml:space="preserve">Соглашениями об информационном взаимодействии, заключенными между сетевой организацией и субъектом розничного рынка, указанным в заявке в соответствии с </w:t>
      </w:r>
      <w:hyperlink w:history="0" w:anchor="P1024"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
        <w:r>
          <w:rPr>
            <w:sz w:val="20"/>
            <w:color w:val="0000ff"/>
          </w:rPr>
          <w:t xml:space="preserve">подпунктом "л" пункта 9</w:t>
        </w:r>
      </w:hyperlink>
      <w:r>
        <w:rPr>
          <w:sz w:val="20"/>
        </w:rP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между сетевой организацией и гарантирующим поставщиком, в зоне деятельности которого находятся объекты микрогенерации заявителя, с которым будет заключен договор купли-продажи электрической энергии, произведенной на объектах микрогенерации заявителя, могут быть предусмотрены иной порядок, сроки и форма представления сетевой организацией информации и документов, указанных в </w:t>
      </w:r>
      <w:hyperlink w:history="0" w:anchor="P2127" w:tooltip="107. Сетевая организация не позднее 2 рабочих дней со дня оплаты заявителем счета направляет копию заявки заявителя, а также копии документов, предусмотренных пунктом 10 настоящих Правил, субъекту розничного рынка, указанному в заявке в соответствии с подпунктом &quot;л&quot; пункта 9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ему поставщику, в зоне деятельности которого находятся объекты микрогенераци...">
        <w:r>
          <w:rPr>
            <w:sz w:val="20"/>
            <w:color w:val="0000ff"/>
          </w:rPr>
          <w:t xml:space="preserve">пунктах 107</w:t>
        </w:r>
      </w:hyperlink>
      <w:r>
        <w:rPr>
          <w:sz w:val="20"/>
        </w:rPr>
        <w:t xml:space="preserve">, </w:t>
      </w:r>
      <w:hyperlink w:history="0" w:anchor="P2136" w:tooltip="109. Абзац утратил силу. - Постановление Правительства РФ от 21.12.2020 N 2184.">
        <w:r>
          <w:rPr>
            <w:sz w:val="20"/>
            <w:color w:val="0000ff"/>
          </w:rPr>
          <w:t xml:space="preserve">109</w:t>
        </w:r>
      </w:hyperlink>
      <w:r>
        <w:rPr>
          <w:sz w:val="20"/>
        </w:rPr>
        <w:t xml:space="preserve"> и </w:t>
      </w:r>
      <w:hyperlink w:history="0" w:anchor="P2150" w:tooltip="111. В течение 2 рабочих дней со дня размещения в личном кабинете заявителя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сетевая организация обязана направить такой акт (уведомление об обеспечении сетевой организацией возможности присоединения к электрическим сетям) в форме электронного документа, подписанного усиленной квалифицированной электронной подписью уполномоченного лица сетевой организации, ...">
        <w:r>
          <w:rPr>
            <w:sz w:val="20"/>
            <w:color w:val="0000ff"/>
          </w:rPr>
          <w:t xml:space="preserve">111</w:t>
        </w:r>
      </w:hyperlink>
      <w:r>
        <w:rPr>
          <w:sz w:val="20"/>
        </w:rPr>
        <w:t xml:space="preserve"> настоящих Правил, с учетом требований, предусмотренных </w:t>
      </w:r>
      <w:hyperlink w:history="0" w:anchor="P996" w:tooltip="8(9). Сетевая организация, осуществляющая технологическое присоединение энергопринимающих устройств и (или) объектов микрогенерации заявителя, субъект розничного рынка, указанный в заявке в соответствии с подпунктом &quot;л&quot; пункта 9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ий поставщик, в зоне деятельности которого находятся объекты микрогенерации заявителя, с которым заявителем будет заключен ...">
        <w:r>
          <w:rPr>
            <w:sz w:val="20"/>
            <w:color w:val="0000ff"/>
          </w:rPr>
          <w:t xml:space="preserve">пунктом 8(9)</w:t>
        </w:r>
      </w:hyperlink>
      <w:r>
        <w:rPr>
          <w:sz w:val="20"/>
        </w:rPr>
        <w:t xml:space="preserve"> настоящих Правил.</w:t>
      </w:r>
    </w:p>
    <w:p>
      <w:pPr>
        <w:pStyle w:val="0"/>
        <w:spacing w:before="200" w:line-rule="auto"/>
        <w:ind w:firstLine="540"/>
        <w:jc w:val="both"/>
      </w:pPr>
      <w:r>
        <w:rPr>
          <w:sz w:val="20"/>
        </w:rPr>
        <w:t xml:space="preserve">Если такое соглашение не заключено, указанные документы и информация представляются сетевой организацией в форме электронных документов и электронных образов документов (документов на бумажном носителе, преобразованных в электронную форму путем сканирования с сохранением их реквизитов), подписанных (заверенных) усиленной квалифицированной электронной подписью сетевой организации, на адрес электронной почты субъекта розничного рынка, указанного в заявке в соответствии с </w:t>
      </w:r>
      <w:hyperlink w:history="0" w:anchor="P1024"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
        <w:r>
          <w:rPr>
            <w:sz w:val="20"/>
            <w:color w:val="0000ff"/>
          </w:rPr>
          <w:t xml:space="preserve">подпунктом "л" пункта 9</w:t>
        </w:r>
      </w:hyperlink>
      <w:r>
        <w:rPr>
          <w:sz w:val="20"/>
        </w:rP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и (или) гарантирующего поставщика, в зоне деятельности которого находятся объекты микрогенерации заявителя, с которым планируется к заключению договор купли-продажи электрической энергии, произведенной на объектах микрогенерации заявителя.</w:t>
      </w:r>
    </w:p>
    <w:p>
      <w:pPr>
        <w:pStyle w:val="0"/>
        <w:jc w:val="both"/>
      </w:pPr>
      <w:r>
        <w:rPr>
          <w:sz w:val="20"/>
        </w:rPr>
        <w:t xml:space="preserve">(п. 111 в ред. </w:t>
      </w:r>
      <w:hyperlink w:history="0" r:id="rId1086"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p>
      <w:pPr>
        <w:pStyle w:val="0"/>
        <w:spacing w:before="200" w:line-rule="auto"/>
        <w:ind w:firstLine="540"/>
        <w:jc w:val="both"/>
      </w:pPr>
      <w:r>
        <w:rPr>
          <w:sz w:val="20"/>
        </w:rPr>
        <w:t xml:space="preserve">112. Исполнение обязательств по договору, обеспечивающему продажу электрической энергии (мощности) на розничном рынке, договору об оказании услуг по передаче электрической энергии, договору купли-продажи электрической энергии, произведенной на объектах микрогенерации, начинается со дня составления сетевой организацией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энергопринимающих устройств и (или) объектов микрогенерации заявителя, подписанного сетевой организацией, но не ранее совершения заявителем действий, свидетельствующих о начале фактического потребления электрической энергии, или действий, свидетельствующих о начале фактического производства и отпуска в сеть электрической энергии, произведенной на объектах микрогенерации. При этом действие договора, обеспечивающего продажу электрической энергии (мощности) на розничном рынке, договора об оказании услуг по передаче электрической энергии, договора купли-продажи электрической энергии, произведенной на объектах микрогенерации, не ставится в зависимость от факта составления соответствующего договора, подписанного сторонами в письменной форме.</w:t>
      </w:r>
    </w:p>
    <w:p>
      <w:pPr>
        <w:pStyle w:val="0"/>
        <w:jc w:val="both"/>
      </w:pPr>
      <w:r>
        <w:rPr>
          <w:sz w:val="20"/>
        </w:rPr>
        <w:t xml:space="preserve">(п. 112 в ред. </w:t>
      </w:r>
      <w:hyperlink w:history="0" r:id="rId1087"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p>
      <w:pPr>
        <w:pStyle w:val="0"/>
        <w:spacing w:before="200" w:line-rule="auto"/>
        <w:ind w:firstLine="540"/>
        <w:jc w:val="both"/>
      </w:pPr>
      <w:r>
        <w:rPr>
          <w:sz w:val="20"/>
        </w:rPr>
        <w:t xml:space="preserve">113. Отсутствие заключенного соглашения об информационном взаимодействии, предусмотренного </w:t>
      </w:r>
      <w:hyperlink w:history="0" w:anchor="P996" w:tooltip="8(9). Сетевая организация, осуществляющая технологическое присоединение энергопринимающих устройств и (или) объектов микрогенерации заявителя, субъект розничного рынка, указанный в заявке в соответствии с подпунктом &quot;л&quot; пункта 9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ий поставщик, в зоне деятельности которого находятся объекты микрогенерации заявителя, с которым заявителем будет заключен ...">
        <w:r>
          <w:rPr>
            <w:sz w:val="20"/>
            <w:color w:val="0000ff"/>
          </w:rPr>
          <w:t xml:space="preserve">пунктом 8(9)</w:t>
        </w:r>
      </w:hyperlink>
      <w:r>
        <w:rPr>
          <w:sz w:val="20"/>
        </w:rPr>
        <w:t xml:space="preserve"> настоящих Правил, не освобождает сетевую организацию, субъекта розничного рынка, указанного в заявке в соответствии с </w:t>
      </w:r>
      <w:hyperlink w:history="0" w:anchor="P1024"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
        <w:r>
          <w:rPr>
            <w:sz w:val="20"/>
            <w:color w:val="0000ff"/>
          </w:rPr>
          <w:t xml:space="preserve">подпунктом "л" пункта 9</w:t>
        </w:r>
      </w:hyperlink>
      <w:r>
        <w:rPr>
          <w:sz w:val="20"/>
        </w:rP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гарантирующего поставщика,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от реализации мероприятий и оформления документов, предусмотренных настоящими Правилами, в процессе исполнения обязанностей, возникающих в связи с подачей заявителем заявки, и обеспечения передачи документов заявителю в предусмотренные настоящими Правилами сроки. В указанном случае обмен документами между сетевой организацией и субъектом розничного рынка, указанным в заявке в соответствии с </w:t>
      </w:r>
      <w:hyperlink w:history="0" w:anchor="P1024"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
        <w:r>
          <w:rPr>
            <w:sz w:val="20"/>
            <w:color w:val="0000ff"/>
          </w:rPr>
          <w:t xml:space="preserve">подпунктом "л" пункта 9</w:t>
        </w:r>
      </w:hyperlink>
      <w:r>
        <w:rPr>
          <w:sz w:val="20"/>
        </w:rP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гарантирующим поставщиком,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 может осуществляться посредством обмена документами в электронной форме с использованием адресов электронной почты, указанных на официальных сайтах сетевой организации, субъекта розничного рынка, указанного в заявке в соответствии с </w:t>
      </w:r>
      <w:hyperlink w:history="0" w:anchor="P1024"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
        <w:r>
          <w:rPr>
            <w:sz w:val="20"/>
            <w:color w:val="0000ff"/>
          </w:rPr>
          <w:t xml:space="preserve">подпунктом "л" пункта 9</w:t>
        </w:r>
      </w:hyperlink>
      <w:r>
        <w:rPr>
          <w:sz w:val="20"/>
        </w:rP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гарантирующего поставщика,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 в информационно-телекоммуникационной сети "Интернет", или документами на бумажном носителе".</w:t>
      </w:r>
    </w:p>
    <w:p>
      <w:pPr>
        <w:pStyle w:val="0"/>
        <w:jc w:val="both"/>
      </w:pPr>
      <w:r>
        <w:rPr>
          <w:sz w:val="20"/>
        </w:rPr>
        <w:t xml:space="preserve">(п. 113 в ред. </w:t>
      </w:r>
      <w:hyperlink w:history="0" r:id="rId1088"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1</w:t>
      </w:r>
    </w:p>
    <w:p>
      <w:pPr>
        <w:pStyle w:val="0"/>
        <w:jc w:val="right"/>
      </w:pPr>
      <w:r>
        <w:rPr>
          <w:sz w:val="20"/>
        </w:rPr>
        <w:t xml:space="preserve">к Правилам технологического</w:t>
      </w:r>
    </w:p>
    <w:p>
      <w:pPr>
        <w:pStyle w:val="0"/>
        <w:jc w:val="right"/>
      </w:pPr>
      <w:r>
        <w:rPr>
          <w:sz w:val="20"/>
        </w:rPr>
        <w:t xml:space="preserve">присоединения энергопринимающих</w:t>
      </w:r>
    </w:p>
    <w:p>
      <w:pPr>
        <w:pStyle w:val="0"/>
        <w:jc w:val="right"/>
      </w:pPr>
      <w:r>
        <w:rPr>
          <w:sz w:val="20"/>
        </w:rPr>
        <w:t xml:space="preserve">устройств потребителей</w:t>
      </w:r>
    </w:p>
    <w:p>
      <w:pPr>
        <w:pStyle w:val="0"/>
        <w:jc w:val="right"/>
      </w:pPr>
      <w:r>
        <w:rPr>
          <w:sz w:val="20"/>
        </w:rPr>
        <w:t xml:space="preserve">электрической энергии, объектов</w:t>
      </w:r>
    </w:p>
    <w:p>
      <w:pPr>
        <w:pStyle w:val="0"/>
        <w:jc w:val="right"/>
      </w:pPr>
      <w:r>
        <w:rPr>
          <w:sz w:val="20"/>
        </w:rPr>
        <w:t xml:space="preserve">по производству электрической</w:t>
      </w:r>
    </w:p>
    <w:p>
      <w:pPr>
        <w:pStyle w:val="0"/>
        <w:jc w:val="right"/>
      </w:pPr>
      <w:r>
        <w:rPr>
          <w:sz w:val="20"/>
        </w:rPr>
        <w:t xml:space="preserve">энергии, а также объектов</w:t>
      </w:r>
    </w:p>
    <w:p>
      <w:pPr>
        <w:pStyle w:val="0"/>
        <w:jc w:val="right"/>
      </w:pPr>
      <w:r>
        <w:rPr>
          <w:sz w:val="20"/>
        </w:rPr>
        <w:t xml:space="preserve">электросетевого хозяйства,</w:t>
      </w:r>
    </w:p>
    <w:p>
      <w:pPr>
        <w:pStyle w:val="0"/>
        <w:jc w:val="right"/>
      </w:pPr>
      <w:r>
        <w:rPr>
          <w:sz w:val="20"/>
        </w:rPr>
        <w:t xml:space="preserve">принадлежащих сетевым организациям</w:t>
      </w:r>
    </w:p>
    <w:p>
      <w:pPr>
        <w:pStyle w:val="0"/>
        <w:jc w:val="right"/>
      </w:pPr>
      <w:r>
        <w:rPr>
          <w:sz w:val="20"/>
        </w:rPr>
        <w:t xml:space="preserve">и иным лицам, к электрическим сетям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089"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Постановления</w:t>
              </w:r>
            </w:hyperlink>
            <w:r>
              <w:rPr>
                <w:sz w:val="20"/>
                <w:color w:val="392c69"/>
              </w:rPr>
              <w:t xml:space="preserve"> Правительства РФ от 02.03.2021 N 299)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bookmarkStart w:id="2176" w:name="P2176"/>
    <w:bookmarkEnd w:id="2176"/>
    <w:p>
      <w:pPr>
        <w:pStyle w:val="1"/>
        <w:jc w:val="both"/>
      </w:pPr>
      <w:r>
        <w:rPr>
          <w:sz w:val="20"/>
        </w:rPr>
        <w:t xml:space="preserve">                                    АКТ</w:t>
      </w:r>
    </w:p>
    <w:p>
      <w:pPr>
        <w:pStyle w:val="1"/>
        <w:jc w:val="both"/>
      </w:pPr>
      <w:r>
        <w:rPr>
          <w:sz w:val="20"/>
        </w:rPr>
        <w:t xml:space="preserve">              об осуществлении технологического присоединения</w:t>
      </w:r>
    </w:p>
    <w:p>
      <w:pPr>
        <w:pStyle w:val="1"/>
        <w:jc w:val="both"/>
      </w:pPr>
      <w:r>
        <w:rPr>
          <w:sz w:val="20"/>
        </w:rPr>
        <w:t xml:space="preserve">                    N _____ от "__" __________ 20__ г.</w:t>
      </w:r>
    </w:p>
    <w:p>
      <w:pPr>
        <w:pStyle w:val="1"/>
        <w:jc w:val="both"/>
      </w:pPr>
      <w:r>
        <w:rPr>
          <w:sz w:val="20"/>
        </w:rPr>
      </w:r>
    </w:p>
    <w:p>
      <w:pPr>
        <w:pStyle w:val="1"/>
        <w:jc w:val="both"/>
      </w:pPr>
      <w:r>
        <w:rPr>
          <w:sz w:val="20"/>
        </w:rPr>
        <w:t xml:space="preserve">    Настоящий акт составлен ______________________________________________,</w:t>
      </w:r>
    </w:p>
    <w:p>
      <w:pPr>
        <w:pStyle w:val="1"/>
        <w:jc w:val="both"/>
      </w:pPr>
      <w:r>
        <w:rPr>
          <w:sz w:val="20"/>
        </w:rPr>
        <w:t xml:space="preserve">                              (полное наименование сетевой организации)</w:t>
      </w:r>
    </w:p>
    <w:p>
      <w:pPr>
        <w:pStyle w:val="1"/>
        <w:jc w:val="both"/>
      </w:pPr>
      <w:r>
        <w:rPr>
          <w:sz w:val="20"/>
        </w:rPr>
        <w:t xml:space="preserve">именуемым   (именуемой)   в   дальнейшем   сетевой   организацией,  в  лице</w:t>
      </w:r>
    </w:p>
    <w:p>
      <w:pPr>
        <w:pStyle w:val="1"/>
        <w:jc w:val="both"/>
      </w:pPr>
      <w:r>
        <w:rPr>
          <w:sz w:val="20"/>
        </w:rPr>
        <w:t xml:space="preserve">__________________________________________________________________________,</w:t>
      </w:r>
    </w:p>
    <w:p>
      <w:pPr>
        <w:pStyle w:val="1"/>
        <w:jc w:val="both"/>
      </w:pPr>
      <w:r>
        <w:rPr>
          <w:sz w:val="20"/>
        </w:rPr>
        <w:t xml:space="preserve">             (ф.и.о. лица - представителя сетевой организации)</w:t>
      </w:r>
    </w:p>
    <w:p>
      <w:pPr>
        <w:pStyle w:val="1"/>
        <w:jc w:val="both"/>
      </w:pPr>
      <w:r>
        <w:rPr>
          <w:sz w:val="20"/>
        </w:rPr>
        <w:t xml:space="preserve">действующего на основании ________________________________________, с одной</w:t>
      </w:r>
    </w:p>
    <w:p>
      <w:pPr>
        <w:pStyle w:val="1"/>
        <w:jc w:val="both"/>
      </w:pPr>
      <w:r>
        <w:rPr>
          <w:sz w:val="20"/>
        </w:rPr>
        <w:t xml:space="preserve">                          (устава, доверенности, иных документов)</w:t>
      </w:r>
    </w:p>
    <w:p>
      <w:pPr>
        <w:pStyle w:val="1"/>
        <w:jc w:val="both"/>
      </w:pPr>
      <w:r>
        <w:rPr>
          <w:sz w:val="20"/>
        </w:rPr>
        <w:t xml:space="preserve">стороны, и _______________________________________________________________,</w:t>
      </w:r>
    </w:p>
    <w:p>
      <w:pPr>
        <w:pStyle w:val="1"/>
        <w:jc w:val="both"/>
      </w:pPr>
      <w:r>
        <w:rPr>
          <w:sz w:val="20"/>
        </w:rPr>
        <w:t xml:space="preserve">             (полное наименование заявителя - юридического лица, ф.и.о.</w:t>
      </w:r>
    </w:p>
    <w:p>
      <w:pPr>
        <w:pStyle w:val="1"/>
        <w:jc w:val="both"/>
      </w:pPr>
      <w:r>
        <w:rPr>
          <w:sz w:val="20"/>
        </w:rPr>
        <w:t xml:space="preserve">                            заявителя - физического лица)</w:t>
      </w:r>
    </w:p>
    <w:p>
      <w:pPr>
        <w:pStyle w:val="1"/>
        <w:jc w:val="both"/>
      </w:pPr>
      <w:r>
        <w:rPr>
          <w:sz w:val="20"/>
        </w:rPr>
        <w:t xml:space="preserve">именуемым     (именуемой)     в    дальнейшем    заявителем,     в     лице</w:t>
      </w:r>
    </w:p>
    <w:p>
      <w:pPr>
        <w:pStyle w:val="1"/>
        <w:jc w:val="both"/>
      </w:pPr>
      <w:r>
        <w:rPr>
          <w:sz w:val="20"/>
        </w:rPr>
        <w:t xml:space="preserve">__________________________________________________________________________,</w:t>
      </w:r>
    </w:p>
    <w:p>
      <w:pPr>
        <w:pStyle w:val="1"/>
        <w:jc w:val="both"/>
      </w:pPr>
      <w:r>
        <w:rPr>
          <w:sz w:val="20"/>
        </w:rPr>
        <w:t xml:space="preserve">                  (ф.и.о. лица - представителя заявителя)</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(устава, доверенности, иных документов)</w:t>
      </w:r>
    </w:p>
    <w:p>
      <w:pPr>
        <w:pStyle w:val="1"/>
        <w:jc w:val="both"/>
      </w:pPr>
      <w:r>
        <w:rPr>
          <w:sz w:val="20"/>
        </w:rPr>
        <w:t xml:space="preserve">с другой стороны, в дальнейшем именуемыми сторонами.</w:t>
      </w:r>
    </w:p>
    <w:p>
      <w:pPr>
        <w:pStyle w:val="1"/>
        <w:jc w:val="both"/>
      </w:pPr>
      <w:r>
        <w:rPr>
          <w:sz w:val="20"/>
        </w:rPr>
        <w:t xml:space="preserve">    Стороны оформили и подписали настоящий акт о нижеследующем.</w:t>
      </w:r>
    </w:p>
    <w:p>
      <w:pPr>
        <w:pStyle w:val="1"/>
        <w:jc w:val="both"/>
      </w:pPr>
      <w:r>
        <w:rPr>
          <w:sz w:val="20"/>
        </w:rPr>
        <w:t xml:space="preserve">    1.  Сетевая  организация  оказала  заявителю услугу по технологическому</w:t>
      </w:r>
    </w:p>
    <w:p>
      <w:pPr>
        <w:pStyle w:val="1"/>
        <w:jc w:val="both"/>
      </w:pPr>
      <w:r>
        <w:rPr>
          <w:sz w:val="20"/>
        </w:rPr>
        <w:t xml:space="preserve">присоединению   объектов  электроэнергетики  (энергопринимающих  устройств,</w:t>
      </w:r>
    </w:p>
    <w:p>
      <w:pPr>
        <w:pStyle w:val="1"/>
        <w:jc w:val="both"/>
      </w:pPr>
      <w:r>
        <w:rPr>
          <w:sz w:val="20"/>
        </w:rPr>
        <w:t xml:space="preserve">объектов  микрогенерации)  заявителя  в  соответствии  с  мероприятиями  по</w:t>
      </w:r>
    </w:p>
    <w:p>
      <w:pPr>
        <w:pStyle w:val="1"/>
        <w:jc w:val="both"/>
      </w:pPr>
      <w:r>
        <w:rPr>
          <w:sz w:val="20"/>
        </w:rPr>
        <w:t xml:space="preserve">договору об осуществлении технологического присоединения от _______________</w:t>
      </w:r>
    </w:p>
    <w:p>
      <w:pPr>
        <w:pStyle w:val="1"/>
        <w:jc w:val="both"/>
      </w:pPr>
      <w:r>
        <w:rPr>
          <w:sz w:val="20"/>
        </w:rPr>
        <w:t xml:space="preserve">N _________ в полном объеме на сумму _________ (_____________) рублей _____</w:t>
      </w:r>
    </w:p>
    <w:p>
      <w:pPr>
        <w:pStyle w:val="1"/>
        <w:jc w:val="both"/>
      </w:pPr>
      <w:r>
        <w:rPr>
          <w:sz w:val="20"/>
        </w:rPr>
        <w:t xml:space="preserve">копеек, в том числе _____________ (прописью) НДС _____ (___________) рублей</w:t>
      </w:r>
    </w:p>
    <w:p>
      <w:pPr>
        <w:pStyle w:val="1"/>
        <w:jc w:val="both"/>
      </w:pPr>
      <w:r>
        <w:rPr>
          <w:sz w:val="20"/>
        </w:rPr>
        <w:t xml:space="preserve">________ копеек (прописью) </w:t>
      </w:r>
      <w:hyperlink w:history="0" w:anchor="P2344" w:tooltip="&lt;1&gt; При восстановлении (переоформлении) документов указанная информация не вносится.">
        <w:r>
          <w:rPr>
            <w:sz w:val="20"/>
            <w:color w:val="0000ff"/>
          </w:rPr>
          <w:t xml:space="preserve">&lt;1&gt;</w:t>
        </w:r>
      </w:hyperlink>
      <w:r>
        <w:rPr>
          <w:sz w:val="20"/>
        </w:rPr>
        <w:t xml:space="preserve">.</w:t>
      </w:r>
    </w:p>
    <w:p>
      <w:pPr>
        <w:pStyle w:val="1"/>
        <w:jc w:val="both"/>
      </w:pPr>
      <w:r>
        <w:rPr>
          <w:sz w:val="20"/>
        </w:rPr>
        <w:t xml:space="preserve">    Мероприятия   по   технологическому  присоединению  выполнены  согласно</w:t>
      </w:r>
    </w:p>
    <w:p>
      <w:pPr>
        <w:pStyle w:val="1"/>
        <w:jc w:val="both"/>
      </w:pPr>
      <w:r>
        <w:rPr>
          <w:sz w:val="20"/>
        </w:rPr>
        <w:t xml:space="preserve">техническим условиям от __________ N ________.</w:t>
      </w:r>
    </w:p>
    <w:p>
      <w:pPr>
        <w:pStyle w:val="1"/>
        <w:jc w:val="both"/>
      </w:pPr>
      <w:r>
        <w:rPr>
          <w:sz w:val="20"/>
        </w:rPr>
        <w:t xml:space="preserve">    Объекты   электроэнергетики   (энергопринимающие   устройства,  объекты</w:t>
      </w:r>
    </w:p>
    <w:p>
      <w:pPr>
        <w:pStyle w:val="1"/>
        <w:jc w:val="both"/>
      </w:pPr>
      <w:r>
        <w:rPr>
          <w:sz w:val="20"/>
        </w:rPr>
        <w:t xml:space="preserve">микрогенерации) сторон находятся по адресу: _______________.</w:t>
      </w:r>
    </w:p>
    <w:p>
      <w:pPr>
        <w:pStyle w:val="1"/>
        <w:jc w:val="both"/>
      </w:pPr>
      <w:r>
        <w:rPr>
          <w:sz w:val="20"/>
        </w:rPr>
        <w:t xml:space="preserve">    Акт о выполнении технических условий от _________ N ______.</w:t>
      </w:r>
    </w:p>
    <w:p>
      <w:pPr>
        <w:pStyle w:val="1"/>
        <w:jc w:val="both"/>
      </w:pPr>
      <w:r>
        <w:rPr>
          <w:sz w:val="20"/>
        </w:rPr>
        <w:t xml:space="preserve">    Дата  фактического  присоединения  ____________,  акт  об осуществлении</w:t>
      </w:r>
    </w:p>
    <w:p>
      <w:pPr>
        <w:pStyle w:val="1"/>
        <w:jc w:val="both"/>
      </w:pPr>
      <w:r>
        <w:rPr>
          <w:sz w:val="20"/>
        </w:rPr>
        <w:t xml:space="preserve">технологического присоединения от _____________ N ________ </w:t>
      </w:r>
      <w:hyperlink w:history="0" w:anchor="P2345" w:tooltip="&lt;2&gt; Заполняется в случае переоформления документов.">
        <w:r>
          <w:rPr>
            <w:sz w:val="20"/>
            <w:color w:val="0000ff"/>
          </w:rPr>
          <w:t xml:space="preserve">&lt;2&gt;</w:t>
        </w:r>
      </w:hyperlink>
      <w:r>
        <w:rPr>
          <w:sz w:val="20"/>
        </w:rPr>
        <w:t xml:space="preserve">.</w:t>
      </w:r>
    </w:p>
    <w:p>
      <w:pPr>
        <w:pStyle w:val="1"/>
        <w:jc w:val="both"/>
      </w:pPr>
      <w:r>
        <w:rPr>
          <w:sz w:val="20"/>
        </w:rPr>
        <w:t xml:space="preserve">    Характеристики присоединения:</w:t>
      </w:r>
    </w:p>
    <w:p>
      <w:pPr>
        <w:pStyle w:val="1"/>
        <w:jc w:val="both"/>
      </w:pPr>
      <w:r>
        <w:rPr>
          <w:sz w:val="20"/>
        </w:rPr>
        <w:t xml:space="preserve">    максимальная мощность (всего) _________ кВт, в том числе:</w:t>
      </w:r>
    </w:p>
    <w:p>
      <w:pPr>
        <w:pStyle w:val="1"/>
        <w:jc w:val="both"/>
      </w:pPr>
      <w:r>
        <w:rPr>
          <w:sz w:val="20"/>
        </w:rPr>
        <w:t xml:space="preserve">    максимальная  мощность  (без  учета ранее присоединенной (существующей)</w:t>
      </w:r>
    </w:p>
    <w:p>
      <w:pPr>
        <w:pStyle w:val="1"/>
        <w:jc w:val="both"/>
      </w:pPr>
      <w:r>
        <w:rPr>
          <w:sz w:val="20"/>
        </w:rPr>
        <w:t xml:space="preserve">максимальной мощности) _________ кВт;</w:t>
      </w:r>
    </w:p>
    <w:p>
      <w:pPr>
        <w:pStyle w:val="1"/>
        <w:jc w:val="both"/>
      </w:pPr>
      <w:r>
        <w:rPr>
          <w:sz w:val="20"/>
        </w:rPr>
        <w:t xml:space="preserve">    ранее присоединенная максимальная мощность ________ кВт </w:t>
      </w:r>
      <w:hyperlink w:history="0" w:anchor="P2346" w:tooltip="&lt;3&gt; Заполняется в случае увеличения максимальной мощности ранее присоединенных энергопринимающих устройств (энергетических установок).">
        <w:r>
          <w:rPr>
            <w:sz w:val="20"/>
            <w:color w:val="0000ff"/>
          </w:rPr>
          <w:t xml:space="preserve">&lt;3&gt;</w:t>
        </w:r>
      </w:hyperlink>
      <w:r>
        <w:rPr>
          <w:sz w:val="20"/>
        </w:rPr>
        <w:t xml:space="preserve">;</w:t>
      </w:r>
    </w:p>
    <w:p>
      <w:pPr>
        <w:pStyle w:val="1"/>
        <w:jc w:val="both"/>
      </w:pPr>
      <w:r>
        <w:rPr>
          <w:sz w:val="20"/>
        </w:rPr>
        <w:t xml:space="preserve">    совокупная величина номинальной мощности присоединенных к электрической</w:t>
      </w:r>
    </w:p>
    <w:p>
      <w:pPr>
        <w:pStyle w:val="1"/>
        <w:jc w:val="both"/>
      </w:pPr>
      <w:r>
        <w:rPr>
          <w:sz w:val="20"/>
        </w:rPr>
        <w:t xml:space="preserve">сети трансформаторов ________ кВА;</w:t>
      </w:r>
    </w:p>
    <w:p>
      <w:pPr>
        <w:pStyle w:val="1"/>
        <w:jc w:val="both"/>
      </w:pPr>
      <w:r>
        <w:rPr>
          <w:sz w:val="20"/>
        </w:rPr>
        <w:t xml:space="preserve">    максимальная мощность объектов микрогенерации (всего) _____ кВт </w:t>
      </w:r>
      <w:hyperlink w:history="0" w:anchor="P2347" w:tooltip="&lt;4&gt; Заполняется в случае технологического присоединения объектов микрогенерации.">
        <w:r>
          <w:rPr>
            <w:sz w:val="20"/>
            <w:color w:val="0000ff"/>
          </w:rPr>
          <w:t xml:space="preserve">&lt;4&gt;</w:t>
        </w:r>
      </w:hyperlink>
      <w:r>
        <w:rPr>
          <w:sz w:val="20"/>
        </w:rPr>
        <w:t xml:space="preserve">.</w:t>
      </w:r>
    </w:p>
    <w:p>
      <w:pPr>
        <w:pStyle w:val="1"/>
        <w:jc w:val="both"/>
      </w:pPr>
      <w:r>
        <w:rPr>
          <w:sz w:val="20"/>
        </w:rPr>
        <w:t xml:space="preserve">    Категория надежности электроснабжения:</w:t>
      </w:r>
    </w:p>
    <w:p>
      <w:pPr>
        <w:pStyle w:val="1"/>
        <w:jc w:val="both"/>
      </w:pPr>
      <w:r>
        <w:rPr>
          <w:sz w:val="20"/>
        </w:rPr>
        <w:t xml:space="preserve">    ____________ кВт;</w:t>
      </w:r>
    </w:p>
    <w:p>
      <w:pPr>
        <w:pStyle w:val="1"/>
        <w:jc w:val="both"/>
      </w:pPr>
      <w:r>
        <w:rPr>
          <w:sz w:val="20"/>
        </w:rPr>
        <w:t xml:space="preserve">    ____________ кВт;</w:t>
      </w:r>
    </w:p>
    <w:p>
      <w:pPr>
        <w:pStyle w:val="1"/>
        <w:jc w:val="both"/>
      </w:pPr>
      <w:r>
        <w:rPr>
          <w:sz w:val="20"/>
        </w:rPr>
        <w:t xml:space="preserve">    ____________ кВт.</w:t>
      </w:r>
    </w:p>
    <w:p>
      <w:pPr>
        <w:pStyle w:val="1"/>
        <w:jc w:val="both"/>
      </w:pPr>
      <w:r>
        <w:rPr>
          <w:sz w:val="20"/>
        </w:rPr>
      </w:r>
    </w:p>
    <w:p>
      <w:pPr>
        <w:pStyle w:val="1"/>
        <w:jc w:val="both"/>
      </w:pPr>
      <w:r>
        <w:rPr>
          <w:sz w:val="20"/>
        </w:rPr>
        <w:t xml:space="preserve">                     2. Перечень точек присоединения: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46"/>
        <w:gridCol w:w="794"/>
        <w:gridCol w:w="1070"/>
        <w:gridCol w:w="912"/>
        <w:gridCol w:w="979"/>
        <w:gridCol w:w="1531"/>
        <w:gridCol w:w="1661"/>
        <w:gridCol w:w="1642"/>
      </w:tblGrid>
      <w:tr>
        <w:tc>
          <w:tcPr>
            <w:tcW w:w="446" w:type="dxa"/>
          </w:tcPr>
          <w:p>
            <w:pPr>
              <w:pStyle w:val="0"/>
              <w:jc w:val="center"/>
            </w:pPr>
            <w:r>
              <w:rPr>
                <w:sz w:val="20"/>
              </w:rPr>
              <w:t xml:space="preserve">N</w:t>
            </w:r>
          </w:p>
        </w:tc>
        <w:tc>
          <w:tcPr>
            <w:tcW w:w="794" w:type="dxa"/>
          </w:tcPr>
          <w:p>
            <w:pPr>
              <w:pStyle w:val="0"/>
              <w:jc w:val="center"/>
            </w:pPr>
            <w:r>
              <w:rPr>
                <w:sz w:val="20"/>
              </w:rPr>
              <w:t xml:space="preserve">Источник питания</w:t>
            </w:r>
          </w:p>
        </w:tc>
        <w:tc>
          <w:tcPr>
            <w:tcW w:w="1070" w:type="dxa"/>
          </w:tcPr>
          <w:p>
            <w:pPr>
              <w:pStyle w:val="0"/>
              <w:jc w:val="center"/>
            </w:pPr>
            <w:r>
              <w:rPr>
                <w:sz w:val="20"/>
              </w:rPr>
              <w:t xml:space="preserve">Описание точки присоединения</w:t>
            </w:r>
          </w:p>
        </w:tc>
        <w:tc>
          <w:tcPr>
            <w:tcW w:w="912" w:type="dxa"/>
          </w:tcPr>
          <w:p>
            <w:pPr>
              <w:pStyle w:val="0"/>
              <w:jc w:val="center"/>
            </w:pPr>
            <w:r>
              <w:rPr>
                <w:sz w:val="20"/>
              </w:rPr>
              <w:t xml:space="preserve">Уровень напряжения (кВ)</w:t>
            </w:r>
          </w:p>
        </w:tc>
        <w:tc>
          <w:tcPr>
            <w:tcW w:w="979" w:type="dxa"/>
          </w:tcPr>
          <w:p>
            <w:pPr>
              <w:pStyle w:val="0"/>
              <w:jc w:val="center"/>
            </w:pPr>
            <w:r>
              <w:rPr>
                <w:sz w:val="20"/>
              </w:rPr>
              <w:t xml:space="preserve">Максимальная мощность (кВт)</w:t>
            </w:r>
          </w:p>
        </w:tc>
        <w:tc>
          <w:tcPr>
            <w:tcW w:w="1531" w:type="dxa"/>
          </w:tcPr>
          <w:p>
            <w:pPr>
              <w:pStyle w:val="0"/>
              <w:jc w:val="center"/>
            </w:pPr>
            <w:r>
              <w:rPr>
                <w:sz w:val="20"/>
              </w:rPr>
              <w:t xml:space="preserve">Максимальная мощность объектов микрогенерации (кВт) </w:t>
            </w:r>
            <w:hyperlink w:history="0" w:anchor="P2348" w:tooltip="&lt;5&gt; При восстановлении (переоформлении) документов указанная информация не вносится.">
              <w:r>
                <w:rPr>
                  <w:sz w:val="20"/>
                  <w:color w:val="0000ff"/>
                </w:rPr>
                <w:t xml:space="preserve">&lt;5&gt;</w:t>
              </w:r>
            </w:hyperlink>
          </w:p>
        </w:tc>
        <w:tc>
          <w:tcPr>
            <w:tcW w:w="1661" w:type="dxa"/>
          </w:tcPr>
          <w:p>
            <w:pPr>
              <w:pStyle w:val="0"/>
              <w:jc w:val="center"/>
            </w:pPr>
            <w:r>
              <w:rPr>
                <w:sz w:val="20"/>
              </w:rPr>
              <w:t xml:space="preserve">Величина номинальной мощности присоединенных трансформаторов (кВА)</w:t>
            </w:r>
          </w:p>
        </w:tc>
        <w:tc>
          <w:tcPr>
            <w:tcW w:w="1642" w:type="dxa"/>
          </w:tcPr>
          <w:p>
            <w:pPr>
              <w:pStyle w:val="0"/>
              <w:jc w:val="center"/>
            </w:pPr>
            <w:r>
              <w:rPr>
                <w:sz w:val="20"/>
              </w:rPr>
              <w:t xml:space="preserve">Предельное значение коэффициента реактивной мощности (tg </w:t>
            </w:r>
            <w:r>
              <w:rPr>
                <w:position w:val="-2"/>
              </w:rPr>
              <w:drawing>
                <wp:inline distT="0" distB="0" distL="0" distR="0">
                  <wp:extent cx="142875"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0">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Pr>
                <w:sz w:val="20"/>
              </w:rPr>
              <w:t xml:space="preserve">)</w:t>
            </w:r>
          </w:p>
        </w:tc>
      </w:tr>
      <w:tr>
        <w:tc>
          <w:tcPr>
            <w:tcW w:w="446" w:type="dxa"/>
          </w:tcPr>
          <w:p>
            <w:pPr>
              <w:pStyle w:val="0"/>
            </w:pPr>
            <w:r>
              <w:rPr>
                <w:sz w:val="20"/>
              </w:rPr>
            </w:r>
          </w:p>
        </w:tc>
        <w:tc>
          <w:tcPr>
            <w:tcW w:w="794" w:type="dxa"/>
          </w:tcPr>
          <w:p>
            <w:pPr>
              <w:pStyle w:val="0"/>
            </w:pPr>
            <w:r>
              <w:rPr>
                <w:sz w:val="20"/>
              </w:rPr>
            </w:r>
          </w:p>
        </w:tc>
        <w:tc>
          <w:tcPr>
            <w:tcW w:w="1070" w:type="dxa"/>
          </w:tcPr>
          <w:p>
            <w:pPr>
              <w:pStyle w:val="0"/>
            </w:pPr>
            <w:r>
              <w:rPr>
                <w:sz w:val="20"/>
              </w:rPr>
            </w:r>
          </w:p>
        </w:tc>
        <w:tc>
          <w:tcPr>
            <w:tcW w:w="912" w:type="dxa"/>
          </w:tcPr>
          <w:p>
            <w:pPr>
              <w:pStyle w:val="0"/>
            </w:pPr>
            <w:r>
              <w:rPr>
                <w:sz w:val="20"/>
              </w:rPr>
            </w:r>
          </w:p>
        </w:tc>
        <w:tc>
          <w:tcPr>
            <w:tcW w:w="979" w:type="dxa"/>
          </w:tcPr>
          <w:p>
            <w:pPr>
              <w:pStyle w:val="0"/>
            </w:pPr>
            <w:r>
              <w:rPr>
                <w:sz w:val="20"/>
              </w:rPr>
            </w:r>
          </w:p>
        </w:tc>
        <w:tc>
          <w:tcPr>
            <w:tcW w:w="1531" w:type="dxa"/>
          </w:tcPr>
          <w:p>
            <w:pPr>
              <w:pStyle w:val="0"/>
            </w:pPr>
            <w:r>
              <w:rPr>
                <w:sz w:val="20"/>
              </w:rPr>
            </w:r>
          </w:p>
        </w:tc>
        <w:tc>
          <w:tcPr>
            <w:tcW w:w="1661" w:type="dxa"/>
          </w:tcPr>
          <w:p>
            <w:pPr>
              <w:pStyle w:val="0"/>
            </w:pPr>
            <w:r>
              <w:rPr>
                <w:sz w:val="20"/>
              </w:rPr>
            </w:r>
          </w:p>
        </w:tc>
        <w:tc>
          <w:tcPr>
            <w:tcW w:w="1642" w:type="dxa"/>
          </w:tcPr>
          <w:p>
            <w:pPr>
              <w:pStyle w:val="0"/>
            </w:pPr>
            <w:r>
              <w:rPr>
                <w:sz w:val="20"/>
              </w:rPr>
            </w:r>
          </w:p>
        </w:tc>
      </w:tr>
      <w:tr>
        <w:tc>
          <w:tcPr>
            <w:gridSpan w:val="8"/>
            <w:tcW w:w="9035" w:type="dxa"/>
            <w:vAlign w:val="bottom"/>
          </w:tcPr>
          <w:p>
            <w:pPr>
              <w:pStyle w:val="0"/>
              <w:jc w:val="center"/>
            </w:pPr>
            <w:r>
              <w:rPr>
                <w:sz w:val="20"/>
              </w:rPr>
              <w:t xml:space="preserve">В том числе опосредованно присоединенные</w:t>
            </w:r>
          </w:p>
        </w:tc>
      </w:tr>
      <w:tr>
        <w:tc>
          <w:tcPr>
            <w:tcW w:w="446" w:type="dxa"/>
          </w:tcPr>
          <w:p>
            <w:pPr>
              <w:pStyle w:val="0"/>
            </w:pPr>
            <w:r>
              <w:rPr>
                <w:sz w:val="20"/>
              </w:rPr>
            </w:r>
          </w:p>
        </w:tc>
        <w:tc>
          <w:tcPr>
            <w:tcW w:w="794" w:type="dxa"/>
          </w:tcPr>
          <w:p>
            <w:pPr>
              <w:pStyle w:val="0"/>
            </w:pPr>
            <w:r>
              <w:rPr>
                <w:sz w:val="20"/>
              </w:rPr>
            </w:r>
          </w:p>
        </w:tc>
        <w:tc>
          <w:tcPr>
            <w:tcW w:w="1070" w:type="dxa"/>
          </w:tcPr>
          <w:p>
            <w:pPr>
              <w:pStyle w:val="0"/>
            </w:pPr>
            <w:r>
              <w:rPr>
                <w:sz w:val="20"/>
              </w:rPr>
            </w:r>
          </w:p>
        </w:tc>
        <w:tc>
          <w:tcPr>
            <w:tcW w:w="912" w:type="dxa"/>
          </w:tcPr>
          <w:p>
            <w:pPr>
              <w:pStyle w:val="0"/>
            </w:pPr>
            <w:r>
              <w:rPr>
                <w:sz w:val="20"/>
              </w:rPr>
            </w:r>
          </w:p>
        </w:tc>
        <w:tc>
          <w:tcPr>
            <w:tcW w:w="979" w:type="dxa"/>
          </w:tcPr>
          <w:p>
            <w:pPr>
              <w:pStyle w:val="0"/>
            </w:pPr>
            <w:r>
              <w:rPr>
                <w:sz w:val="20"/>
              </w:rPr>
            </w:r>
          </w:p>
        </w:tc>
        <w:tc>
          <w:tcPr>
            <w:tcW w:w="1531" w:type="dxa"/>
          </w:tcPr>
          <w:p>
            <w:pPr>
              <w:pStyle w:val="0"/>
            </w:pPr>
            <w:r>
              <w:rPr>
                <w:sz w:val="20"/>
              </w:rPr>
            </w:r>
          </w:p>
        </w:tc>
        <w:tc>
          <w:tcPr>
            <w:tcW w:w="1661" w:type="dxa"/>
          </w:tcPr>
          <w:p>
            <w:pPr>
              <w:pStyle w:val="0"/>
            </w:pPr>
            <w:r>
              <w:rPr>
                <w:sz w:val="20"/>
              </w:rPr>
            </w:r>
          </w:p>
        </w:tc>
        <w:tc>
          <w:tcPr>
            <w:tcW w:w="1642" w:type="dxa"/>
          </w:tcPr>
          <w:p>
            <w:pPr>
              <w:pStyle w:val="0"/>
            </w:pPr>
            <w:r>
              <w:rPr>
                <w:sz w:val="20"/>
              </w:rPr>
            </w:r>
          </w:p>
        </w:tc>
      </w:tr>
    </w:tbl>
    <w:p>
      <w:pPr>
        <w:pStyle w:val="0"/>
        <w:jc w:val="both"/>
      </w:pPr>
      <w:r>
        <w:rPr>
          <w:sz w:val="20"/>
        </w:rPr>
      </w:r>
    </w:p>
    <w:p>
      <w:pPr>
        <w:pStyle w:val="1"/>
        <w:jc w:val="both"/>
      </w:pPr>
      <w:r>
        <w:rPr>
          <w:sz w:val="20"/>
        </w:rPr>
        <w:t xml:space="preserve">    Границы    балансовой    принадлежности    объектов   электроэнергетики</w:t>
      </w:r>
    </w:p>
    <w:p>
      <w:pPr>
        <w:pStyle w:val="1"/>
        <w:jc w:val="both"/>
      </w:pPr>
      <w:r>
        <w:rPr>
          <w:sz w:val="20"/>
        </w:rPr>
        <w:t xml:space="preserve">(энергопринимающих устройств) и эксплуатационной ответственности сторон:</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046"/>
        <w:gridCol w:w="3984"/>
      </w:tblGrid>
      <w:tr>
        <w:tc>
          <w:tcPr>
            <w:tcW w:w="5046" w:type="dxa"/>
          </w:tcPr>
          <w:p>
            <w:pPr>
              <w:pStyle w:val="0"/>
              <w:jc w:val="center"/>
            </w:pPr>
            <w:r>
              <w:rPr>
                <w:sz w:val="20"/>
              </w:rPr>
              <w:t xml:space="preserve">Описание границ балансовой принадлежности объектов электроэнергетики (энергопринимающих устройств)</w:t>
            </w:r>
          </w:p>
        </w:tc>
        <w:tc>
          <w:tcPr>
            <w:tcW w:w="3984" w:type="dxa"/>
          </w:tcPr>
          <w:p>
            <w:pPr>
              <w:pStyle w:val="0"/>
              <w:jc w:val="center"/>
            </w:pPr>
            <w:r>
              <w:rPr>
                <w:sz w:val="20"/>
              </w:rPr>
              <w:t xml:space="preserve">Описание границ эксплуатационной ответственности сторон</w:t>
            </w:r>
          </w:p>
        </w:tc>
      </w:tr>
      <w:tr>
        <w:tc>
          <w:tcPr>
            <w:tcW w:w="5046" w:type="dxa"/>
          </w:tcPr>
          <w:p>
            <w:pPr>
              <w:pStyle w:val="0"/>
            </w:pPr>
            <w:r>
              <w:rPr>
                <w:sz w:val="20"/>
              </w:rPr>
            </w:r>
          </w:p>
        </w:tc>
        <w:tc>
          <w:tcPr>
            <w:tcW w:w="3984" w:type="dxa"/>
          </w:tcPr>
          <w:p>
            <w:pPr>
              <w:pStyle w:val="0"/>
            </w:pPr>
            <w:r>
              <w:rPr>
                <w:sz w:val="20"/>
              </w:rPr>
            </w:r>
          </w:p>
        </w:tc>
      </w:tr>
    </w:tbl>
    <w:p>
      <w:pPr>
        <w:pStyle w:val="0"/>
        <w:jc w:val="both"/>
      </w:pPr>
      <w:r>
        <w:rPr>
          <w:sz w:val="20"/>
        </w:rPr>
      </w:r>
    </w:p>
    <w:p>
      <w:pPr>
        <w:pStyle w:val="1"/>
        <w:jc w:val="both"/>
      </w:pPr>
      <w:r>
        <w:rPr>
          <w:sz w:val="20"/>
        </w:rPr>
        <w:t xml:space="preserve">    3.   У   сторон   на   границе   балансовой   принадлежности   объектов</w:t>
      </w:r>
    </w:p>
    <w:p>
      <w:pPr>
        <w:pStyle w:val="1"/>
        <w:jc w:val="both"/>
      </w:pPr>
      <w:r>
        <w:rPr>
          <w:sz w:val="20"/>
        </w:rPr>
        <w:t xml:space="preserve">электроэнергетики  (энергопринимающих  устройств,  объектов микрогенерации)</w:t>
      </w:r>
    </w:p>
    <w:p>
      <w:pPr>
        <w:pStyle w:val="1"/>
        <w:jc w:val="both"/>
      </w:pPr>
      <w:r>
        <w:rPr>
          <w:sz w:val="20"/>
        </w:rPr>
        <w:t xml:space="preserve">находятся следующие технологически соединенные элементы электрической сети: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046"/>
        <w:gridCol w:w="3984"/>
      </w:tblGrid>
      <w:tr>
        <w:tc>
          <w:tcPr>
            <w:tcW w:w="5046" w:type="dxa"/>
            <w:vAlign w:val="bottom"/>
          </w:tcPr>
          <w:p>
            <w:pPr>
              <w:pStyle w:val="0"/>
              <w:jc w:val="center"/>
            </w:pPr>
            <w:r>
              <w:rPr>
                <w:sz w:val="20"/>
              </w:rPr>
              <w:t xml:space="preserve">Наименование электроустановки (оборудования) сетевой организации</w:t>
            </w:r>
          </w:p>
        </w:tc>
        <w:tc>
          <w:tcPr>
            <w:tcW w:w="3984" w:type="dxa"/>
            <w:vAlign w:val="bottom"/>
          </w:tcPr>
          <w:p>
            <w:pPr>
              <w:pStyle w:val="0"/>
              <w:jc w:val="center"/>
            </w:pPr>
            <w:r>
              <w:rPr>
                <w:sz w:val="20"/>
              </w:rPr>
              <w:t xml:space="preserve">Наименование электроустановки (оборудования) заявителя</w:t>
            </w:r>
          </w:p>
        </w:tc>
      </w:tr>
      <w:tr>
        <w:tc>
          <w:tcPr>
            <w:tcW w:w="5046" w:type="dxa"/>
          </w:tcPr>
          <w:p>
            <w:pPr>
              <w:pStyle w:val="0"/>
            </w:pPr>
            <w:r>
              <w:rPr>
                <w:sz w:val="20"/>
              </w:rPr>
            </w:r>
          </w:p>
        </w:tc>
        <w:tc>
          <w:tcPr>
            <w:tcW w:w="3984" w:type="dxa"/>
          </w:tcPr>
          <w:p>
            <w:pPr>
              <w:pStyle w:val="0"/>
            </w:pPr>
            <w:r>
              <w:rPr>
                <w:sz w:val="20"/>
              </w:rPr>
            </w:r>
          </w:p>
        </w:tc>
      </w:tr>
    </w:tbl>
    <w:p>
      <w:pPr>
        <w:pStyle w:val="0"/>
        <w:jc w:val="both"/>
      </w:pPr>
      <w:r>
        <w:rPr>
          <w:sz w:val="20"/>
        </w:rPr>
      </w:r>
    </w:p>
    <w:p>
      <w:pPr>
        <w:pStyle w:val="1"/>
        <w:jc w:val="both"/>
      </w:pPr>
      <w:r>
        <w:rPr>
          <w:sz w:val="20"/>
        </w:rPr>
        <w:t xml:space="preserve">    У   сторон   в  эксплуатационной  ответственности  находятся  следующие</w:t>
      </w:r>
    </w:p>
    <w:p>
      <w:pPr>
        <w:pStyle w:val="1"/>
        <w:jc w:val="both"/>
      </w:pPr>
      <w:r>
        <w:rPr>
          <w:sz w:val="20"/>
        </w:rPr>
        <w:t xml:space="preserve">технологически соединенные элементы электрической сети: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046"/>
        <w:gridCol w:w="3984"/>
      </w:tblGrid>
      <w:tr>
        <w:tc>
          <w:tcPr>
            <w:tcW w:w="5046" w:type="dxa"/>
            <w:vAlign w:val="bottom"/>
          </w:tcPr>
          <w:p>
            <w:pPr>
              <w:pStyle w:val="0"/>
              <w:jc w:val="center"/>
            </w:pPr>
            <w:r>
              <w:rPr>
                <w:sz w:val="20"/>
              </w:rPr>
              <w:t xml:space="preserve">Наименование электроустановки (оборудования), находящейся в эксплуатации сетевой организации</w:t>
            </w:r>
          </w:p>
        </w:tc>
        <w:tc>
          <w:tcPr>
            <w:tcW w:w="3984" w:type="dxa"/>
            <w:vAlign w:val="bottom"/>
          </w:tcPr>
          <w:p>
            <w:pPr>
              <w:pStyle w:val="0"/>
              <w:jc w:val="center"/>
            </w:pPr>
            <w:r>
              <w:rPr>
                <w:sz w:val="20"/>
              </w:rPr>
              <w:t xml:space="preserve">Наименование электроустановки (оборудования), находящейся в эксплуатации заявителя</w:t>
            </w:r>
          </w:p>
        </w:tc>
      </w:tr>
      <w:tr>
        <w:tc>
          <w:tcPr>
            <w:tcW w:w="5046" w:type="dxa"/>
          </w:tcPr>
          <w:p>
            <w:pPr>
              <w:pStyle w:val="0"/>
            </w:pPr>
            <w:r>
              <w:rPr>
                <w:sz w:val="20"/>
              </w:rPr>
            </w:r>
          </w:p>
        </w:tc>
        <w:tc>
          <w:tcPr>
            <w:tcW w:w="3984" w:type="dxa"/>
          </w:tcPr>
          <w:p>
            <w:pPr>
              <w:pStyle w:val="0"/>
            </w:pPr>
            <w:r>
              <w:rPr>
                <w:sz w:val="20"/>
              </w:rPr>
            </w:r>
          </w:p>
        </w:tc>
      </w:tr>
    </w:tbl>
    <w:p>
      <w:pPr>
        <w:pStyle w:val="0"/>
        <w:jc w:val="both"/>
      </w:pPr>
      <w:r>
        <w:rPr>
          <w:sz w:val="20"/>
        </w:rPr>
      </w:r>
    </w:p>
    <w:p>
      <w:pPr>
        <w:pStyle w:val="1"/>
        <w:jc w:val="both"/>
      </w:pPr>
      <w:r>
        <w:rPr>
          <w:sz w:val="20"/>
        </w:rPr>
        <w:t xml:space="preserve">    4.  Характеристики  установленных измерительных комплексов содержатся в</w:t>
      </w:r>
    </w:p>
    <w:p>
      <w:pPr>
        <w:pStyle w:val="1"/>
        <w:jc w:val="both"/>
      </w:pPr>
      <w:r>
        <w:rPr>
          <w:sz w:val="20"/>
        </w:rPr>
        <w:t xml:space="preserve">акте допуска прибора учета электрической энергии в эксплуатацию.</w:t>
      </w:r>
    </w:p>
    <w:p>
      <w:pPr>
        <w:pStyle w:val="1"/>
        <w:jc w:val="both"/>
      </w:pPr>
      <w:r>
        <w:rPr>
          <w:sz w:val="20"/>
        </w:rPr>
        <w:t xml:space="preserve">    5.  Устройства  защиты,  релейной  защиты,  противоаварийной и режимной</w:t>
      </w:r>
    </w:p>
    <w:p>
      <w:pPr>
        <w:pStyle w:val="1"/>
        <w:jc w:val="both"/>
      </w:pPr>
      <w:r>
        <w:rPr>
          <w:sz w:val="20"/>
        </w:rPr>
        <w:t xml:space="preserve">автоматики:</w:t>
      </w:r>
    </w:p>
    <w:p>
      <w:pPr>
        <w:pStyle w:val="1"/>
        <w:jc w:val="both"/>
      </w:pPr>
      <w:r>
        <w:rPr>
          <w:sz w:val="20"/>
        </w:rPr>
        <w:t xml:space="preserve">__________________________________________________________________________.</w:t>
      </w:r>
    </w:p>
    <w:p>
      <w:pPr>
        <w:pStyle w:val="1"/>
        <w:jc w:val="both"/>
      </w:pPr>
      <w:r>
        <w:rPr>
          <w:sz w:val="20"/>
        </w:rPr>
        <w:t xml:space="preserve">                (виды защиты и автоматики, действия и др.)</w:t>
      </w:r>
    </w:p>
    <w:p>
      <w:pPr>
        <w:pStyle w:val="1"/>
        <w:jc w:val="both"/>
      </w:pPr>
      <w:r>
        <w:rPr>
          <w:sz w:val="20"/>
        </w:rPr>
        <w:t xml:space="preserve">    6. Автономный резервный источник питания:</w:t>
      </w:r>
    </w:p>
    <w:p>
      <w:pPr>
        <w:pStyle w:val="1"/>
        <w:jc w:val="both"/>
      </w:pPr>
      <w:r>
        <w:rPr>
          <w:sz w:val="20"/>
        </w:rPr>
        <w:t xml:space="preserve">__________________________________________________________________________.</w:t>
      </w:r>
    </w:p>
    <w:p>
      <w:pPr>
        <w:pStyle w:val="1"/>
        <w:jc w:val="both"/>
      </w:pPr>
      <w:r>
        <w:rPr>
          <w:sz w:val="20"/>
        </w:rPr>
        <w:t xml:space="preserve">                  (место установки, тип, мощность и др.)</w:t>
      </w:r>
    </w:p>
    <w:p>
      <w:pPr>
        <w:pStyle w:val="1"/>
        <w:jc w:val="both"/>
      </w:pPr>
      <w:r>
        <w:rPr>
          <w:sz w:val="20"/>
        </w:rPr>
        <w:t xml:space="preserve">    7. Прочие сведения:</w:t>
      </w:r>
    </w:p>
    <w:p>
      <w:pPr>
        <w:pStyle w:val="1"/>
        <w:jc w:val="both"/>
      </w:pPr>
      <w:r>
        <w:rPr>
          <w:sz w:val="20"/>
        </w:rPr>
        <w:t xml:space="preserve">__________________________________________________________________________.</w:t>
      </w:r>
    </w:p>
    <w:p>
      <w:pPr>
        <w:pStyle w:val="1"/>
        <w:jc w:val="both"/>
      </w:pPr>
      <w:r>
        <w:rPr>
          <w:sz w:val="20"/>
        </w:rPr>
        <w:t xml:space="preserve">    (в том числе сведения об опосредованно присоединенных потребителях,</w:t>
      </w:r>
    </w:p>
    <w:p>
      <w:pPr>
        <w:pStyle w:val="1"/>
        <w:jc w:val="both"/>
      </w:pPr>
      <w:r>
        <w:rPr>
          <w:sz w:val="20"/>
        </w:rPr>
        <w:t xml:space="preserve"> наименование, адрес, максимальная мощность, категория надежности, уровень</w:t>
      </w:r>
    </w:p>
    <w:p>
      <w:pPr>
        <w:pStyle w:val="1"/>
        <w:jc w:val="both"/>
      </w:pPr>
      <w:r>
        <w:rPr>
          <w:sz w:val="20"/>
        </w:rPr>
        <w:t xml:space="preserve">       напряжения, сведения о расчетах потерь электрической энергии</w:t>
      </w:r>
    </w:p>
    <w:p>
      <w:pPr>
        <w:pStyle w:val="1"/>
        <w:jc w:val="both"/>
      </w:pPr>
      <w:r>
        <w:rPr>
          <w:sz w:val="20"/>
        </w:rPr>
        <w:t xml:space="preserve">      в электрической сети потребителя электрической энергии и др.).</w:t>
      </w:r>
    </w:p>
    <w:p>
      <w:pPr>
        <w:pStyle w:val="1"/>
        <w:jc w:val="both"/>
      </w:pPr>
      <w:r>
        <w:rPr>
          <w:sz w:val="20"/>
        </w:rPr>
        <w:t xml:space="preserve">    8.    Схематично    границы    балансовой    принадлежности    объектов</w:t>
      </w:r>
    </w:p>
    <w:p>
      <w:pPr>
        <w:pStyle w:val="1"/>
        <w:jc w:val="both"/>
      </w:pPr>
      <w:r>
        <w:rPr>
          <w:sz w:val="20"/>
        </w:rPr>
        <w:t xml:space="preserve">электроэнергетики  (энергопринимающих устройств, объектов микрогенерации) и</w:t>
      </w:r>
    </w:p>
    <w:p>
      <w:pPr>
        <w:pStyle w:val="1"/>
        <w:jc w:val="both"/>
      </w:pPr>
      <w:r>
        <w:rPr>
          <w:sz w:val="20"/>
        </w:rPr>
        <w:t xml:space="preserve">эксплуатационной   ответственности   сторон   указаны  в  приведенной  ниже</w:t>
      </w:r>
    </w:p>
    <w:p>
      <w:pPr>
        <w:pStyle w:val="1"/>
        <w:jc w:val="both"/>
      </w:pPr>
      <w:r>
        <w:rPr>
          <w:sz w:val="20"/>
        </w:rPr>
        <w:t xml:space="preserve">однолинейной схеме присоединения энергопринимающих устройств.</w:t>
      </w:r>
    </w:p>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65"/>
      </w:tblGrid>
      <w:tr>
        <w:tc>
          <w:tcPr>
            <w:tcW w:w="9065" w:type="dxa"/>
            <w:tcBorders>
              <w:top w:val="single" w:sz="4"/>
              <w:left w:val="single" w:sz="4"/>
              <w:bottom w:val="single" w:sz="4"/>
              <w:right w:val="single" w:sz="4"/>
            </w:tcBorders>
          </w:tcPr>
          <w:p>
            <w:pPr>
              <w:pStyle w:val="0"/>
              <w:jc w:val="center"/>
            </w:pPr>
            <w:r>
              <w:rPr>
                <w:sz w:val="20"/>
              </w:rPr>
              <w:t xml:space="preserve">Однолинейная схема присоединения энергопринимающих устройств заявителя к внешней сети, не принадлежащей заявителю, с нанесенными на схеме границами балансовой принадлежности объектов электроэнергетики (энергопринимающих устройств, объектов микрогенерации) и эксплуатационной ответственности сторон. На однолинейной схеме должны быть указаны владельцы электроустановки (оборудования), размещение приборов коммерческого учета, длина и марка проводов (кабеля), трансформаторные подстанции с указанием типа и мощности трансформаторов, компенсирующих устройств (реакторов электрической мощности, батарей статических конденсаторов) электрической сети. Для потребителей до 150 кВт прилагается схема соединения электроустановок</w:t>
            </w:r>
          </w:p>
        </w:tc>
      </w:tr>
    </w:tbl>
    <w:p>
      <w:pPr>
        <w:pStyle w:val="0"/>
        <w:jc w:val="both"/>
      </w:pPr>
      <w:r>
        <w:rPr>
          <w:sz w:val="20"/>
        </w:rPr>
      </w:r>
    </w:p>
    <w:p>
      <w:pPr>
        <w:pStyle w:val="1"/>
        <w:jc w:val="both"/>
      </w:pPr>
      <w:r>
        <w:rPr>
          <w:sz w:val="20"/>
        </w:rPr>
        <w:t xml:space="preserve">    Прочее:</w:t>
      </w:r>
    </w:p>
    <w:p>
      <w:pPr>
        <w:pStyle w:val="1"/>
        <w:jc w:val="both"/>
      </w:pPr>
      <w:r>
        <w:rPr>
          <w:sz w:val="20"/>
        </w:rPr>
        <w:t xml:space="preserve">__________________________________________________________________________.</w:t>
      </w:r>
    </w:p>
    <w:p>
      <w:pPr>
        <w:pStyle w:val="1"/>
        <w:jc w:val="both"/>
      </w:pPr>
      <w:r>
        <w:rPr>
          <w:sz w:val="20"/>
        </w:rPr>
        <w:t xml:space="preserve">    9.    Стороны    подтверждают,    что   технологическое   присоединение</w:t>
      </w:r>
    </w:p>
    <w:p>
      <w:pPr>
        <w:pStyle w:val="1"/>
        <w:jc w:val="both"/>
      </w:pPr>
      <w:r>
        <w:rPr>
          <w:sz w:val="20"/>
        </w:rPr>
        <w:t xml:space="preserve">энергопринимающих    устройств    (энергетических    установок,    объектов</w:t>
      </w:r>
    </w:p>
    <w:p>
      <w:pPr>
        <w:pStyle w:val="1"/>
        <w:jc w:val="both"/>
      </w:pPr>
      <w:r>
        <w:rPr>
          <w:sz w:val="20"/>
        </w:rPr>
        <w:t xml:space="preserve">микрогенерации)  к  электрической  сети  сетевой  организации  выполнено  в</w:t>
      </w:r>
    </w:p>
    <w:p>
      <w:pPr>
        <w:pStyle w:val="1"/>
        <w:jc w:val="both"/>
      </w:pPr>
      <w:r>
        <w:rPr>
          <w:sz w:val="20"/>
        </w:rPr>
        <w:t xml:space="preserve">соответствии с правилами и нормами.</w:t>
      </w:r>
    </w:p>
    <w:p>
      <w:pPr>
        <w:pStyle w:val="1"/>
        <w:jc w:val="both"/>
      </w:pPr>
      <w:r>
        <w:rPr>
          <w:sz w:val="20"/>
        </w:rPr>
        <w:t xml:space="preserve">    Стороны  подтверждают,  что  присоединенный  объект  является  объектом</w:t>
      </w:r>
    </w:p>
    <w:p>
      <w:pPr>
        <w:pStyle w:val="1"/>
        <w:jc w:val="both"/>
      </w:pPr>
      <w:r>
        <w:rPr>
          <w:sz w:val="20"/>
        </w:rPr>
        <w:t xml:space="preserve">микрогенерации </w:t>
      </w:r>
      <w:hyperlink w:history="0" w:anchor="P2347" w:tooltip="&lt;4&gt; Заполняется в случае технологического присоединения объектов микрогенерации.">
        <w:r>
          <w:rPr>
            <w:sz w:val="20"/>
            <w:color w:val="0000ff"/>
          </w:rPr>
          <w:t xml:space="preserve">&lt;4&gt;</w:t>
        </w:r>
      </w:hyperlink>
      <w:r>
        <w:rPr>
          <w:sz w:val="20"/>
        </w:rPr>
        <w:t xml:space="preserve">.</w:t>
      </w:r>
    </w:p>
    <w:p>
      <w:pPr>
        <w:pStyle w:val="1"/>
        <w:jc w:val="both"/>
      </w:pPr>
      <w:r>
        <w:rPr>
          <w:sz w:val="20"/>
        </w:rPr>
        <w:t xml:space="preserve">    Заявитель претензий к оказанию услуг сетевой организацией не имеет </w:t>
      </w:r>
      <w:hyperlink w:history="0" w:anchor="P2348" w:tooltip="&lt;5&gt; При восстановлении (переоформлении) документов указанная информация не вносится.">
        <w:r>
          <w:rPr>
            <w:sz w:val="20"/>
            <w:color w:val="0000ff"/>
          </w:rPr>
          <w:t xml:space="preserve">&lt;5&gt;</w:t>
        </w:r>
      </w:hyperlink>
      <w:r>
        <w:rPr>
          <w:sz w:val="20"/>
        </w:rPr>
        <w:t xml:space="preserve">.</w:t>
      </w:r>
    </w:p>
    <w:p>
      <w:pPr>
        <w:pStyle w:val="0"/>
        <w:jc w:val="both"/>
      </w:pPr>
      <w:r>
        <w:rPr>
          <w:sz w:val="20"/>
        </w:rPr>
      </w:r>
    </w:p>
    <w:tbl>
      <w:tblPr>
        <w:tblInd w:w="0" w:type="dxa"/>
        <w:tblLayout w:type="fixed"/>
        <w:tblCellMar>
          <w:top w:w="102" w:type="dxa"/>
          <w:left w:w="62" w:type="dxa"/>
          <w:bottom w:w="102" w:type="dxa"/>
          <w:right w:w="62" w:type="dxa"/>
        </w:tblCellMar>
      </w:tblPr>
      <w:tblGrid>
        <w:gridCol w:w="2021"/>
        <w:gridCol w:w="340"/>
        <w:gridCol w:w="1891"/>
        <w:gridCol w:w="340"/>
        <w:gridCol w:w="2184"/>
        <w:gridCol w:w="340"/>
        <w:gridCol w:w="1936"/>
      </w:tblGrid>
      <w:tr>
        <w:tc>
          <w:tcPr>
            <w:gridSpan w:val="3"/>
            <w:tcW w:w="4252" w:type="dxa"/>
            <w:tcBorders>
              <w:top w:val="nil"/>
              <w:left w:val="nil"/>
              <w:bottom w:val="nil"/>
              <w:right w:val="nil"/>
            </w:tcBorders>
          </w:tcPr>
          <w:p>
            <w:pPr>
              <w:pStyle w:val="0"/>
            </w:pPr>
            <w:r>
              <w:rPr>
                <w:sz w:val="20"/>
              </w:rPr>
              <w:t xml:space="preserve">Подписи сторон</w:t>
            </w:r>
          </w:p>
        </w:tc>
        <w:tc>
          <w:tcPr>
            <w:tcW w:w="340" w:type="dxa"/>
            <w:tcBorders>
              <w:top w:val="nil"/>
              <w:left w:val="nil"/>
              <w:bottom w:val="nil"/>
              <w:right w:val="nil"/>
            </w:tcBorders>
          </w:tcPr>
          <w:p>
            <w:pPr>
              <w:pStyle w:val="0"/>
            </w:pPr>
            <w:r>
              <w:rPr>
                <w:sz w:val="20"/>
              </w:rPr>
            </w:r>
          </w:p>
        </w:tc>
        <w:tc>
          <w:tcPr>
            <w:gridSpan w:val="3"/>
            <w:tcW w:w="4460" w:type="dxa"/>
            <w:tcBorders>
              <w:top w:val="nil"/>
              <w:left w:val="nil"/>
              <w:bottom w:val="nil"/>
              <w:right w:val="nil"/>
            </w:tcBorders>
          </w:tcPr>
          <w:p>
            <w:pPr>
              <w:pStyle w:val="0"/>
            </w:pPr>
            <w:r>
              <w:rPr>
                <w:sz w:val="20"/>
              </w:rPr>
            </w:r>
          </w:p>
        </w:tc>
      </w:tr>
      <w:tr>
        <w:tc>
          <w:tcPr>
            <w:gridSpan w:val="3"/>
            <w:tcW w:w="4252"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gridSpan w:val="3"/>
            <w:tcW w:w="4460" w:type="dxa"/>
            <w:tcBorders>
              <w:top w:val="nil"/>
              <w:left w:val="nil"/>
              <w:bottom w:val="single" w:sz="4"/>
              <w:right w:val="nil"/>
            </w:tcBorders>
          </w:tcPr>
          <w:p>
            <w:pPr>
              <w:pStyle w:val="0"/>
            </w:pPr>
            <w:r>
              <w:rPr>
                <w:sz w:val="20"/>
              </w:rPr>
            </w:r>
          </w:p>
        </w:tc>
      </w:tr>
      <w:tr>
        <w:tblPrEx>
          <w:tblBorders>
            <w:insideH w:val="single" w:sz="4"/>
          </w:tblBorders>
        </w:tblPrEx>
        <w:tc>
          <w:tcPr>
            <w:gridSpan w:val="3"/>
            <w:tcW w:w="4252" w:type="dxa"/>
            <w:tcBorders>
              <w:top w:val="single" w:sz="4"/>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gridSpan w:val="3"/>
            <w:tcW w:w="4460" w:type="dxa"/>
            <w:tcBorders>
              <w:top w:val="single" w:sz="4"/>
              <w:left w:val="nil"/>
              <w:bottom w:val="single" w:sz="4"/>
              <w:right w:val="nil"/>
            </w:tcBorders>
          </w:tcPr>
          <w:p>
            <w:pPr>
              <w:pStyle w:val="0"/>
            </w:pPr>
            <w:r>
              <w:rPr>
                <w:sz w:val="20"/>
              </w:rPr>
            </w:r>
          </w:p>
        </w:tc>
      </w:tr>
      <w:tr>
        <w:tc>
          <w:tcPr>
            <w:gridSpan w:val="3"/>
            <w:tcW w:w="4252" w:type="dxa"/>
            <w:vAlign w:val="bottom"/>
            <w:tcBorders>
              <w:top w:val="single" w:sz="4"/>
              <w:left w:val="nil"/>
              <w:bottom w:val="nil"/>
              <w:right w:val="nil"/>
            </w:tcBorders>
          </w:tcPr>
          <w:p>
            <w:pPr>
              <w:pStyle w:val="0"/>
              <w:jc w:val="center"/>
            </w:pPr>
            <w:r>
              <w:rPr>
                <w:sz w:val="20"/>
              </w:rPr>
              <w:t xml:space="preserve">(должность)</w:t>
            </w:r>
          </w:p>
        </w:tc>
        <w:tc>
          <w:tcPr>
            <w:tcW w:w="340" w:type="dxa"/>
            <w:tcBorders>
              <w:top w:val="nil"/>
              <w:left w:val="nil"/>
              <w:bottom w:val="nil"/>
              <w:right w:val="nil"/>
            </w:tcBorders>
          </w:tcPr>
          <w:p>
            <w:pPr>
              <w:pStyle w:val="0"/>
            </w:pPr>
            <w:r>
              <w:rPr>
                <w:sz w:val="20"/>
              </w:rPr>
            </w:r>
          </w:p>
        </w:tc>
        <w:tc>
          <w:tcPr>
            <w:gridSpan w:val="3"/>
            <w:tcW w:w="4460" w:type="dxa"/>
            <w:vAlign w:val="bottom"/>
            <w:tcBorders>
              <w:top w:val="single" w:sz="4"/>
              <w:left w:val="nil"/>
              <w:bottom w:val="nil"/>
              <w:right w:val="nil"/>
            </w:tcBorders>
          </w:tcPr>
          <w:p>
            <w:pPr>
              <w:pStyle w:val="0"/>
              <w:jc w:val="center"/>
            </w:pPr>
            <w:r>
              <w:rPr>
                <w:sz w:val="20"/>
              </w:rPr>
              <w:t xml:space="preserve">(должность)</w:t>
            </w:r>
          </w:p>
        </w:tc>
      </w:tr>
      <w:tr>
        <w:tc>
          <w:tcPr>
            <w:tcW w:w="202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t xml:space="preserve">/</w:t>
            </w:r>
          </w:p>
        </w:tc>
        <w:tc>
          <w:tcPr>
            <w:tcW w:w="189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184"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t xml:space="preserve">/</w:t>
            </w:r>
          </w:p>
        </w:tc>
        <w:tc>
          <w:tcPr>
            <w:tcW w:w="1936" w:type="dxa"/>
            <w:tcBorders>
              <w:top w:val="nil"/>
              <w:left w:val="nil"/>
              <w:bottom w:val="single" w:sz="4"/>
              <w:right w:val="nil"/>
            </w:tcBorders>
          </w:tcPr>
          <w:p>
            <w:pPr>
              <w:pStyle w:val="0"/>
            </w:pPr>
            <w:r>
              <w:rPr>
                <w:sz w:val="20"/>
              </w:rPr>
            </w:r>
          </w:p>
        </w:tc>
      </w:tr>
      <w:tr>
        <w:tblPrEx>
          <w:tblBorders>
            <w:insideH w:val="single" w:sz="4"/>
          </w:tblBorders>
        </w:tblPrEx>
        <w:tc>
          <w:tcPr>
            <w:tcW w:w="2021" w:type="dxa"/>
            <w:tcBorders>
              <w:top w:val="single" w:sz="4"/>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1891" w:type="dxa"/>
            <w:tcBorders>
              <w:top w:val="single" w:sz="4"/>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184" w:type="dxa"/>
            <w:tcBorders>
              <w:top w:val="single" w:sz="4"/>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1936" w:type="dxa"/>
            <w:tcBorders>
              <w:top w:val="single" w:sz="4"/>
              <w:left w:val="nil"/>
              <w:bottom w:val="single" w:sz="4"/>
              <w:right w:val="nil"/>
            </w:tcBorders>
          </w:tcPr>
          <w:p>
            <w:pPr>
              <w:pStyle w:val="0"/>
            </w:pPr>
            <w:r>
              <w:rPr>
                <w:sz w:val="20"/>
              </w:rPr>
            </w:r>
          </w:p>
        </w:tc>
      </w:tr>
      <w:tr>
        <w:tblPrEx>
          <w:tblBorders>
            <w:insideH w:val="single" w:sz="4"/>
          </w:tblBorders>
        </w:tblPrEx>
        <w:tc>
          <w:tcPr>
            <w:tcW w:w="2021" w:type="dxa"/>
            <w:vAlign w:val="bottom"/>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1891" w:type="dxa"/>
            <w:tcBorders>
              <w:top w:val="single" w:sz="4"/>
              <w:left w:val="nil"/>
              <w:bottom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184" w:type="dxa"/>
            <w:vAlign w:val="bottom"/>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1936" w:type="dxa"/>
            <w:tcBorders>
              <w:top w:val="single" w:sz="4"/>
              <w:left w:val="nil"/>
              <w:bottom w:val="nil"/>
              <w:right w:val="nil"/>
            </w:tcBorders>
          </w:tcPr>
          <w:p>
            <w:pPr>
              <w:pStyle w:val="0"/>
            </w:pPr>
            <w:r>
              <w:rPr>
                <w:sz w:val="20"/>
              </w:rPr>
            </w:r>
          </w:p>
        </w:tc>
      </w:tr>
    </w:tbl>
    <w:p>
      <w:pPr>
        <w:pStyle w:val="0"/>
        <w:jc w:val="both"/>
      </w:pPr>
      <w:r>
        <w:rPr>
          <w:sz w:val="20"/>
        </w:rPr>
      </w:r>
    </w:p>
    <w:p>
      <w:pPr>
        <w:pStyle w:val="0"/>
        <w:ind w:firstLine="540"/>
        <w:jc w:val="both"/>
      </w:pPr>
      <w:r>
        <w:rPr>
          <w:sz w:val="20"/>
        </w:rPr>
        <w:t xml:space="preserve">--------------------------------</w:t>
      </w:r>
    </w:p>
    <w:bookmarkStart w:id="2344" w:name="P2344"/>
    <w:bookmarkEnd w:id="2344"/>
    <w:p>
      <w:pPr>
        <w:pStyle w:val="0"/>
        <w:spacing w:before="200" w:line-rule="auto"/>
        <w:ind w:firstLine="540"/>
        <w:jc w:val="both"/>
      </w:pPr>
      <w:r>
        <w:rPr>
          <w:sz w:val="20"/>
        </w:rPr>
        <w:t xml:space="preserve">&lt;1&gt; При восстановлении (переоформлении) документов указанная информация не вносится.</w:t>
      </w:r>
    </w:p>
    <w:bookmarkStart w:id="2345" w:name="P2345"/>
    <w:bookmarkEnd w:id="2345"/>
    <w:p>
      <w:pPr>
        <w:pStyle w:val="0"/>
        <w:spacing w:before="200" w:line-rule="auto"/>
        <w:ind w:firstLine="540"/>
        <w:jc w:val="both"/>
      </w:pPr>
      <w:r>
        <w:rPr>
          <w:sz w:val="20"/>
        </w:rPr>
        <w:t xml:space="preserve">&lt;2&gt; Заполняется в случае переоформления документов.</w:t>
      </w:r>
    </w:p>
    <w:bookmarkStart w:id="2346" w:name="P2346"/>
    <w:bookmarkEnd w:id="2346"/>
    <w:p>
      <w:pPr>
        <w:pStyle w:val="0"/>
        <w:spacing w:before="200" w:line-rule="auto"/>
        <w:ind w:firstLine="540"/>
        <w:jc w:val="both"/>
      </w:pPr>
      <w:r>
        <w:rPr>
          <w:sz w:val="20"/>
        </w:rPr>
        <w:t xml:space="preserve">&lt;3&gt; Заполняется в случае увеличения максимальной мощности ранее присоединенных энергопринимающих устройств (энергетических установок).</w:t>
      </w:r>
    </w:p>
    <w:bookmarkStart w:id="2347" w:name="P2347"/>
    <w:bookmarkEnd w:id="2347"/>
    <w:p>
      <w:pPr>
        <w:pStyle w:val="0"/>
        <w:spacing w:before="200" w:line-rule="auto"/>
        <w:ind w:firstLine="540"/>
        <w:jc w:val="both"/>
      </w:pPr>
      <w:r>
        <w:rPr>
          <w:sz w:val="20"/>
        </w:rPr>
        <w:t xml:space="preserve">&lt;4&gt; Заполняется в случае технологического присоединения объектов микрогенерации.</w:t>
      </w:r>
    </w:p>
    <w:bookmarkStart w:id="2348" w:name="P2348"/>
    <w:bookmarkEnd w:id="2348"/>
    <w:p>
      <w:pPr>
        <w:pStyle w:val="0"/>
        <w:spacing w:before="200" w:line-rule="auto"/>
        <w:ind w:firstLine="540"/>
        <w:jc w:val="both"/>
      </w:pPr>
      <w:r>
        <w:rPr>
          <w:sz w:val="20"/>
        </w:rPr>
        <w:t xml:space="preserve">&lt;5&gt; При восстановлении (переоформлении) документов указанная информация не вносится.</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1(1)</w:t>
      </w:r>
    </w:p>
    <w:p>
      <w:pPr>
        <w:pStyle w:val="0"/>
        <w:jc w:val="right"/>
      </w:pPr>
      <w:r>
        <w:rPr>
          <w:sz w:val="20"/>
        </w:rPr>
        <w:t xml:space="preserve">к Правилам технологического</w:t>
      </w:r>
    </w:p>
    <w:p>
      <w:pPr>
        <w:pStyle w:val="0"/>
        <w:jc w:val="right"/>
      </w:pPr>
      <w:r>
        <w:rPr>
          <w:sz w:val="20"/>
        </w:rPr>
        <w:t xml:space="preserve">присоединения энергопринимающих</w:t>
      </w:r>
    </w:p>
    <w:p>
      <w:pPr>
        <w:pStyle w:val="0"/>
        <w:jc w:val="right"/>
      </w:pPr>
      <w:r>
        <w:rPr>
          <w:sz w:val="20"/>
        </w:rPr>
        <w:t xml:space="preserve">устройств потребителей</w:t>
      </w:r>
    </w:p>
    <w:p>
      <w:pPr>
        <w:pStyle w:val="0"/>
        <w:jc w:val="right"/>
      </w:pPr>
      <w:r>
        <w:rPr>
          <w:sz w:val="20"/>
        </w:rPr>
        <w:t xml:space="preserve">электрической энергии, объектов</w:t>
      </w:r>
    </w:p>
    <w:p>
      <w:pPr>
        <w:pStyle w:val="0"/>
        <w:jc w:val="right"/>
      </w:pPr>
      <w:r>
        <w:rPr>
          <w:sz w:val="20"/>
        </w:rPr>
        <w:t xml:space="preserve">по производству электрической</w:t>
      </w:r>
    </w:p>
    <w:p>
      <w:pPr>
        <w:pStyle w:val="0"/>
        <w:jc w:val="right"/>
      </w:pPr>
      <w:r>
        <w:rPr>
          <w:sz w:val="20"/>
        </w:rPr>
        <w:t xml:space="preserve">энергии, а также объектов</w:t>
      </w:r>
    </w:p>
    <w:p>
      <w:pPr>
        <w:pStyle w:val="0"/>
        <w:jc w:val="right"/>
      </w:pPr>
      <w:r>
        <w:rPr>
          <w:sz w:val="20"/>
        </w:rPr>
        <w:t xml:space="preserve">электросетевого хозяйства,</w:t>
      </w:r>
    </w:p>
    <w:p>
      <w:pPr>
        <w:pStyle w:val="0"/>
        <w:jc w:val="right"/>
      </w:pPr>
      <w:r>
        <w:rPr>
          <w:sz w:val="20"/>
        </w:rPr>
        <w:t xml:space="preserve">принадлежащих сетевым организациям</w:t>
      </w:r>
    </w:p>
    <w:p>
      <w:pPr>
        <w:pStyle w:val="0"/>
        <w:jc w:val="right"/>
      </w:pPr>
      <w:r>
        <w:rPr>
          <w:sz w:val="20"/>
        </w:rPr>
        <w:t xml:space="preserve">и иным лицам, к электрическим сетям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1091"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color w:val="392c69"/>
              </w:rPr>
              <w:t xml:space="preserve"> Правительства РФ от 30.06.2022 N 1178)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(форма)</w:t>
      </w:r>
    </w:p>
    <w:p>
      <w:pPr>
        <w:pStyle w:val="0"/>
        <w:jc w:val="both"/>
      </w:pPr>
      <w:r>
        <w:rPr>
          <w:sz w:val="20"/>
        </w:rPr>
      </w:r>
    </w:p>
    <w:bookmarkStart w:id="2369" w:name="P2369"/>
    <w:bookmarkEnd w:id="2369"/>
    <w:p>
      <w:pPr>
        <w:pStyle w:val="0"/>
        <w:jc w:val="center"/>
      </w:pPr>
      <w:r>
        <w:rPr>
          <w:sz w:val="20"/>
        </w:rPr>
        <w:t xml:space="preserve">УВЕДОМЛЕНИЕ</w:t>
      </w:r>
    </w:p>
    <w:p>
      <w:pPr>
        <w:pStyle w:val="0"/>
        <w:jc w:val="center"/>
      </w:pPr>
      <w:r>
        <w:rPr>
          <w:sz w:val="20"/>
        </w:rPr>
        <w:t xml:space="preserve">об обеспечении сетевой организацией возможности</w:t>
      </w:r>
    </w:p>
    <w:p>
      <w:pPr>
        <w:pStyle w:val="0"/>
        <w:jc w:val="center"/>
      </w:pPr>
      <w:r>
        <w:rPr>
          <w:sz w:val="20"/>
        </w:rPr>
        <w:t xml:space="preserve">присоединения к электрическим сетям</w:t>
      </w:r>
    </w:p>
    <w:p>
      <w:pPr>
        <w:pStyle w:val="0"/>
        <w:jc w:val="both"/>
      </w:pPr>
      <w:r>
        <w:rPr>
          <w:sz w:val="20"/>
        </w:rPr>
      </w:r>
    </w:p>
    <w:p>
      <w:pPr>
        <w:pStyle w:val="1"/>
        <w:jc w:val="both"/>
      </w:pPr>
      <w:r>
        <w:rPr>
          <w:sz w:val="20"/>
        </w:rPr>
        <w:t xml:space="preserve">    Настоящее уведомление составлено _____________________________________,</w:t>
      </w:r>
    </w:p>
    <w:p>
      <w:pPr>
        <w:pStyle w:val="1"/>
        <w:jc w:val="both"/>
      </w:pPr>
      <w:r>
        <w:rPr>
          <w:sz w:val="20"/>
        </w:rPr>
        <w:t xml:space="preserve">                                         (полное наименование сетевой</w:t>
      </w:r>
    </w:p>
    <w:p>
      <w:pPr>
        <w:pStyle w:val="1"/>
        <w:jc w:val="both"/>
      </w:pPr>
      <w:r>
        <w:rPr>
          <w:sz w:val="20"/>
        </w:rPr>
        <w:t xml:space="preserve">                                                 организации)</w:t>
      </w:r>
    </w:p>
    <w:p>
      <w:pPr>
        <w:pStyle w:val="1"/>
        <w:jc w:val="both"/>
      </w:pPr>
      <w:r>
        <w:rPr>
          <w:sz w:val="20"/>
        </w:rPr>
        <w:t xml:space="preserve">именуемым   (именуемой)   в   дальнейшем   сетевой   организацией,  в  лице</w:t>
      </w:r>
    </w:p>
    <w:p>
      <w:pPr>
        <w:pStyle w:val="1"/>
        <w:jc w:val="both"/>
      </w:pPr>
      <w:r>
        <w:rPr>
          <w:sz w:val="20"/>
        </w:rPr>
        <w:t xml:space="preserve">__________________________________________________________________________,</w:t>
      </w:r>
    </w:p>
    <w:p>
      <w:pPr>
        <w:pStyle w:val="1"/>
        <w:jc w:val="both"/>
      </w:pPr>
      <w:r>
        <w:rPr>
          <w:sz w:val="20"/>
        </w:rPr>
        <w:t xml:space="preserve">             (ф.и.о. лица - представителя сетевой организации)</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(устава, доверенности, иных документов)</w:t>
      </w:r>
    </w:p>
    <w:p>
      <w:pPr>
        <w:pStyle w:val="1"/>
        <w:jc w:val="both"/>
      </w:pPr>
      <w:r>
        <w:rPr>
          <w:sz w:val="20"/>
        </w:rPr>
        <w:t xml:space="preserve">    1. Сетевая организация оказала ______________________________ услугу по</w:t>
      </w:r>
    </w:p>
    <w:p>
      <w:pPr>
        <w:pStyle w:val="1"/>
        <w:jc w:val="both"/>
      </w:pPr>
      <w:r>
        <w:rPr>
          <w:sz w:val="20"/>
        </w:rPr>
        <w:t xml:space="preserve">                                      (наименование заявителя)</w:t>
      </w:r>
    </w:p>
    <w:p>
      <w:pPr>
        <w:pStyle w:val="1"/>
        <w:jc w:val="both"/>
      </w:pPr>
      <w:r>
        <w:rPr>
          <w:sz w:val="20"/>
        </w:rPr>
        <w:t xml:space="preserve">технологическому       присоединению       объектов       электроэнергетики</w:t>
      </w:r>
    </w:p>
    <w:p>
      <w:pPr>
        <w:pStyle w:val="1"/>
        <w:jc w:val="both"/>
      </w:pPr>
      <w:r>
        <w:rPr>
          <w:sz w:val="20"/>
        </w:rPr>
        <w:t xml:space="preserve">(энергопринимающих  устройств)  заявителя в соответствии с мероприятиями по</w:t>
      </w:r>
    </w:p>
    <w:p>
      <w:pPr>
        <w:pStyle w:val="1"/>
        <w:jc w:val="both"/>
      </w:pPr>
      <w:r>
        <w:rPr>
          <w:sz w:val="20"/>
        </w:rPr>
        <w:t xml:space="preserve">договору  об  осуществлении  технологического присоединения от ____________</w:t>
      </w:r>
    </w:p>
    <w:p>
      <w:pPr>
        <w:pStyle w:val="1"/>
        <w:jc w:val="both"/>
      </w:pPr>
      <w:r>
        <w:rPr>
          <w:sz w:val="20"/>
        </w:rPr>
        <w:t xml:space="preserve">N _____ в полном объеме на сумму ______________ (_______) рублей __ копеек,</w:t>
      </w:r>
    </w:p>
    <w:p>
      <w:pPr>
        <w:pStyle w:val="1"/>
        <w:jc w:val="both"/>
      </w:pPr>
      <w:r>
        <w:rPr>
          <w:sz w:val="20"/>
        </w:rPr>
        <w:t xml:space="preserve">в том числе ____________________________________________________ (прописью)</w:t>
      </w:r>
    </w:p>
    <w:p>
      <w:pPr>
        <w:pStyle w:val="1"/>
        <w:jc w:val="both"/>
      </w:pPr>
      <w:r>
        <w:rPr>
          <w:sz w:val="20"/>
        </w:rPr>
        <w:t xml:space="preserve">НДС _________________ (____) рублей __ копеек (прописью) </w:t>
      </w:r>
      <w:hyperlink w:history="0" w:anchor="P2489" w:tooltip="&lt;1&gt; При восстановлении (переоформлении) документов указанная информация не вносится.">
        <w:r>
          <w:rPr>
            <w:sz w:val="20"/>
            <w:color w:val="0000ff"/>
          </w:rPr>
          <w:t xml:space="preserve">&lt;1&gt;</w:t>
        </w:r>
      </w:hyperlink>
      <w:r>
        <w:rPr>
          <w:sz w:val="20"/>
        </w:rPr>
        <w:t xml:space="preserve">.</w:t>
      </w:r>
    </w:p>
    <w:p>
      <w:pPr>
        <w:pStyle w:val="1"/>
        <w:jc w:val="both"/>
      </w:pPr>
      <w:r>
        <w:rPr>
          <w:sz w:val="20"/>
        </w:rPr>
        <w:t xml:space="preserve">    Мероприятия   по   технологическому  присоединению  выполнены  согласно</w:t>
      </w:r>
    </w:p>
    <w:p>
      <w:pPr>
        <w:pStyle w:val="1"/>
        <w:jc w:val="both"/>
      </w:pPr>
      <w:r>
        <w:rPr>
          <w:sz w:val="20"/>
        </w:rPr>
        <w:t xml:space="preserve">техническим условиям от __________________ N ______.</w:t>
      </w:r>
    </w:p>
    <w:p>
      <w:pPr>
        <w:pStyle w:val="1"/>
        <w:jc w:val="both"/>
      </w:pPr>
      <w:r>
        <w:rPr>
          <w:sz w:val="20"/>
        </w:rPr>
        <w:t xml:space="preserve">    Объекты  электроэнергетики  (энергопринимающие устройства) находятся по</w:t>
      </w:r>
    </w:p>
    <w:p>
      <w:pPr>
        <w:pStyle w:val="1"/>
        <w:jc w:val="both"/>
      </w:pPr>
      <w:r>
        <w:rPr>
          <w:sz w:val="20"/>
        </w:rPr>
        <w:t xml:space="preserve">адресу: __________________________________________________________________.</w:t>
      </w:r>
    </w:p>
    <w:p>
      <w:pPr>
        <w:pStyle w:val="1"/>
        <w:jc w:val="both"/>
      </w:pPr>
      <w:r>
        <w:rPr>
          <w:sz w:val="20"/>
        </w:rPr>
        <w:t xml:space="preserve">    Уведомление    об    обеспечении   сетевой   организацией   возможности</w:t>
      </w:r>
    </w:p>
    <w:p>
      <w:pPr>
        <w:pStyle w:val="1"/>
        <w:jc w:val="both"/>
      </w:pPr>
      <w:r>
        <w:rPr>
          <w:sz w:val="20"/>
        </w:rPr>
        <w:t xml:space="preserve">присоединения к электрическим сетям от _______________ N _____ </w:t>
      </w:r>
      <w:hyperlink w:history="0" w:anchor="P2490" w:tooltip="&lt;2&gt; Заполняется в случае переоформления документов.">
        <w:r>
          <w:rPr>
            <w:sz w:val="20"/>
            <w:color w:val="0000ff"/>
          </w:rPr>
          <w:t xml:space="preserve">&lt;2&gt;</w:t>
        </w:r>
      </w:hyperlink>
      <w:r>
        <w:rPr>
          <w:sz w:val="20"/>
        </w:rPr>
        <w:t xml:space="preserve">.</w:t>
      </w:r>
    </w:p>
    <w:p>
      <w:pPr>
        <w:pStyle w:val="1"/>
        <w:jc w:val="both"/>
      </w:pPr>
      <w:r>
        <w:rPr>
          <w:sz w:val="20"/>
        </w:rPr>
        <w:t xml:space="preserve">    Характеристики присоединения:</w:t>
      </w:r>
    </w:p>
    <w:p>
      <w:pPr>
        <w:pStyle w:val="1"/>
        <w:jc w:val="both"/>
      </w:pPr>
      <w:r>
        <w:rPr>
          <w:sz w:val="20"/>
        </w:rPr>
        <w:t xml:space="preserve">    максимальная мощность (всего) _______ кВт, в том числе:</w:t>
      </w:r>
    </w:p>
    <w:p>
      <w:pPr>
        <w:pStyle w:val="1"/>
        <w:jc w:val="both"/>
      </w:pPr>
      <w:r>
        <w:rPr>
          <w:sz w:val="20"/>
        </w:rPr>
        <w:t xml:space="preserve">    максимальная  мощность  (без  учета ранее присоединенной (существующей)</w:t>
      </w:r>
    </w:p>
    <w:p>
      <w:pPr>
        <w:pStyle w:val="1"/>
        <w:jc w:val="both"/>
      </w:pPr>
      <w:r>
        <w:rPr>
          <w:sz w:val="20"/>
        </w:rPr>
        <w:t xml:space="preserve">максимальной мощности) _________ кВт;</w:t>
      </w:r>
    </w:p>
    <w:p>
      <w:pPr>
        <w:pStyle w:val="1"/>
        <w:jc w:val="both"/>
      </w:pPr>
      <w:r>
        <w:rPr>
          <w:sz w:val="20"/>
        </w:rPr>
        <w:t xml:space="preserve">    ранее присоединенная максимальная мощность ________ кВт </w:t>
      </w:r>
      <w:hyperlink w:history="0" w:anchor="P2491" w:tooltip="&lt;3&gt; Заполняется в случае увеличения максимальной мощности ранее присоединенных объектов электроэнергетики (энергопринимающих устройств).">
        <w:r>
          <w:rPr>
            <w:sz w:val="20"/>
            <w:color w:val="0000ff"/>
          </w:rPr>
          <w:t xml:space="preserve">&lt;3&gt;</w:t>
        </w:r>
      </w:hyperlink>
      <w:r>
        <w:rPr>
          <w:sz w:val="20"/>
        </w:rPr>
        <w:t xml:space="preserve">;</w:t>
      </w:r>
    </w:p>
    <w:p>
      <w:pPr>
        <w:pStyle w:val="1"/>
        <w:jc w:val="both"/>
      </w:pPr>
      <w:r>
        <w:rPr>
          <w:sz w:val="20"/>
        </w:rPr>
        <w:t xml:space="preserve">    совокупная величина номинальной мощности присоединенных к электрической</w:t>
      </w:r>
    </w:p>
    <w:p>
      <w:pPr>
        <w:pStyle w:val="1"/>
        <w:jc w:val="both"/>
      </w:pPr>
      <w:r>
        <w:rPr>
          <w:sz w:val="20"/>
        </w:rPr>
        <w:t xml:space="preserve">сети трансформаторов ________ кВА.</w:t>
      </w:r>
    </w:p>
    <w:p>
      <w:pPr>
        <w:pStyle w:val="1"/>
        <w:jc w:val="both"/>
      </w:pPr>
      <w:r>
        <w:rPr>
          <w:sz w:val="20"/>
        </w:rPr>
        <w:t xml:space="preserve">    Категория надежности электроснабжения:</w:t>
      </w:r>
    </w:p>
    <w:p>
      <w:pPr>
        <w:pStyle w:val="1"/>
        <w:jc w:val="both"/>
      </w:pPr>
      <w:r>
        <w:rPr>
          <w:sz w:val="20"/>
        </w:rPr>
        <w:t xml:space="preserve">    _____________ кВт;</w:t>
      </w:r>
    </w:p>
    <w:p>
      <w:pPr>
        <w:pStyle w:val="1"/>
        <w:jc w:val="both"/>
      </w:pPr>
      <w:r>
        <w:rPr>
          <w:sz w:val="20"/>
        </w:rPr>
        <w:t xml:space="preserve">    _____________ кВт;</w:t>
      </w:r>
    </w:p>
    <w:p>
      <w:pPr>
        <w:pStyle w:val="1"/>
        <w:jc w:val="both"/>
      </w:pPr>
      <w:r>
        <w:rPr>
          <w:sz w:val="20"/>
        </w:rPr>
        <w:t xml:space="preserve">    _____________ кВт.</w:t>
      </w:r>
    </w:p>
    <w:p>
      <w:pPr>
        <w:pStyle w:val="1"/>
        <w:jc w:val="both"/>
      </w:pPr>
      <w:r>
        <w:rPr>
          <w:sz w:val="20"/>
        </w:rPr>
        <w:t xml:space="preserve">    2. Перечень точек присоединения:</w:t>
      </w:r>
    </w:p>
    <w:p>
      <w:pPr>
        <w:pStyle w:val="0"/>
        <w:jc w:val="both"/>
      </w:pPr>
      <w:r>
        <w:rPr>
          <w:sz w:val="20"/>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418"/>
        <w:gridCol w:w="1027"/>
        <w:gridCol w:w="1191"/>
        <w:gridCol w:w="1291"/>
        <w:gridCol w:w="1247"/>
        <w:gridCol w:w="1984"/>
        <w:gridCol w:w="1871"/>
      </w:tblGrid>
      <w:tr>
        <w:tc>
          <w:tcPr>
            <w:tcW w:w="418" w:type="dxa"/>
            <w:tcBorders>
              <w:left w:val="nil"/>
            </w:tcBorders>
          </w:tcPr>
          <w:p>
            <w:pPr>
              <w:pStyle w:val="0"/>
              <w:jc w:val="center"/>
            </w:pPr>
            <w:r>
              <w:rPr>
                <w:sz w:val="20"/>
              </w:rPr>
              <w:t xml:space="preserve">N</w:t>
            </w:r>
          </w:p>
        </w:tc>
        <w:tc>
          <w:tcPr>
            <w:tcW w:w="1027" w:type="dxa"/>
          </w:tcPr>
          <w:p>
            <w:pPr>
              <w:pStyle w:val="0"/>
              <w:jc w:val="center"/>
            </w:pPr>
            <w:r>
              <w:rPr>
                <w:sz w:val="20"/>
              </w:rPr>
              <w:t xml:space="preserve">Источник питания</w:t>
            </w:r>
          </w:p>
        </w:tc>
        <w:tc>
          <w:tcPr>
            <w:tcW w:w="1191" w:type="dxa"/>
          </w:tcPr>
          <w:p>
            <w:pPr>
              <w:pStyle w:val="0"/>
              <w:jc w:val="center"/>
            </w:pPr>
            <w:r>
              <w:rPr>
                <w:sz w:val="20"/>
              </w:rPr>
              <w:t xml:space="preserve">Описание точки присоединения</w:t>
            </w:r>
          </w:p>
        </w:tc>
        <w:tc>
          <w:tcPr>
            <w:tcW w:w="1291" w:type="dxa"/>
          </w:tcPr>
          <w:p>
            <w:pPr>
              <w:pStyle w:val="0"/>
              <w:jc w:val="center"/>
            </w:pPr>
            <w:r>
              <w:rPr>
                <w:sz w:val="20"/>
              </w:rPr>
              <w:t xml:space="preserve">Уровень напряжения (кВ)</w:t>
            </w:r>
          </w:p>
        </w:tc>
        <w:tc>
          <w:tcPr>
            <w:tcW w:w="1247" w:type="dxa"/>
          </w:tcPr>
          <w:p>
            <w:pPr>
              <w:pStyle w:val="0"/>
              <w:jc w:val="center"/>
            </w:pPr>
            <w:r>
              <w:rPr>
                <w:sz w:val="20"/>
              </w:rPr>
              <w:t xml:space="preserve">Максимальная мощность (кВт)</w:t>
            </w:r>
          </w:p>
        </w:tc>
        <w:tc>
          <w:tcPr>
            <w:tcW w:w="1984" w:type="dxa"/>
          </w:tcPr>
          <w:p>
            <w:pPr>
              <w:pStyle w:val="0"/>
              <w:jc w:val="center"/>
            </w:pPr>
            <w:r>
              <w:rPr>
                <w:sz w:val="20"/>
              </w:rPr>
              <w:t xml:space="preserve">Величина номинальной мощности присоединенных трансформаторов (кВА)</w:t>
            </w:r>
          </w:p>
        </w:tc>
        <w:tc>
          <w:tcPr>
            <w:tcW w:w="1871" w:type="dxa"/>
            <w:tcBorders>
              <w:right w:val="nil"/>
            </w:tcBorders>
          </w:tcPr>
          <w:p>
            <w:pPr>
              <w:pStyle w:val="0"/>
              <w:jc w:val="center"/>
            </w:pPr>
            <w:r>
              <w:rPr>
                <w:sz w:val="20"/>
              </w:rPr>
              <w:t xml:space="preserve">Предельное значение коэффициента реактивной мощности (</w:t>
            </w:r>
            <w:r>
              <w:rPr>
                <w:position w:val="-5"/>
              </w:rPr>
              <w:drawing>
                <wp:inline distT="0" distB="0" distL="0" distR="0">
                  <wp:extent cx="295275" cy="1905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2">
                            <a:extLst>
                              <a:ext uri="{28A0092B-C50C-407E-A947-70E740481C1C}">
                                <a14:useLocalDpi xmlns:a14="http://schemas.microsoft.com/office/drawing/2010/main" val="0"/>
                              </a:ext>
                            </a:extLst>
                          </a:blip>
                          <a:srcRect/>
                          <a:stretch>
                            <a:fillRect/>
                          </a:stretch>
                        </pic:blipFill>
                        <pic:spPr bwMode="auto">
                          <a:xfrm>
                            <a:off x="0" y="0"/>
                            <a:ext cx="295275" cy="190500"/>
                          </a:xfrm>
                          <a:prstGeom prst="rect">
                            <a:avLst/>
                          </a:prstGeom>
                          <a:noFill/>
                          <a:ln>
                            <a:noFill/>
                          </a:ln>
                        </pic:spPr>
                      </pic:pic>
                    </a:graphicData>
                  </a:graphic>
                </wp:inline>
              </w:drawing>
            </w:r>
            <w:r>
              <w:rPr>
                <w:sz w:val="20"/>
              </w:rPr>
              <w:t xml:space="preserve">)</w:t>
            </w:r>
          </w:p>
        </w:tc>
      </w:tr>
      <w:tr>
        <w:tc>
          <w:tcPr>
            <w:tcW w:w="418" w:type="dxa"/>
            <w:tcBorders>
              <w:left w:val="nil"/>
            </w:tcBorders>
          </w:tcPr>
          <w:p>
            <w:pPr>
              <w:pStyle w:val="0"/>
            </w:pPr>
            <w:r>
              <w:rPr>
                <w:sz w:val="20"/>
              </w:rPr>
            </w:r>
          </w:p>
        </w:tc>
        <w:tc>
          <w:tcPr>
            <w:tcW w:w="1027" w:type="dxa"/>
          </w:tcPr>
          <w:p>
            <w:pPr>
              <w:pStyle w:val="0"/>
            </w:pPr>
            <w:r>
              <w:rPr>
                <w:sz w:val="20"/>
              </w:rPr>
            </w:r>
          </w:p>
        </w:tc>
        <w:tc>
          <w:tcPr>
            <w:tcW w:w="1191" w:type="dxa"/>
          </w:tcPr>
          <w:p>
            <w:pPr>
              <w:pStyle w:val="0"/>
            </w:pPr>
            <w:r>
              <w:rPr>
                <w:sz w:val="20"/>
              </w:rPr>
            </w:r>
          </w:p>
        </w:tc>
        <w:tc>
          <w:tcPr>
            <w:tcW w:w="1291" w:type="dxa"/>
          </w:tcPr>
          <w:p>
            <w:pPr>
              <w:pStyle w:val="0"/>
            </w:pPr>
            <w:r>
              <w:rPr>
                <w:sz w:val="20"/>
              </w:rPr>
            </w:r>
          </w:p>
        </w:tc>
        <w:tc>
          <w:tcPr>
            <w:tcW w:w="1247" w:type="dxa"/>
          </w:tcPr>
          <w:p>
            <w:pPr>
              <w:pStyle w:val="0"/>
            </w:pPr>
            <w:r>
              <w:rPr>
                <w:sz w:val="20"/>
              </w:rPr>
            </w:r>
          </w:p>
        </w:tc>
        <w:tc>
          <w:tcPr>
            <w:tcW w:w="1984" w:type="dxa"/>
          </w:tcPr>
          <w:p>
            <w:pPr>
              <w:pStyle w:val="0"/>
            </w:pPr>
            <w:r>
              <w:rPr>
                <w:sz w:val="20"/>
              </w:rPr>
            </w:r>
          </w:p>
        </w:tc>
        <w:tc>
          <w:tcPr>
            <w:tcW w:w="1871" w:type="dxa"/>
            <w:tcBorders>
              <w:right w:val="nil"/>
            </w:tcBorders>
          </w:tcPr>
          <w:p>
            <w:pPr>
              <w:pStyle w:val="0"/>
            </w:pPr>
            <w:r>
              <w:rPr>
                <w:sz w:val="20"/>
              </w:rPr>
            </w:r>
          </w:p>
        </w:tc>
      </w:tr>
      <w:tr>
        <w:tc>
          <w:tcPr>
            <w:gridSpan w:val="7"/>
            <w:tcW w:w="9029" w:type="dxa"/>
            <w:tcBorders>
              <w:left w:val="nil"/>
              <w:right w:val="nil"/>
            </w:tcBorders>
          </w:tcPr>
          <w:p>
            <w:pPr>
              <w:pStyle w:val="0"/>
              <w:jc w:val="center"/>
            </w:pPr>
            <w:r>
              <w:rPr>
                <w:sz w:val="20"/>
              </w:rPr>
              <w:t xml:space="preserve">В том числе опосредованно присоединенные</w:t>
            </w:r>
          </w:p>
        </w:tc>
      </w:tr>
      <w:tr>
        <w:tc>
          <w:tcPr>
            <w:tcW w:w="418" w:type="dxa"/>
            <w:tcBorders>
              <w:left w:val="nil"/>
            </w:tcBorders>
          </w:tcPr>
          <w:p>
            <w:pPr>
              <w:pStyle w:val="0"/>
            </w:pPr>
            <w:r>
              <w:rPr>
                <w:sz w:val="20"/>
              </w:rPr>
            </w:r>
          </w:p>
        </w:tc>
        <w:tc>
          <w:tcPr>
            <w:tcW w:w="1027" w:type="dxa"/>
          </w:tcPr>
          <w:p>
            <w:pPr>
              <w:pStyle w:val="0"/>
            </w:pPr>
            <w:r>
              <w:rPr>
                <w:sz w:val="20"/>
              </w:rPr>
            </w:r>
          </w:p>
        </w:tc>
        <w:tc>
          <w:tcPr>
            <w:tcW w:w="1191" w:type="dxa"/>
          </w:tcPr>
          <w:p>
            <w:pPr>
              <w:pStyle w:val="0"/>
            </w:pPr>
            <w:r>
              <w:rPr>
                <w:sz w:val="20"/>
              </w:rPr>
            </w:r>
          </w:p>
        </w:tc>
        <w:tc>
          <w:tcPr>
            <w:tcW w:w="1291" w:type="dxa"/>
          </w:tcPr>
          <w:p>
            <w:pPr>
              <w:pStyle w:val="0"/>
            </w:pPr>
            <w:r>
              <w:rPr>
                <w:sz w:val="20"/>
              </w:rPr>
            </w:r>
          </w:p>
        </w:tc>
        <w:tc>
          <w:tcPr>
            <w:tcW w:w="1247" w:type="dxa"/>
          </w:tcPr>
          <w:p>
            <w:pPr>
              <w:pStyle w:val="0"/>
            </w:pPr>
            <w:r>
              <w:rPr>
                <w:sz w:val="20"/>
              </w:rPr>
            </w:r>
          </w:p>
        </w:tc>
        <w:tc>
          <w:tcPr>
            <w:tcW w:w="1984" w:type="dxa"/>
          </w:tcPr>
          <w:p>
            <w:pPr>
              <w:pStyle w:val="0"/>
            </w:pPr>
            <w:r>
              <w:rPr>
                <w:sz w:val="20"/>
              </w:rPr>
            </w:r>
          </w:p>
        </w:tc>
        <w:tc>
          <w:tcPr>
            <w:tcW w:w="1871" w:type="dxa"/>
            <w:tcBorders>
              <w:right w:val="nil"/>
            </w:tcBorders>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ind w:firstLine="283"/>
              <w:jc w:val="both"/>
            </w:pPr>
            <w:r>
              <w:rPr>
                <w:sz w:val="20"/>
              </w:rPr>
              <w:t xml:space="preserve">Границы балансовой принадлежности объектов электроэнергетики (энергопринимающих устройств) и эксплуатационной ответственности сетевой организации и заявителя:</w:t>
            </w:r>
          </w:p>
        </w:tc>
      </w:tr>
    </w:tbl>
    <w:p>
      <w:pPr>
        <w:pStyle w:val="0"/>
        <w:jc w:val="both"/>
      </w:pPr>
      <w:r>
        <w:rPr>
          <w:sz w:val="20"/>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5272"/>
        <w:gridCol w:w="3798"/>
      </w:tblGrid>
      <w:tr>
        <w:tc>
          <w:tcPr>
            <w:tcW w:w="5272" w:type="dxa"/>
            <w:tcBorders>
              <w:left w:val="nil"/>
            </w:tcBorders>
          </w:tcPr>
          <w:p>
            <w:pPr>
              <w:pStyle w:val="0"/>
              <w:jc w:val="center"/>
            </w:pPr>
            <w:r>
              <w:rPr>
                <w:sz w:val="20"/>
              </w:rPr>
              <w:t xml:space="preserve">Описание границ балансовой принадлежности объектов электроэнергетики (энергопринимающих устройств)</w:t>
            </w:r>
          </w:p>
        </w:tc>
        <w:tc>
          <w:tcPr>
            <w:tcW w:w="3798" w:type="dxa"/>
            <w:tcBorders>
              <w:right w:val="nil"/>
            </w:tcBorders>
          </w:tcPr>
          <w:p>
            <w:pPr>
              <w:pStyle w:val="0"/>
              <w:jc w:val="center"/>
            </w:pPr>
            <w:r>
              <w:rPr>
                <w:sz w:val="20"/>
              </w:rPr>
              <w:t xml:space="preserve">Описание границ эксплуатационной ответственности</w:t>
            </w:r>
          </w:p>
        </w:tc>
      </w:tr>
      <w:tr>
        <w:tc>
          <w:tcPr>
            <w:tcW w:w="5272" w:type="dxa"/>
            <w:tcBorders>
              <w:left w:val="nil"/>
            </w:tcBorders>
          </w:tcPr>
          <w:p>
            <w:pPr>
              <w:pStyle w:val="0"/>
            </w:pPr>
            <w:r>
              <w:rPr>
                <w:sz w:val="20"/>
              </w:rPr>
            </w:r>
          </w:p>
        </w:tc>
        <w:tc>
          <w:tcPr>
            <w:tcW w:w="3798" w:type="dxa"/>
            <w:tcBorders>
              <w:right w:val="nil"/>
            </w:tcBorders>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ind w:firstLine="283"/>
              <w:jc w:val="both"/>
            </w:pPr>
            <w:r>
              <w:rPr>
                <w:sz w:val="20"/>
              </w:rPr>
              <w:t xml:space="preserve">3. У сетевой организации на границе балансовой принадлежности объектов электроэнергетики (энергопринимающих устройств) находятся следующие технологически соединенные элементы электрической сети:</w:t>
            </w:r>
          </w:p>
        </w:tc>
      </w:tr>
      <w:tr>
        <w:tc>
          <w:tcPr>
            <w:tcW w:w="9071" w:type="dxa"/>
            <w:tcBorders>
              <w:top w:val="nil"/>
              <w:left w:val="nil"/>
              <w:bottom w:val="single" w:sz="4"/>
              <w:right w:val="nil"/>
            </w:tcBorders>
          </w:tcPr>
          <w:p>
            <w:pPr>
              <w:pStyle w:val="0"/>
            </w:pPr>
            <w:r>
              <w:rPr>
                <w:sz w:val="20"/>
              </w:rPr>
            </w:r>
          </w:p>
        </w:tc>
      </w:tr>
      <w:tr>
        <w:tc>
          <w:tcPr>
            <w:tcW w:w="9071" w:type="dxa"/>
            <w:tcBorders>
              <w:top w:val="single" w:sz="4"/>
              <w:left w:val="nil"/>
              <w:bottom w:val="nil"/>
              <w:right w:val="nil"/>
            </w:tcBorders>
          </w:tcPr>
          <w:p>
            <w:pPr>
              <w:pStyle w:val="0"/>
              <w:jc w:val="center"/>
            </w:pPr>
            <w:r>
              <w:rPr>
                <w:sz w:val="20"/>
              </w:rPr>
              <w:t xml:space="preserve">(наименование электроустановки (оборудования) сетевой организации)</w:t>
            </w:r>
          </w:p>
        </w:tc>
      </w:tr>
      <w:tr>
        <w:tc>
          <w:tcPr>
            <w:tcW w:w="9071" w:type="dxa"/>
            <w:tcBorders>
              <w:top w:val="nil"/>
              <w:left w:val="nil"/>
              <w:bottom w:val="nil"/>
              <w:right w:val="nil"/>
            </w:tcBorders>
          </w:tcPr>
          <w:p>
            <w:pPr>
              <w:pStyle w:val="0"/>
              <w:ind w:firstLine="283"/>
              <w:jc w:val="both"/>
            </w:pPr>
            <w:r>
              <w:rPr>
                <w:sz w:val="20"/>
              </w:rPr>
              <w:t xml:space="preserve">У сетевой организации и заявителя в эксплуатационной ответственности находятся следующие технологически соединенные элементы электрической сети:</w:t>
            </w:r>
          </w:p>
        </w:tc>
      </w:tr>
    </w:tbl>
    <w:p>
      <w:pPr>
        <w:pStyle w:val="0"/>
        <w:jc w:val="both"/>
      </w:pPr>
      <w:r>
        <w:rPr>
          <w:sz w:val="20"/>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4818"/>
        <w:gridCol w:w="4251"/>
      </w:tblGrid>
      <w:tr>
        <w:tc>
          <w:tcPr>
            <w:tcW w:w="4818" w:type="dxa"/>
            <w:vAlign w:val="bottom"/>
            <w:tcBorders>
              <w:left w:val="nil"/>
            </w:tcBorders>
          </w:tcPr>
          <w:p>
            <w:pPr>
              <w:pStyle w:val="0"/>
              <w:jc w:val="center"/>
            </w:pPr>
            <w:r>
              <w:rPr>
                <w:sz w:val="20"/>
              </w:rPr>
              <w:t xml:space="preserve">Наименование электроустановки (оборудования), находящейся в эксплуатации сетевой организации</w:t>
            </w:r>
          </w:p>
        </w:tc>
        <w:tc>
          <w:tcPr>
            <w:tcW w:w="4251" w:type="dxa"/>
            <w:vAlign w:val="bottom"/>
            <w:tcBorders>
              <w:right w:val="nil"/>
            </w:tcBorders>
          </w:tcPr>
          <w:p>
            <w:pPr>
              <w:pStyle w:val="0"/>
              <w:jc w:val="center"/>
            </w:pPr>
            <w:r>
              <w:rPr>
                <w:sz w:val="20"/>
              </w:rPr>
              <w:t xml:space="preserve">Наименование электроустановки (оборудования), находящейся в эксплуатации заявителя</w:t>
            </w:r>
          </w:p>
        </w:tc>
      </w:tr>
      <w:tr>
        <w:tc>
          <w:tcPr>
            <w:tcW w:w="4818" w:type="dxa"/>
            <w:tcBorders>
              <w:left w:val="nil"/>
            </w:tcBorders>
          </w:tcPr>
          <w:p>
            <w:pPr>
              <w:pStyle w:val="0"/>
            </w:pPr>
            <w:r>
              <w:rPr>
                <w:sz w:val="20"/>
              </w:rPr>
            </w:r>
          </w:p>
        </w:tc>
        <w:tc>
          <w:tcPr>
            <w:tcW w:w="4251" w:type="dxa"/>
            <w:tcBorders>
              <w:right w:val="nil"/>
            </w:tcBorders>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8731"/>
        <w:gridCol w:w="340"/>
      </w:tblGrid>
      <w:tr>
        <w:tc>
          <w:tcPr>
            <w:gridSpan w:val="2"/>
            <w:tcW w:w="9071" w:type="dxa"/>
            <w:tcBorders>
              <w:top w:val="nil"/>
              <w:left w:val="nil"/>
              <w:bottom w:val="nil"/>
              <w:right w:val="nil"/>
            </w:tcBorders>
          </w:tcPr>
          <w:p>
            <w:pPr>
              <w:pStyle w:val="0"/>
              <w:ind w:firstLine="283"/>
              <w:jc w:val="both"/>
            </w:pPr>
            <w:r>
              <w:rPr>
                <w:sz w:val="20"/>
              </w:rPr>
              <w:t xml:space="preserve">4. Характеристики установленных измерительных комплексов содержатся в акте допуска прибора учета электрической энергии в эксплуатацию.</w:t>
            </w:r>
          </w:p>
          <w:p>
            <w:pPr>
              <w:pStyle w:val="0"/>
              <w:ind w:firstLine="283"/>
              <w:jc w:val="both"/>
            </w:pPr>
            <w:r>
              <w:rPr>
                <w:sz w:val="20"/>
              </w:rPr>
              <w:t xml:space="preserve">5. Устройства защиты, релейной защиты, противоаварийной и режимной автоматики:</w:t>
            </w:r>
          </w:p>
        </w:tc>
      </w:tr>
      <w:tr>
        <w:tc>
          <w:tcPr>
            <w:tcW w:w="873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jc w:val="both"/>
            </w:pPr>
            <w:r>
              <w:rPr>
                <w:sz w:val="20"/>
              </w:rPr>
              <w:t xml:space="preserve">.</w:t>
            </w:r>
          </w:p>
        </w:tc>
      </w:tr>
      <w:tr>
        <w:tc>
          <w:tcPr>
            <w:tcW w:w="8731" w:type="dxa"/>
            <w:tcBorders>
              <w:top w:val="single" w:sz="4"/>
              <w:left w:val="nil"/>
              <w:bottom w:val="nil"/>
              <w:right w:val="nil"/>
            </w:tcBorders>
          </w:tcPr>
          <w:p>
            <w:pPr>
              <w:pStyle w:val="0"/>
              <w:jc w:val="center"/>
            </w:pPr>
            <w:r>
              <w:rPr>
                <w:sz w:val="20"/>
              </w:rPr>
              <w:t xml:space="preserve">(виды защиты и автоматики, действия и др.)</w:t>
            </w:r>
          </w:p>
        </w:tc>
        <w:tc>
          <w:tcPr>
            <w:tcW w:w="340" w:type="dxa"/>
            <w:tcBorders>
              <w:top w:val="nil"/>
              <w:left w:val="nil"/>
              <w:bottom w:val="nil"/>
              <w:right w:val="nil"/>
            </w:tcBorders>
          </w:tcPr>
          <w:p>
            <w:pPr>
              <w:pStyle w:val="0"/>
            </w:pPr>
            <w:r>
              <w:rPr>
                <w:sz w:val="20"/>
              </w:rPr>
            </w:r>
          </w:p>
        </w:tc>
      </w:tr>
      <w:tr>
        <w:tc>
          <w:tcPr>
            <w:tcW w:w="8731" w:type="dxa"/>
            <w:tcBorders>
              <w:top w:val="nil"/>
              <w:left w:val="nil"/>
              <w:bottom w:val="nil"/>
              <w:right w:val="nil"/>
            </w:tcBorders>
          </w:tcPr>
          <w:p>
            <w:pPr>
              <w:pStyle w:val="0"/>
              <w:ind w:firstLine="283"/>
              <w:jc w:val="both"/>
            </w:pPr>
            <w:r>
              <w:rPr>
                <w:sz w:val="20"/>
              </w:rPr>
              <w:t xml:space="preserve">6. Автономный резервный источник питания:</w:t>
            </w:r>
          </w:p>
        </w:tc>
        <w:tc>
          <w:tcPr>
            <w:tcW w:w="340" w:type="dxa"/>
            <w:tcBorders>
              <w:top w:val="nil"/>
              <w:left w:val="nil"/>
              <w:bottom w:val="nil"/>
              <w:right w:val="nil"/>
            </w:tcBorders>
          </w:tcPr>
          <w:p>
            <w:pPr>
              <w:pStyle w:val="0"/>
            </w:pPr>
            <w:r>
              <w:rPr>
                <w:sz w:val="20"/>
              </w:rPr>
            </w:r>
          </w:p>
        </w:tc>
      </w:tr>
      <w:tr>
        <w:tc>
          <w:tcPr>
            <w:tcW w:w="873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jc w:val="both"/>
            </w:pPr>
            <w:r>
              <w:rPr>
                <w:sz w:val="20"/>
              </w:rPr>
              <w:t xml:space="preserve">.</w:t>
            </w:r>
          </w:p>
        </w:tc>
      </w:tr>
      <w:tr>
        <w:tc>
          <w:tcPr>
            <w:tcW w:w="8731" w:type="dxa"/>
            <w:tcBorders>
              <w:top w:val="single" w:sz="4"/>
              <w:left w:val="nil"/>
              <w:bottom w:val="nil"/>
              <w:right w:val="nil"/>
            </w:tcBorders>
          </w:tcPr>
          <w:p>
            <w:pPr>
              <w:pStyle w:val="0"/>
              <w:jc w:val="center"/>
            </w:pPr>
            <w:r>
              <w:rPr>
                <w:sz w:val="20"/>
              </w:rPr>
              <w:t xml:space="preserve">(место установки, тип, мощность и др.)</w:t>
            </w:r>
          </w:p>
        </w:tc>
        <w:tc>
          <w:tcPr>
            <w:tcW w:w="340" w:type="dxa"/>
            <w:tcBorders>
              <w:top w:val="nil"/>
              <w:left w:val="nil"/>
              <w:bottom w:val="nil"/>
              <w:right w:val="nil"/>
            </w:tcBorders>
          </w:tcPr>
          <w:p>
            <w:pPr>
              <w:pStyle w:val="0"/>
            </w:pPr>
            <w:r>
              <w:rPr>
                <w:sz w:val="20"/>
              </w:rPr>
            </w:r>
          </w:p>
        </w:tc>
      </w:tr>
      <w:tr>
        <w:tc>
          <w:tcPr>
            <w:tcW w:w="8731" w:type="dxa"/>
            <w:tcBorders>
              <w:top w:val="nil"/>
              <w:left w:val="nil"/>
              <w:bottom w:val="nil"/>
              <w:right w:val="nil"/>
            </w:tcBorders>
          </w:tcPr>
          <w:p>
            <w:pPr>
              <w:pStyle w:val="0"/>
              <w:ind w:firstLine="283"/>
              <w:jc w:val="both"/>
            </w:pPr>
            <w:r>
              <w:rPr>
                <w:sz w:val="20"/>
              </w:rPr>
              <w:t xml:space="preserve">7. Прочие сведения:</w:t>
            </w:r>
          </w:p>
        </w:tc>
        <w:tc>
          <w:tcPr>
            <w:tcW w:w="340" w:type="dxa"/>
            <w:tcBorders>
              <w:top w:val="nil"/>
              <w:left w:val="nil"/>
              <w:bottom w:val="nil"/>
              <w:right w:val="nil"/>
            </w:tcBorders>
          </w:tcPr>
          <w:p>
            <w:pPr>
              <w:pStyle w:val="0"/>
            </w:pPr>
            <w:r>
              <w:rPr>
                <w:sz w:val="20"/>
              </w:rPr>
            </w:r>
          </w:p>
        </w:tc>
      </w:tr>
      <w:tr>
        <w:tc>
          <w:tcPr>
            <w:tcW w:w="873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jc w:val="both"/>
            </w:pPr>
            <w:r>
              <w:rPr>
                <w:sz w:val="20"/>
              </w:rPr>
              <w:t xml:space="preserve">.</w:t>
            </w:r>
          </w:p>
        </w:tc>
      </w:tr>
      <w:tr>
        <w:tc>
          <w:tcPr>
            <w:tcW w:w="8731" w:type="dxa"/>
            <w:tcBorders>
              <w:top w:val="single" w:sz="4"/>
              <w:left w:val="nil"/>
              <w:bottom w:val="nil"/>
              <w:right w:val="nil"/>
            </w:tcBorders>
          </w:tcPr>
          <w:p>
            <w:pPr>
              <w:pStyle w:val="0"/>
              <w:jc w:val="center"/>
            </w:pPr>
            <w:r>
              <w:rPr>
                <w:sz w:val="20"/>
              </w:rPr>
              <w:t xml:space="preserve">(в том числе сведения об опосредованно присоединенных потребителях, наименование, адрес, максимальная мощность, категория надежности, уровень напряжения, сведения о расчетах потерь электрической энергии в электрической сети потребителя электрической энергии и др.)</w:t>
            </w:r>
          </w:p>
        </w:tc>
        <w:tc>
          <w:tcPr>
            <w:tcW w:w="340" w:type="dxa"/>
            <w:tcBorders>
              <w:top w:val="nil"/>
              <w:left w:val="nil"/>
              <w:bottom w:val="nil"/>
              <w:right w:val="nil"/>
            </w:tcBorders>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ind w:firstLine="283"/>
              <w:jc w:val="both"/>
            </w:pPr>
            <w:r>
              <w:rPr>
                <w:sz w:val="20"/>
              </w:rPr>
              <w:t xml:space="preserve">8. Схематично границы балансовой принадлежности объектов электроэнергетики (энергопринимающих устройств) и эксплуатационной ответственности указаны в приведенной однолинейной схеме присоединения энергопринимающих устройств.</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center"/>
            </w:pPr>
            <w:r>
              <w:rPr>
                <w:sz w:val="20"/>
              </w:rPr>
              <w:t xml:space="preserve">Однолинейная схема присоединения энергопринимающих устройств заявителя к внешней сети, не принадлежащей заявителю, с нанесенными на схеме границами балансовой принадлежности объектов электроэнергетики (энергопринимающих устройств) и эксплуатационной ответственности. На однолинейной схеме должны быть указаны владельцы электроустановки (оборудования), размещение приборов коммерческого учета, длина и марка проводов (кабеля), трансформаторные подстанции с указанием типа и мощности трансформаторов, компенсирующих устройств (реакторов электрической мощности, батарей статических конденсаторов) электрической сети.</w:t>
            </w:r>
          </w:p>
          <w:p>
            <w:pPr>
              <w:pStyle w:val="0"/>
              <w:jc w:val="center"/>
            </w:pPr>
            <w:r>
              <w:rPr>
                <w:sz w:val="20"/>
              </w:rPr>
              <w:t xml:space="preserve">Прилагается схема соединения электроустановок</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8731"/>
        <w:gridCol w:w="340"/>
      </w:tblGrid>
      <w:tr>
        <w:tc>
          <w:tcPr>
            <w:gridSpan w:val="2"/>
            <w:tcW w:w="9071" w:type="dxa"/>
            <w:tcBorders>
              <w:top w:val="nil"/>
              <w:left w:val="nil"/>
              <w:bottom w:val="nil"/>
              <w:right w:val="nil"/>
            </w:tcBorders>
          </w:tcPr>
          <w:p>
            <w:pPr>
              <w:pStyle w:val="0"/>
              <w:ind w:firstLine="283"/>
              <w:jc w:val="both"/>
            </w:pPr>
            <w:r>
              <w:rPr>
                <w:sz w:val="20"/>
              </w:rPr>
              <w:t xml:space="preserve">Прочее:</w:t>
            </w:r>
          </w:p>
        </w:tc>
      </w:tr>
      <w:tr>
        <w:tc>
          <w:tcPr>
            <w:tcW w:w="873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jc w:val="both"/>
            </w:pPr>
            <w:r>
              <w:rPr>
                <w:sz w:val="20"/>
              </w:rPr>
              <w:t xml:space="preserve">.</w:t>
            </w:r>
          </w:p>
        </w:tc>
      </w:tr>
      <w:tr>
        <w:tc>
          <w:tcPr>
            <w:gridSpan w:val="2"/>
            <w:tcW w:w="9071" w:type="dxa"/>
            <w:tcBorders>
              <w:top w:val="nil"/>
              <w:left w:val="nil"/>
              <w:bottom w:val="nil"/>
              <w:right w:val="nil"/>
            </w:tcBorders>
          </w:tcPr>
          <w:p>
            <w:pPr>
              <w:pStyle w:val="0"/>
              <w:ind w:firstLine="283"/>
              <w:jc w:val="both"/>
            </w:pPr>
            <w:r>
              <w:rPr>
                <w:sz w:val="20"/>
              </w:rPr>
              <w:t xml:space="preserve">9. Сетевая организация подтверждает, что обеспеченная сетевой организацией возможность присоединения к электрическим сетям соответствует правилам и нормам.</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both"/>
            </w:pPr>
            <w:r>
              <w:rPr>
                <w:sz w:val="20"/>
              </w:rPr>
              <w:t xml:space="preserve">Подпись представителя сетевой организации </w:t>
            </w:r>
            <w:hyperlink w:history="0" w:anchor="P2492" w:tooltip="&lt;4&gt; Для проставления электронной подписи.">
              <w:r>
                <w:rPr>
                  <w:sz w:val="20"/>
                  <w:color w:val="0000ff"/>
                </w:rPr>
                <w:t xml:space="preserve">&lt;4&gt;</w:t>
              </w:r>
            </w:hyperlink>
          </w:p>
        </w:tc>
      </w:tr>
      <w:tr>
        <w:tc>
          <w:tcPr>
            <w:tcW w:w="9071" w:type="dxa"/>
            <w:tcBorders>
              <w:top w:val="nil"/>
              <w:left w:val="nil"/>
              <w:bottom w:val="single" w:sz="4"/>
              <w:right w:val="nil"/>
            </w:tcBorders>
          </w:tcPr>
          <w:p>
            <w:pPr>
              <w:pStyle w:val="0"/>
            </w:pPr>
            <w:r>
              <w:rPr>
                <w:sz w:val="20"/>
              </w:rPr>
            </w:r>
          </w:p>
        </w:tc>
      </w:tr>
      <w:tr>
        <w:tblPrEx>
          <w:tblBorders>
            <w:insideH w:val="single" w:sz="4"/>
          </w:tblBorders>
        </w:tblPrEx>
        <w:tc>
          <w:tcPr>
            <w:tcW w:w="9071" w:type="dxa"/>
            <w:tcBorders>
              <w:top w:val="single" w:sz="4"/>
              <w:left w:val="nil"/>
              <w:bottom w:val="nil"/>
              <w:right w:val="nil"/>
            </w:tcBorders>
          </w:tcPr>
          <w:p>
            <w:pPr>
              <w:pStyle w:val="0"/>
              <w:jc w:val="center"/>
            </w:pPr>
            <w:r>
              <w:rPr>
                <w:sz w:val="20"/>
              </w:rPr>
              <w:t xml:space="preserve">(должность)</w:t>
            </w:r>
          </w:p>
        </w:tc>
      </w:tr>
    </w:tbl>
    <w:p>
      <w:pPr>
        <w:pStyle w:val="0"/>
        <w:jc w:val="both"/>
      </w:pPr>
      <w:r>
        <w:rPr>
          <w:sz w:val="20"/>
        </w:rPr>
      </w:r>
    </w:p>
    <w:tbl>
      <w:tblPr>
        <w:tblInd w:w="0" w:type="dxa"/>
        <w:tblLayout w:type="fixed"/>
        <w:tblBorders>
          <w:insideH w:val="single" w:sz="4"/>
        </w:tblBorders>
        <w:tblCellMar>
          <w:top w:w="102" w:type="dxa"/>
          <w:left w:w="62" w:type="dxa"/>
          <w:bottom w:w="102" w:type="dxa"/>
          <w:right w:w="62" w:type="dxa"/>
        </w:tblCellMar>
      </w:tblPr>
      <w:tblGrid>
        <w:gridCol w:w="1928"/>
        <w:gridCol w:w="340"/>
        <w:gridCol w:w="4762"/>
      </w:tblGrid>
      <w:tr>
        <w:tc>
          <w:tcPr>
            <w:tcW w:w="1928" w:type="dxa"/>
            <w:tcBorders>
              <w:top w:val="nil"/>
              <w:left w:val="nil"/>
              <w:right w:val="nil"/>
            </w:tcBorders>
          </w:tcPr>
          <w:p>
            <w:pPr>
              <w:pStyle w:val="0"/>
            </w:pPr>
            <w:r>
              <w:rPr>
                <w:sz w:val="20"/>
              </w:rPr>
            </w:r>
          </w:p>
        </w:tc>
        <w:tc>
          <w:tcPr>
            <w:tcW w:w="340" w:type="dxa"/>
            <w:tcBorders>
              <w:top w:val="nil"/>
              <w:left w:val="nil"/>
              <w:bottom w:val="nil"/>
              <w:right w:val="nil"/>
            </w:tcBorders>
          </w:tcPr>
          <w:p>
            <w:pPr>
              <w:pStyle w:val="0"/>
              <w:jc w:val="center"/>
            </w:pPr>
            <w:r>
              <w:rPr>
                <w:sz w:val="20"/>
              </w:rPr>
              <w:t xml:space="preserve">/</w:t>
            </w:r>
          </w:p>
        </w:tc>
        <w:tc>
          <w:tcPr>
            <w:tcW w:w="4762" w:type="dxa"/>
            <w:tcBorders>
              <w:top w:val="nil"/>
              <w:left w:val="nil"/>
              <w:right w:val="nil"/>
            </w:tcBorders>
          </w:tcPr>
          <w:p>
            <w:pPr>
              <w:pStyle w:val="0"/>
            </w:pPr>
            <w:r>
              <w:rPr>
                <w:sz w:val="20"/>
              </w:rPr>
            </w:r>
          </w:p>
        </w:tc>
      </w:tr>
      <w:tr>
        <w:tc>
          <w:tcPr>
            <w:tcW w:w="1928" w:type="dxa"/>
            <w:tcBorders>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4762" w:type="dxa"/>
            <w:tcBorders>
              <w:left w:val="nil"/>
              <w:bottom w:val="nil"/>
              <w:right w:val="nil"/>
            </w:tcBorders>
          </w:tcPr>
          <w:p>
            <w:pPr>
              <w:pStyle w:val="0"/>
              <w:jc w:val="center"/>
            </w:pPr>
            <w:r>
              <w:rPr>
                <w:sz w:val="20"/>
              </w:rPr>
              <w:t xml:space="preserve">(фамилия, имя, отчество)</w:t>
            </w:r>
          </w:p>
        </w:tc>
      </w:tr>
    </w:tbl>
    <w:p>
      <w:pPr>
        <w:pStyle w:val="0"/>
        <w:jc w:val="both"/>
      </w:pPr>
      <w:r>
        <w:rPr>
          <w:sz w:val="20"/>
        </w:rPr>
      </w:r>
    </w:p>
    <w:p>
      <w:pPr>
        <w:pStyle w:val="0"/>
        <w:ind w:firstLine="540"/>
        <w:jc w:val="both"/>
      </w:pPr>
      <w:r>
        <w:rPr>
          <w:sz w:val="20"/>
        </w:rPr>
        <w:t xml:space="preserve">--------------------------------</w:t>
      </w:r>
    </w:p>
    <w:bookmarkStart w:id="2489" w:name="P2489"/>
    <w:bookmarkEnd w:id="2489"/>
    <w:p>
      <w:pPr>
        <w:pStyle w:val="0"/>
        <w:spacing w:before="200" w:line-rule="auto"/>
        <w:ind w:firstLine="540"/>
        <w:jc w:val="both"/>
      </w:pPr>
      <w:r>
        <w:rPr>
          <w:sz w:val="20"/>
        </w:rPr>
        <w:t xml:space="preserve">&lt;1&gt; При восстановлении (переоформлении) документов указанная информация не вносится.</w:t>
      </w:r>
    </w:p>
    <w:bookmarkStart w:id="2490" w:name="P2490"/>
    <w:bookmarkEnd w:id="2490"/>
    <w:p>
      <w:pPr>
        <w:pStyle w:val="0"/>
        <w:spacing w:before="200" w:line-rule="auto"/>
        <w:ind w:firstLine="540"/>
        <w:jc w:val="both"/>
      </w:pPr>
      <w:r>
        <w:rPr>
          <w:sz w:val="20"/>
        </w:rPr>
        <w:t xml:space="preserve">&lt;2&gt; Заполняется в случае переоформления документов.</w:t>
      </w:r>
    </w:p>
    <w:bookmarkStart w:id="2491" w:name="P2491"/>
    <w:bookmarkEnd w:id="2491"/>
    <w:p>
      <w:pPr>
        <w:pStyle w:val="0"/>
        <w:spacing w:before="200" w:line-rule="auto"/>
        <w:ind w:firstLine="540"/>
        <w:jc w:val="both"/>
      </w:pPr>
      <w:r>
        <w:rPr>
          <w:sz w:val="20"/>
        </w:rPr>
        <w:t xml:space="preserve">&lt;3&gt; Заполняется в случае увеличения максимальной мощности ранее присоединенных объектов электроэнергетики (энергопринимающих устройств).</w:t>
      </w:r>
    </w:p>
    <w:bookmarkStart w:id="2492" w:name="P2492"/>
    <w:bookmarkEnd w:id="2492"/>
    <w:p>
      <w:pPr>
        <w:pStyle w:val="0"/>
        <w:spacing w:before="200" w:line-rule="auto"/>
        <w:ind w:firstLine="540"/>
        <w:jc w:val="both"/>
      </w:pPr>
      <w:r>
        <w:rPr>
          <w:sz w:val="20"/>
        </w:rPr>
        <w:t xml:space="preserve">&lt;4&gt; Для проставления электронной подписи.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2</w:t>
      </w:r>
    </w:p>
    <w:p>
      <w:pPr>
        <w:pStyle w:val="0"/>
        <w:jc w:val="right"/>
      </w:pPr>
      <w:r>
        <w:rPr>
          <w:sz w:val="20"/>
        </w:rPr>
        <w:t xml:space="preserve">к Правилам технологического</w:t>
      </w:r>
    </w:p>
    <w:p>
      <w:pPr>
        <w:pStyle w:val="0"/>
        <w:jc w:val="right"/>
      </w:pPr>
      <w:r>
        <w:rPr>
          <w:sz w:val="20"/>
        </w:rPr>
        <w:t xml:space="preserve">присоединения энергопринимающих</w:t>
      </w:r>
    </w:p>
    <w:p>
      <w:pPr>
        <w:pStyle w:val="0"/>
        <w:jc w:val="right"/>
      </w:pPr>
      <w:r>
        <w:rPr>
          <w:sz w:val="20"/>
        </w:rPr>
        <w:t xml:space="preserve">устройств потребителей</w:t>
      </w:r>
    </w:p>
    <w:p>
      <w:pPr>
        <w:pStyle w:val="0"/>
        <w:jc w:val="right"/>
      </w:pPr>
      <w:r>
        <w:rPr>
          <w:sz w:val="20"/>
        </w:rPr>
        <w:t xml:space="preserve">электрической энергии, объектов</w:t>
      </w:r>
    </w:p>
    <w:p>
      <w:pPr>
        <w:pStyle w:val="0"/>
        <w:jc w:val="right"/>
      </w:pPr>
      <w:r>
        <w:rPr>
          <w:sz w:val="20"/>
        </w:rPr>
        <w:t xml:space="preserve">по производству электрической</w:t>
      </w:r>
    </w:p>
    <w:p>
      <w:pPr>
        <w:pStyle w:val="0"/>
        <w:jc w:val="right"/>
      </w:pPr>
      <w:r>
        <w:rPr>
          <w:sz w:val="20"/>
        </w:rPr>
        <w:t xml:space="preserve">энергии, а также объектов</w:t>
      </w:r>
    </w:p>
    <w:p>
      <w:pPr>
        <w:pStyle w:val="0"/>
        <w:jc w:val="right"/>
      </w:pPr>
      <w:r>
        <w:rPr>
          <w:sz w:val="20"/>
        </w:rPr>
        <w:t xml:space="preserve">электросетевого хозяйства,</w:t>
      </w:r>
    </w:p>
    <w:p>
      <w:pPr>
        <w:pStyle w:val="0"/>
        <w:jc w:val="right"/>
      </w:pPr>
      <w:r>
        <w:rPr>
          <w:sz w:val="20"/>
        </w:rPr>
        <w:t xml:space="preserve">принадлежащих сетевым организациям</w:t>
      </w:r>
    </w:p>
    <w:p>
      <w:pPr>
        <w:pStyle w:val="0"/>
        <w:jc w:val="right"/>
      </w:pPr>
      <w:r>
        <w:rPr>
          <w:sz w:val="20"/>
        </w:rPr>
        <w:t xml:space="preserve">и иным лицам, к электрическим сетям</w:t>
      </w:r>
    </w:p>
    <w:p>
      <w:pPr>
        <w:pStyle w:val="0"/>
        <w:jc w:val="center"/>
      </w:pPr>
      <w:r>
        <w:rPr>
          <w:sz w:val="20"/>
        </w:rPr>
      </w:r>
    </w:p>
    <w:p>
      <w:pPr>
        <w:pStyle w:val="0"/>
        <w:jc w:val="center"/>
      </w:pPr>
      <w:r>
        <w:rPr>
          <w:sz w:val="20"/>
        </w:rPr>
        <w:t xml:space="preserve">АКТ</w:t>
      </w:r>
    </w:p>
    <w:p>
      <w:pPr>
        <w:pStyle w:val="0"/>
        <w:jc w:val="center"/>
      </w:pPr>
      <w:r>
        <w:rPr>
          <w:sz w:val="20"/>
        </w:rPr>
        <w:t xml:space="preserve">разграничения границ балансовой принадлежности сторон</w:t>
      </w:r>
    </w:p>
    <w:p>
      <w:pPr>
        <w:pStyle w:val="0"/>
        <w:ind w:firstLine="540"/>
        <w:jc w:val="both"/>
      </w:pPr>
      <w:r>
        <w:rPr>
          <w:sz w:val="20"/>
        </w:rPr>
      </w:r>
    </w:p>
    <w:p>
      <w:pPr>
        <w:pStyle w:val="0"/>
        <w:ind w:firstLine="540"/>
        <w:jc w:val="both"/>
      </w:pPr>
      <w:r>
        <w:rPr>
          <w:sz w:val="20"/>
        </w:rPr>
        <w:t xml:space="preserve">Утратил силу. - </w:t>
      </w:r>
      <w:hyperlink w:history="0" r:id="rId1093"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Постановление</w:t>
        </w:r>
      </w:hyperlink>
      <w:r>
        <w:rPr>
          <w:sz w:val="20"/>
        </w:rPr>
        <w:t xml:space="preserve"> Правительства РФ от 07.05.2017 N 542.</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3</w:t>
      </w:r>
    </w:p>
    <w:p>
      <w:pPr>
        <w:pStyle w:val="0"/>
        <w:jc w:val="right"/>
      </w:pPr>
      <w:r>
        <w:rPr>
          <w:sz w:val="20"/>
        </w:rPr>
        <w:t xml:space="preserve">к Правилам технологического</w:t>
      </w:r>
    </w:p>
    <w:p>
      <w:pPr>
        <w:pStyle w:val="0"/>
        <w:jc w:val="right"/>
      </w:pPr>
      <w:r>
        <w:rPr>
          <w:sz w:val="20"/>
        </w:rPr>
        <w:t xml:space="preserve">присоединения энергопринимающих</w:t>
      </w:r>
    </w:p>
    <w:p>
      <w:pPr>
        <w:pStyle w:val="0"/>
        <w:jc w:val="right"/>
      </w:pPr>
      <w:r>
        <w:rPr>
          <w:sz w:val="20"/>
        </w:rPr>
        <w:t xml:space="preserve">устройств потребителей</w:t>
      </w:r>
    </w:p>
    <w:p>
      <w:pPr>
        <w:pStyle w:val="0"/>
        <w:jc w:val="right"/>
      </w:pPr>
      <w:r>
        <w:rPr>
          <w:sz w:val="20"/>
        </w:rPr>
        <w:t xml:space="preserve">электрической энергии, объектов</w:t>
      </w:r>
    </w:p>
    <w:p>
      <w:pPr>
        <w:pStyle w:val="0"/>
        <w:jc w:val="right"/>
      </w:pPr>
      <w:r>
        <w:rPr>
          <w:sz w:val="20"/>
        </w:rPr>
        <w:t xml:space="preserve">по производству электрической</w:t>
      </w:r>
    </w:p>
    <w:p>
      <w:pPr>
        <w:pStyle w:val="0"/>
        <w:jc w:val="right"/>
      </w:pPr>
      <w:r>
        <w:rPr>
          <w:sz w:val="20"/>
        </w:rPr>
        <w:t xml:space="preserve">энергии, а также объектов</w:t>
      </w:r>
    </w:p>
    <w:p>
      <w:pPr>
        <w:pStyle w:val="0"/>
        <w:jc w:val="right"/>
      </w:pPr>
      <w:r>
        <w:rPr>
          <w:sz w:val="20"/>
        </w:rPr>
        <w:t xml:space="preserve">электросетевого хозяйства,</w:t>
      </w:r>
    </w:p>
    <w:p>
      <w:pPr>
        <w:pStyle w:val="0"/>
        <w:jc w:val="right"/>
      </w:pPr>
      <w:r>
        <w:rPr>
          <w:sz w:val="20"/>
        </w:rPr>
        <w:t xml:space="preserve">принадлежащих сетевым организациям</w:t>
      </w:r>
    </w:p>
    <w:p>
      <w:pPr>
        <w:pStyle w:val="0"/>
        <w:jc w:val="right"/>
      </w:pPr>
      <w:r>
        <w:rPr>
          <w:sz w:val="20"/>
        </w:rPr>
        <w:t xml:space="preserve">и иным лицам, к электрическим сетям</w:t>
      </w:r>
    </w:p>
    <w:p>
      <w:pPr>
        <w:pStyle w:val="0"/>
        <w:jc w:val="center"/>
      </w:pPr>
      <w:r>
        <w:rPr>
          <w:sz w:val="20"/>
        </w:rPr>
      </w:r>
    </w:p>
    <w:p>
      <w:pPr>
        <w:pStyle w:val="0"/>
        <w:jc w:val="center"/>
      </w:pPr>
      <w:r>
        <w:rPr>
          <w:sz w:val="20"/>
        </w:rPr>
        <w:t xml:space="preserve">АКТ</w:t>
      </w:r>
    </w:p>
    <w:p>
      <w:pPr>
        <w:pStyle w:val="0"/>
        <w:jc w:val="center"/>
      </w:pPr>
      <w:r>
        <w:rPr>
          <w:sz w:val="20"/>
        </w:rPr>
        <w:t xml:space="preserve">разграничения эксплуатационной ответственности сторон</w:t>
      </w:r>
    </w:p>
    <w:p>
      <w:pPr>
        <w:pStyle w:val="0"/>
        <w:jc w:val="center"/>
      </w:pPr>
      <w:r>
        <w:rPr>
          <w:sz w:val="20"/>
        </w:rPr>
      </w:r>
    </w:p>
    <w:p>
      <w:pPr>
        <w:pStyle w:val="0"/>
        <w:ind w:firstLine="540"/>
        <w:jc w:val="both"/>
      </w:pPr>
      <w:r>
        <w:rPr>
          <w:sz w:val="20"/>
        </w:rPr>
        <w:t xml:space="preserve">Утратил силу. - </w:t>
      </w:r>
      <w:hyperlink w:history="0" r:id="rId1094"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Постановление</w:t>
        </w:r>
      </w:hyperlink>
      <w:r>
        <w:rPr>
          <w:sz w:val="20"/>
        </w:rPr>
        <w:t xml:space="preserve"> Правительства РФ от 07.05.2017 N 542.</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4</w:t>
      </w:r>
    </w:p>
    <w:p>
      <w:pPr>
        <w:pStyle w:val="0"/>
        <w:jc w:val="right"/>
      </w:pPr>
      <w:r>
        <w:rPr>
          <w:sz w:val="20"/>
        </w:rPr>
        <w:t xml:space="preserve">к Правилам технологического</w:t>
      </w:r>
    </w:p>
    <w:p>
      <w:pPr>
        <w:pStyle w:val="0"/>
        <w:jc w:val="right"/>
      </w:pPr>
      <w:r>
        <w:rPr>
          <w:sz w:val="20"/>
        </w:rPr>
        <w:t xml:space="preserve">присоединения энергопринимающих</w:t>
      </w:r>
    </w:p>
    <w:p>
      <w:pPr>
        <w:pStyle w:val="0"/>
        <w:jc w:val="right"/>
      </w:pPr>
      <w:r>
        <w:rPr>
          <w:sz w:val="20"/>
        </w:rPr>
        <w:t xml:space="preserve">устройств потребителей</w:t>
      </w:r>
    </w:p>
    <w:p>
      <w:pPr>
        <w:pStyle w:val="0"/>
        <w:jc w:val="right"/>
      </w:pPr>
      <w:r>
        <w:rPr>
          <w:sz w:val="20"/>
        </w:rPr>
        <w:t xml:space="preserve">электрической энергии, объектов</w:t>
      </w:r>
    </w:p>
    <w:p>
      <w:pPr>
        <w:pStyle w:val="0"/>
        <w:jc w:val="right"/>
      </w:pPr>
      <w:r>
        <w:rPr>
          <w:sz w:val="20"/>
        </w:rPr>
        <w:t xml:space="preserve">по производству электрической</w:t>
      </w:r>
    </w:p>
    <w:p>
      <w:pPr>
        <w:pStyle w:val="0"/>
        <w:jc w:val="right"/>
      </w:pPr>
      <w:r>
        <w:rPr>
          <w:sz w:val="20"/>
        </w:rPr>
        <w:t xml:space="preserve">энергии, а также объектов</w:t>
      </w:r>
    </w:p>
    <w:p>
      <w:pPr>
        <w:pStyle w:val="0"/>
        <w:jc w:val="right"/>
      </w:pPr>
      <w:r>
        <w:rPr>
          <w:sz w:val="20"/>
        </w:rPr>
        <w:t xml:space="preserve">электросетевого хозяйства,</w:t>
      </w:r>
    </w:p>
    <w:p>
      <w:pPr>
        <w:pStyle w:val="0"/>
        <w:jc w:val="right"/>
      </w:pPr>
      <w:r>
        <w:rPr>
          <w:sz w:val="20"/>
        </w:rPr>
        <w:t xml:space="preserve">принадлежащих сетевым организациям</w:t>
      </w:r>
    </w:p>
    <w:p>
      <w:pPr>
        <w:pStyle w:val="0"/>
        <w:jc w:val="right"/>
      </w:pPr>
      <w:r>
        <w:rPr>
          <w:sz w:val="20"/>
        </w:rPr>
        <w:t xml:space="preserve">и иным лицам, к электрическим сетям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11.06.2015 </w:t>
            </w:r>
            <w:hyperlink w:history="0" r:id="rId1095" w:tooltip="Постановление Правительства РФ от 11.06.2015 N 588 (ред. от 10.03.2020, с изм. от 30.06.2022) &quot;О внесении изменений в постановление Правительства Российской Федерации от 27 декабря 2004 г. N 861&quot; {КонсультантПлюс}">
              <w:r>
                <w:rPr>
                  <w:sz w:val="20"/>
                  <w:color w:val="0000ff"/>
                </w:rPr>
                <w:t xml:space="preserve">N 588</w:t>
              </w:r>
            </w:hyperlink>
            <w:r>
              <w:rPr>
                <w:sz w:val="20"/>
                <w:color w:val="392c69"/>
              </w:rPr>
              <w:t xml:space="preserve">,</w:t>
            </w:r>
          </w:p>
          <w:p>
            <w:pPr>
              <w:pStyle w:val="0"/>
              <w:jc w:val="center"/>
            </w:pPr>
            <w:r>
              <w:rPr>
                <w:sz w:val="20"/>
                <w:color w:val="392c69"/>
              </w:rPr>
              <w:t xml:space="preserve">от 30.06.2022 </w:t>
            </w:r>
            <w:hyperlink w:history="0" r:id="rId1096"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1178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bookmarkStart w:id="2546" w:name="P2546"/>
    <w:bookmarkEnd w:id="2546"/>
    <w:p>
      <w:pPr>
        <w:pStyle w:val="1"/>
        <w:jc w:val="both"/>
      </w:pPr>
      <w:r>
        <w:rPr>
          <w:sz w:val="20"/>
        </w:rPr>
        <w:t xml:space="preserve">                                  ЗАЯВКА</w:t>
      </w:r>
    </w:p>
    <w:p>
      <w:pPr>
        <w:pStyle w:val="1"/>
        <w:jc w:val="both"/>
      </w:pPr>
      <w:r>
        <w:rPr>
          <w:sz w:val="20"/>
        </w:rPr>
        <w:t xml:space="preserve">           юридического лица (индивидуального предпринимателя),</w:t>
      </w:r>
    </w:p>
    <w:p>
      <w:pPr>
        <w:pStyle w:val="1"/>
        <w:jc w:val="both"/>
      </w:pPr>
      <w:r>
        <w:rPr>
          <w:sz w:val="20"/>
        </w:rPr>
        <w:t xml:space="preserve">           физического лица на присоединение по одному источнику</w:t>
      </w:r>
    </w:p>
    <w:p>
      <w:pPr>
        <w:pStyle w:val="1"/>
        <w:jc w:val="both"/>
      </w:pPr>
      <w:r>
        <w:rPr>
          <w:sz w:val="20"/>
        </w:rPr>
        <w:t xml:space="preserve">        электроснабжения энергопринимающих устройств с максимальной</w:t>
      </w:r>
    </w:p>
    <w:p>
      <w:pPr>
        <w:pStyle w:val="1"/>
        <w:jc w:val="both"/>
      </w:pPr>
      <w:r>
        <w:rPr>
          <w:sz w:val="20"/>
        </w:rPr>
        <w:t xml:space="preserve">                     мощностью до 150 кВт включительно</w:t>
      </w:r>
    </w:p>
    <w:p>
      <w:pPr>
        <w:pStyle w:val="1"/>
        <w:jc w:val="both"/>
      </w:pPr>
      <w:r>
        <w:rPr>
          <w:sz w:val="20"/>
        </w:rPr>
      </w:r>
    </w:p>
    <w:p>
      <w:pPr>
        <w:pStyle w:val="1"/>
        <w:jc w:val="both"/>
      </w:pPr>
      <w:r>
        <w:rPr>
          <w:sz w:val="20"/>
        </w:rPr>
        <w:t xml:space="preserve">    1. ___________________________________________________________________.</w:t>
      </w:r>
    </w:p>
    <w:p>
      <w:pPr>
        <w:pStyle w:val="1"/>
        <w:jc w:val="both"/>
      </w:pPr>
      <w:r>
        <w:rPr>
          <w:sz w:val="20"/>
        </w:rPr>
        <w:t xml:space="preserve">               (полное наименование заявителя - юридического лица;</w:t>
      </w:r>
    </w:p>
    <w:p>
      <w:pPr>
        <w:pStyle w:val="1"/>
        <w:jc w:val="both"/>
      </w:pPr>
      <w:r>
        <w:rPr>
          <w:sz w:val="20"/>
        </w:rPr>
        <w:t xml:space="preserve">       фамилия, имя, отчество заявителя - индивидуального предпринимателя)</w:t>
      </w:r>
    </w:p>
    <w:p>
      <w:pPr>
        <w:pStyle w:val="1"/>
        <w:jc w:val="both"/>
      </w:pPr>
      <w:r>
        <w:rPr>
          <w:sz w:val="20"/>
        </w:rPr>
        <w:t xml:space="preserve">    2. Номер записи в Едином государственном реестре юридических лиц (номер</w:t>
      </w:r>
    </w:p>
    <w:p>
      <w:pPr>
        <w:pStyle w:val="1"/>
        <w:jc w:val="both"/>
      </w:pPr>
      <w:r>
        <w:rPr>
          <w:sz w:val="20"/>
        </w:rPr>
        <w:t xml:space="preserve">записи  в Едином государственном реестре индивидуальных предпринимателей) и</w:t>
      </w:r>
    </w:p>
    <w:p>
      <w:pPr>
        <w:pStyle w:val="1"/>
        <w:jc w:val="both"/>
      </w:pPr>
      <w:r>
        <w:rPr>
          <w:sz w:val="20"/>
        </w:rPr>
        <w:t xml:space="preserve">дата ее внесения в реестр </w:t>
      </w:r>
      <w:hyperlink w:history="0" w:anchor="P2662" w:tooltip="&lt;1&gt; Для юридических лиц и индивидуальных предпринимателей.">
        <w:r>
          <w:rPr>
            <w:sz w:val="20"/>
            <w:color w:val="0000ff"/>
          </w:rPr>
          <w:t xml:space="preserve">&lt;1&gt;</w:t>
        </w:r>
      </w:hyperlink>
      <w:r>
        <w:rPr>
          <w:sz w:val="20"/>
        </w:rPr>
        <w:t xml:space="preserve"> 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3. Место нахождения заявителя, в том числе фактический адрес __________</w:t>
      </w:r>
    </w:p>
    <w:p>
      <w:pPr>
        <w:pStyle w:val="1"/>
        <w:jc w:val="both"/>
      </w:pPr>
      <w:r>
        <w:rPr>
          <w:sz w:val="20"/>
        </w:rPr>
        <w:t xml:space="preserve">__________________________________________________________________________.</w:t>
      </w:r>
    </w:p>
    <w:p>
      <w:pPr>
        <w:pStyle w:val="1"/>
        <w:jc w:val="both"/>
      </w:pPr>
      <w:r>
        <w:rPr>
          <w:sz w:val="20"/>
        </w:rPr>
        <w:t xml:space="preserve">                              (индекс, адрес)</w:t>
      </w:r>
    </w:p>
    <w:p>
      <w:pPr>
        <w:pStyle w:val="1"/>
        <w:jc w:val="both"/>
      </w:pPr>
      <w:r>
        <w:rPr>
          <w:sz w:val="20"/>
        </w:rPr>
        <w:t xml:space="preserve">    3(1).  Страховой  номер  индивидуального лицевого счета заявителя  (для</w:t>
      </w:r>
    </w:p>
    <w:p>
      <w:pPr>
        <w:pStyle w:val="1"/>
        <w:jc w:val="both"/>
      </w:pPr>
      <w:r>
        <w:rPr>
          <w:sz w:val="20"/>
        </w:rPr>
        <w:t xml:space="preserve">физических лиц) __________________________________________________________.</w:t>
      </w:r>
    </w:p>
    <w:p>
      <w:pPr>
        <w:pStyle w:val="1"/>
        <w:jc w:val="both"/>
      </w:pPr>
      <w:r>
        <w:rPr>
          <w:sz w:val="20"/>
        </w:rPr>
        <w:t xml:space="preserve">Паспортные данные </w:t>
      </w:r>
      <w:hyperlink w:history="0" w:anchor="P2663" w:tooltip="&lt;2&gt; Для физических лиц.">
        <w:r>
          <w:rPr>
            <w:sz w:val="20"/>
            <w:color w:val="0000ff"/>
          </w:rPr>
          <w:t xml:space="preserve">&lt;2&gt;</w:t>
        </w:r>
      </w:hyperlink>
      <w:r>
        <w:rPr>
          <w:sz w:val="20"/>
        </w:rPr>
        <w:t xml:space="preserve">: серия ____________ номер _______________________</w:t>
      </w:r>
    </w:p>
    <w:p>
      <w:pPr>
        <w:pStyle w:val="1"/>
        <w:jc w:val="both"/>
      </w:pPr>
      <w:r>
        <w:rPr>
          <w:sz w:val="20"/>
        </w:rPr>
        <w:t xml:space="preserve">выдан (кем, когда) _______________________________________________________.</w:t>
      </w:r>
    </w:p>
    <w:p>
      <w:pPr>
        <w:pStyle w:val="1"/>
        <w:jc w:val="both"/>
      </w:pPr>
      <w:r>
        <w:rPr>
          <w:sz w:val="20"/>
        </w:rPr>
        <w:t xml:space="preserve">    4. В связи с 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(увеличение объема максимальной мощности, новое строительство и др. -</w:t>
      </w:r>
    </w:p>
    <w:p>
      <w:pPr>
        <w:pStyle w:val="1"/>
        <w:jc w:val="both"/>
      </w:pPr>
      <w:r>
        <w:rPr>
          <w:sz w:val="20"/>
        </w:rPr>
        <w:t xml:space="preserve">                              указать нужное)</w:t>
      </w:r>
    </w:p>
    <w:p>
      <w:pPr>
        <w:pStyle w:val="1"/>
        <w:jc w:val="both"/>
      </w:pPr>
      <w:r>
        <w:rPr>
          <w:sz w:val="20"/>
        </w:rPr>
        <w:t xml:space="preserve">просит осуществить технологическое присоединение 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энергопринимающих устройств для присоединения)</w:t>
      </w:r>
    </w:p>
    <w:p>
      <w:pPr>
        <w:pStyle w:val="1"/>
        <w:jc w:val="both"/>
      </w:pPr>
      <w:r>
        <w:rPr>
          <w:sz w:val="20"/>
        </w:rPr>
        <w:t xml:space="preserve">расположенных 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(место нахождения энергопринимающих устройств)</w:t>
      </w:r>
    </w:p>
    <w:bookmarkStart w:id="2576" w:name="P2576"/>
    <w:bookmarkEnd w:id="2576"/>
    <w:p>
      <w:pPr>
        <w:pStyle w:val="1"/>
        <w:jc w:val="both"/>
      </w:pPr>
      <w:r>
        <w:rPr>
          <w:sz w:val="20"/>
        </w:rPr>
        <w:t xml:space="preserve">    5.    Максимальная    мощность    </w:t>
      </w:r>
      <w:hyperlink w:history="0" w:anchor="P2664" w:tooltip="&lt;3&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пункте 5 и подпункте &quot;а&quot; пункта 5 настоящего приложения величина мощности указывается одинаковая).">
        <w:r>
          <w:rPr>
            <w:sz w:val="20"/>
            <w:color w:val="0000ff"/>
          </w:rPr>
          <w:t xml:space="preserve">&lt;3&gt;</w:t>
        </w:r>
      </w:hyperlink>
      <w:r>
        <w:rPr>
          <w:sz w:val="20"/>
        </w:rPr>
        <w:t xml:space="preserve">    энергопринимающих    устройств</w:t>
      </w:r>
    </w:p>
    <w:p>
      <w:pPr>
        <w:pStyle w:val="1"/>
        <w:jc w:val="both"/>
      </w:pPr>
      <w:r>
        <w:rPr>
          <w:sz w:val="20"/>
        </w:rPr>
        <w:t xml:space="preserve">(присоединяемых и ранее присоединенных) составляет _____ кВт при напряжении</w:t>
      </w:r>
    </w:p>
    <w:p>
      <w:pPr>
        <w:pStyle w:val="1"/>
        <w:jc w:val="both"/>
      </w:pPr>
      <w:hyperlink w:history="0" w:anchor="P2665" w:tooltip="&lt;4&gt; Классы напряжения (0,4; 6; 10) кВ.">
        <w:r>
          <w:rPr>
            <w:sz w:val="20"/>
            <w:color w:val="0000ff"/>
          </w:rPr>
          <w:t xml:space="preserve">&lt;4&gt;</w:t>
        </w:r>
      </w:hyperlink>
      <w:r>
        <w:rPr>
          <w:sz w:val="20"/>
        </w:rPr>
        <w:t xml:space="preserve"> _____ кВ, в том числе:</w:t>
      </w:r>
    </w:p>
    <w:bookmarkStart w:id="2579" w:name="P2579"/>
    <w:bookmarkEnd w:id="2579"/>
    <w:p>
      <w:pPr>
        <w:pStyle w:val="1"/>
        <w:jc w:val="both"/>
      </w:pPr>
      <w:r>
        <w:rPr>
          <w:sz w:val="20"/>
        </w:rPr>
        <w:t xml:space="preserve">    а)  максимальная  мощность  присоединяемых  энергопринимающих устройств</w:t>
      </w:r>
    </w:p>
    <w:p>
      <w:pPr>
        <w:pStyle w:val="1"/>
        <w:jc w:val="both"/>
      </w:pPr>
      <w:r>
        <w:rPr>
          <w:sz w:val="20"/>
        </w:rPr>
        <w:t xml:space="preserve">составляет __________ кВт при напряжении </w:t>
      </w:r>
      <w:hyperlink w:history="0" w:anchor="P2665" w:tooltip="&lt;4&gt; Классы напряжения (0,4; 6; 10) кВ.">
        <w:r>
          <w:rPr>
            <w:sz w:val="20"/>
            <w:color w:val="0000ff"/>
          </w:rPr>
          <w:t xml:space="preserve">&lt;4&gt;</w:t>
        </w:r>
      </w:hyperlink>
      <w:r>
        <w:rPr>
          <w:sz w:val="20"/>
        </w:rPr>
        <w:t xml:space="preserve"> ____ кВ;</w:t>
      </w:r>
    </w:p>
    <w:p>
      <w:pPr>
        <w:pStyle w:val="1"/>
        <w:jc w:val="both"/>
      </w:pPr>
      <w:r>
        <w:rPr>
          <w:sz w:val="20"/>
        </w:rPr>
        <w:t xml:space="preserve">    б)   максимальная   мощность   ранее   присоединенных  в  данной  точке</w:t>
      </w:r>
    </w:p>
    <w:p>
      <w:pPr>
        <w:pStyle w:val="1"/>
        <w:jc w:val="both"/>
      </w:pPr>
      <w:r>
        <w:rPr>
          <w:sz w:val="20"/>
        </w:rPr>
        <w:t xml:space="preserve">присоединения  энергопринимающих  устройств  составляет  _________  кВт при</w:t>
      </w:r>
    </w:p>
    <w:p>
      <w:pPr>
        <w:pStyle w:val="1"/>
        <w:jc w:val="both"/>
      </w:pPr>
      <w:r>
        <w:rPr>
          <w:sz w:val="20"/>
        </w:rPr>
        <w:t xml:space="preserve">напряжении </w:t>
      </w:r>
      <w:hyperlink w:history="0" w:anchor="P2665" w:tooltip="&lt;4&gt; Классы напряжения (0,4; 6; 10) кВ.">
        <w:r>
          <w:rPr>
            <w:sz w:val="20"/>
            <w:color w:val="0000ff"/>
          </w:rPr>
          <w:t xml:space="preserve">&lt;4&gt;</w:t>
        </w:r>
      </w:hyperlink>
      <w:r>
        <w:rPr>
          <w:sz w:val="20"/>
        </w:rPr>
        <w:t xml:space="preserve"> _____ кВ.</w:t>
      </w:r>
    </w:p>
    <w:p>
      <w:pPr>
        <w:pStyle w:val="1"/>
        <w:jc w:val="both"/>
      </w:pPr>
      <w:r>
        <w:rPr>
          <w:sz w:val="20"/>
        </w:rPr>
        <w:t xml:space="preserve">    6.  Заявляемая  категория  надежности энергопринимающих устройств - III</w:t>
      </w:r>
    </w:p>
    <w:p>
      <w:pPr>
        <w:pStyle w:val="1"/>
        <w:jc w:val="both"/>
      </w:pPr>
      <w:r>
        <w:rPr>
          <w:sz w:val="20"/>
        </w:rPr>
        <w:t xml:space="preserve">(по одному источнику электроснабжения энергопринимающих устройств).</w:t>
      </w:r>
    </w:p>
    <w:p>
      <w:pPr>
        <w:pStyle w:val="1"/>
        <w:jc w:val="both"/>
      </w:pPr>
      <w:r>
        <w:rPr>
          <w:sz w:val="20"/>
        </w:rPr>
        <w:t xml:space="preserve">    7. Характер нагрузки (вид экономической деятельности заявителя)</w:t>
      </w:r>
    </w:p>
    <w:p>
      <w:pPr>
        <w:pStyle w:val="1"/>
        <w:jc w:val="both"/>
      </w:pPr>
      <w:r>
        <w:rPr>
          <w:sz w:val="20"/>
        </w:rPr>
        <w:t xml:space="preserve">__________________________________________________________________________.</w:t>
      </w:r>
    </w:p>
    <w:p>
      <w:pPr>
        <w:pStyle w:val="1"/>
        <w:jc w:val="both"/>
      </w:pPr>
      <w:r>
        <w:rPr>
          <w:sz w:val="20"/>
        </w:rPr>
        <w:t xml:space="preserve">    8. Сроки проектирования и поэтапного введения в эксплуатацию объекта (в</w:t>
      </w:r>
    </w:p>
    <w:p>
      <w:pPr>
        <w:pStyle w:val="1"/>
        <w:jc w:val="both"/>
      </w:pPr>
      <w:r>
        <w:rPr>
          <w:sz w:val="20"/>
        </w:rPr>
        <w:t xml:space="preserve">том  числе  по  этапам  и  очередям), планируемого поэтапного распределения</w:t>
      </w:r>
    </w:p>
    <w:p>
      <w:pPr>
        <w:pStyle w:val="1"/>
        <w:jc w:val="both"/>
      </w:pPr>
      <w:r>
        <w:rPr>
          <w:sz w:val="20"/>
        </w:rPr>
        <w:t xml:space="preserve">мощности:</w:t>
      </w:r>
    </w:p>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88"/>
        <w:gridCol w:w="2332"/>
        <w:gridCol w:w="2332"/>
        <w:gridCol w:w="2332"/>
        <w:gridCol w:w="2332"/>
      </w:tblGrid>
      <w:tr>
        <w:tc>
          <w:tcPr>
            <w:tcW w:w="1588" w:type="dxa"/>
          </w:tcPr>
          <w:p>
            <w:pPr>
              <w:pStyle w:val="0"/>
              <w:jc w:val="center"/>
            </w:pPr>
            <w:r>
              <w:rPr>
                <w:sz w:val="20"/>
              </w:rPr>
              <w:t xml:space="preserve">Этап (очередь) строительства</w:t>
            </w:r>
          </w:p>
        </w:tc>
        <w:tc>
          <w:tcPr>
            <w:tcW w:w="2332" w:type="dxa"/>
          </w:tcPr>
          <w:p>
            <w:pPr>
              <w:pStyle w:val="0"/>
              <w:jc w:val="center"/>
            </w:pPr>
            <w:r>
              <w:rPr>
                <w:sz w:val="20"/>
              </w:rPr>
              <w:t xml:space="preserve">Планируемый срок проектирования энергопринимающих устройств (месяц, год)</w:t>
            </w:r>
          </w:p>
        </w:tc>
        <w:tc>
          <w:tcPr>
            <w:tcW w:w="2332" w:type="dxa"/>
          </w:tcPr>
          <w:p>
            <w:pPr>
              <w:pStyle w:val="0"/>
              <w:jc w:val="center"/>
            </w:pPr>
            <w:r>
              <w:rPr>
                <w:sz w:val="20"/>
              </w:rPr>
              <w:t xml:space="preserve">Планируемый срок введения энергопринимающих устройств в эксплуатацию (месяц, год)</w:t>
            </w:r>
          </w:p>
        </w:tc>
        <w:tc>
          <w:tcPr>
            <w:tcW w:w="2332" w:type="dxa"/>
          </w:tcPr>
          <w:p>
            <w:pPr>
              <w:pStyle w:val="0"/>
              <w:jc w:val="center"/>
            </w:pPr>
            <w:r>
              <w:rPr>
                <w:sz w:val="20"/>
              </w:rPr>
              <w:t xml:space="preserve">Максимальная мощность энергопринимающих устройств (кВт)</w:t>
            </w:r>
          </w:p>
        </w:tc>
        <w:tc>
          <w:tcPr>
            <w:tcW w:w="2332" w:type="dxa"/>
          </w:tcPr>
          <w:p>
            <w:pPr>
              <w:pStyle w:val="0"/>
              <w:jc w:val="center"/>
            </w:pPr>
            <w:r>
              <w:rPr>
                <w:sz w:val="20"/>
              </w:rPr>
              <w:t xml:space="preserve">Категория надежности энергопринимающих устройств</w:t>
            </w:r>
          </w:p>
        </w:tc>
      </w:tr>
      <w:tr>
        <w:tc>
          <w:tcPr>
            <w:tcW w:w="1588" w:type="dxa"/>
          </w:tcPr>
          <w:p>
            <w:pPr>
              <w:pStyle w:val="0"/>
            </w:pPr>
            <w:r>
              <w:rPr>
                <w:sz w:val="20"/>
              </w:rPr>
            </w:r>
          </w:p>
        </w:tc>
        <w:tc>
          <w:tcPr>
            <w:tcW w:w="2332" w:type="dxa"/>
          </w:tcPr>
          <w:p>
            <w:pPr>
              <w:pStyle w:val="0"/>
            </w:pPr>
            <w:r>
              <w:rPr>
                <w:sz w:val="20"/>
              </w:rPr>
            </w:r>
          </w:p>
        </w:tc>
        <w:tc>
          <w:tcPr>
            <w:tcW w:w="2332" w:type="dxa"/>
          </w:tcPr>
          <w:p>
            <w:pPr>
              <w:pStyle w:val="0"/>
            </w:pPr>
            <w:r>
              <w:rPr>
                <w:sz w:val="20"/>
              </w:rPr>
            </w:r>
          </w:p>
        </w:tc>
        <w:tc>
          <w:tcPr>
            <w:tcW w:w="2332" w:type="dxa"/>
          </w:tcPr>
          <w:p>
            <w:pPr>
              <w:pStyle w:val="0"/>
            </w:pPr>
            <w:r>
              <w:rPr>
                <w:sz w:val="20"/>
              </w:rPr>
            </w:r>
          </w:p>
        </w:tc>
        <w:tc>
          <w:tcPr>
            <w:tcW w:w="2332" w:type="dxa"/>
          </w:tcPr>
          <w:p>
            <w:pPr>
              <w:pStyle w:val="0"/>
            </w:pPr>
            <w:r>
              <w:rPr>
                <w:sz w:val="20"/>
              </w:rPr>
            </w:r>
          </w:p>
        </w:tc>
      </w:tr>
      <w:tr>
        <w:tc>
          <w:tcPr>
            <w:tcW w:w="1588" w:type="dxa"/>
          </w:tcPr>
          <w:p>
            <w:pPr>
              <w:pStyle w:val="0"/>
            </w:pPr>
            <w:r>
              <w:rPr>
                <w:sz w:val="20"/>
              </w:rPr>
            </w:r>
          </w:p>
        </w:tc>
        <w:tc>
          <w:tcPr>
            <w:tcW w:w="2332" w:type="dxa"/>
          </w:tcPr>
          <w:p>
            <w:pPr>
              <w:pStyle w:val="0"/>
            </w:pPr>
            <w:r>
              <w:rPr>
                <w:sz w:val="20"/>
              </w:rPr>
            </w:r>
          </w:p>
        </w:tc>
        <w:tc>
          <w:tcPr>
            <w:tcW w:w="2332" w:type="dxa"/>
          </w:tcPr>
          <w:p>
            <w:pPr>
              <w:pStyle w:val="0"/>
            </w:pPr>
            <w:r>
              <w:rPr>
                <w:sz w:val="20"/>
              </w:rPr>
            </w:r>
          </w:p>
        </w:tc>
        <w:tc>
          <w:tcPr>
            <w:tcW w:w="2332" w:type="dxa"/>
          </w:tcPr>
          <w:p>
            <w:pPr>
              <w:pStyle w:val="0"/>
            </w:pPr>
            <w:r>
              <w:rPr>
                <w:sz w:val="20"/>
              </w:rPr>
            </w:r>
          </w:p>
        </w:tc>
        <w:tc>
          <w:tcPr>
            <w:tcW w:w="2332" w:type="dxa"/>
          </w:tcPr>
          <w:p>
            <w:pPr>
              <w:pStyle w:val="0"/>
            </w:pPr>
            <w:r>
              <w:rPr>
                <w:sz w:val="20"/>
              </w:rPr>
            </w:r>
          </w:p>
        </w:tc>
      </w:tr>
      <w:tr>
        <w:tc>
          <w:tcPr>
            <w:tcW w:w="1588" w:type="dxa"/>
          </w:tcPr>
          <w:p>
            <w:pPr>
              <w:pStyle w:val="0"/>
            </w:pPr>
            <w:r>
              <w:rPr>
                <w:sz w:val="20"/>
              </w:rPr>
            </w:r>
          </w:p>
        </w:tc>
        <w:tc>
          <w:tcPr>
            <w:tcW w:w="2332" w:type="dxa"/>
          </w:tcPr>
          <w:p>
            <w:pPr>
              <w:pStyle w:val="0"/>
            </w:pPr>
            <w:r>
              <w:rPr>
                <w:sz w:val="20"/>
              </w:rPr>
            </w:r>
          </w:p>
        </w:tc>
        <w:tc>
          <w:tcPr>
            <w:tcW w:w="2332" w:type="dxa"/>
          </w:tcPr>
          <w:p>
            <w:pPr>
              <w:pStyle w:val="0"/>
            </w:pPr>
            <w:r>
              <w:rPr>
                <w:sz w:val="20"/>
              </w:rPr>
            </w:r>
          </w:p>
        </w:tc>
        <w:tc>
          <w:tcPr>
            <w:tcW w:w="2332" w:type="dxa"/>
          </w:tcPr>
          <w:p>
            <w:pPr>
              <w:pStyle w:val="0"/>
            </w:pPr>
            <w:r>
              <w:rPr>
                <w:sz w:val="20"/>
              </w:rPr>
            </w:r>
          </w:p>
        </w:tc>
        <w:tc>
          <w:tcPr>
            <w:tcW w:w="2332" w:type="dxa"/>
          </w:tcPr>
          <w:p>
            <w:pPr>
              <w:pStyle w:val="0"/>
            </w:pPr>
            <w:r>
              <w:rPr>
                <w:sz w:val="20"/>
              </w:rPr>
            </w:r>
          </w:p>
        </w:tc>
      </w:tr>
    </w:tbl>
    <w:p>
      <w:pPr>
        <w:sectPr>
          <w:headerReference w:type="default" r:id="rId1097"/>
          <w:headerReference w:type="first" r:id="rId1097"/>
          <w:footerReference w:type="default" r:id="rId1098"/>
          <w:footerReference w:type="first" r:id="rId1098"/>
          <w:pgSz w:w="16838" w:h="11906" w:orient="landscape"/>
          <w:pgMar w:top="1133" w:right="1440" w:bottom="566" w:left="1440" w:header="0" w:footer="0" w:gutter="0"/>
          <w:titlePg/>
        </w:sectPr>
      </w:pPr>
    </w:p>
    <w:p>
      <w:pPr>
        <w:pStyle w:val="0"/>
        <w:jc w:val="both"/>
      </w:pPr>
      <w:r>
        <w:rPr>
          <w:sz w:val="20"/>
        </w:rPr>
      </w:r>
    </w:p>
    <w:p>
      <w:pPr>
        <w:pStyle w:val="1"/>
        <w:jc w:val="both"/>
      </w:pPr>
      <w:r>
        <w:rPr>
          <w:sz w:val="20"/>
        </w:rPr>
        <w:t xml:space="preserve">    9.   Порядок   расчета   и   условия   рассрочки   внесения   платы  за</w:t>
      </w:r>
    </w:p>
    <w:p>
      <w:pPr>
        <w:pStyle w:val="1"/>
        <w:jc w:val="both"/>
      </w:pPr>
      <w:r>
        <w:rPr>
          <w:sz w:val="20"/>
        </w:rPr>
        <w:t xml:space="preserve">технологическое присоединение по договору осуществляются по </w:t>
      </w:r>
      <w:hyperlink w:history="0" w:anchor="P2666" w:tooltip="&lt;5&gt; Заполняется заявителем, максимальная мощность энергопринимающих устройств которого составляет до 150 кВт включительно (с учетом ранее присоединенной в данной точке присоединения мощности).">
        <w:r>
          <w:rPr>
            <w:sz w:val="20"/>
            <w:color w:val="0000ff"/>
          </w:rPr>
          <w:t xml:space="preserve">&lt;5&gt;</w:t>
        </w:r>
      </w:hyperlink>
      <w:r>
        <w:rPr>
          <w:sz w:val="20"/>
        </w:rPr>
        <w:t xml:space="preserve"> ___________</w:t>
      </w:r>
    </w:p>
    <w:p>
      <w:pPr>
        <w:pStyle w:val="1"/>
        <w:jc w:val="both"/>
      </w:pPr>
      <w:r>
        <w:rPr>
          <w:sz w:val="20"/>
        </w:rPr>
        <w:t xml:space="preserve">___________________________________________________________________________</w:t>
      </w:r>
    </w:p>
    <w:p>
      <w:pPr>
        <w:pStyle w:val="1"/>
        <w:jc w:val="both"/>
      </w:pPr>
      <w:r>
        <w:rPr>
          <w:sz w:val="20"/>
        </w:rPr>
        <w:t xml:space="preserve">                  (вариант 1, вариант 2 - указать нужное)</w:t>
      </w:r>
    </w:p>
    <w:p>
      <w:pPr>
        <w:pStyle w:val="1"/>
        <w:jc w:val="both"/>
      </w:pPr>
      <w:r>
        <w:rPr>
          <w:sz w:val="20"/>
        </w:rPr>
        <w:t xml:space="preserve">    а) вариант 1, при котором:</w:t>
      </w:r>
    </w:p>
    <w:p>
      <w:pPr>
        <w:pStyle w:val="1"/>
        <w:jc w:val="both"/>
      </w:pPr>
      <w:r>
        <w:rPr>
          <w:sz w:val="20"/>
        </w:rPr>
        <w:t xml:space="preserve">    15  процентов платы за технологическое присоединение вносятся в течение</w:t>
      </w:r>
    </w:p>
    <w:p>
      <w:pPr>
        <w:pStyle w:val="1"/>
        <w:jc w:val="both"/>
      </w:pPr>
      <w:r>
        <w:rPr>
          <w:sz w:val="20"/>
        </w:rPr>
        <w:t xml:space="preserve">15 дней со дня заключения договора;</w:t>
      </w:r>
    </w:p>
    <w:p>
      <w:pPr>
        <w:pStyle w:val="1"/>
        <w:jc w:val="both"/>
      </w:pPr>
      <w:r>
        <w:rPr>
          <w:sz w:val="20"/>
        </w:rPr>
        <w:t xml:space="preserve">    30  процентов платы за технологическое присоединение вносятся в течение</w:t>
      </w:r>
    </w:p>
    <w:p>
      <w:pPr>
        <w:pStyle w:val="1"/>
        <w:jc w:val="both"/>
      </w:pPr>
      <w:r>
        <w:rPr>
          <w:sz w:val="20"/>
        </w:rPr>
        <w:t xml:space="preserve">60   дней  со  дня  заключения  договора,  но  не  позже  дня  фактического</w:t>
      </w:r>
    </w:p>
    <w:p>
      <w:pPr>
        <w:pStyle w:val="1"/>
        <w:jc w:val="both"/>
      </w:pPr>
      <w:r>
        <w:rPr>
          <w:sz w:val="20"/>
        </w:rPr>
        <w:t xml:space="preserve">присоединения;</w:t>
      </w:r>
    </w:p>
    <w:p>
      <w:pPr>
        <w:pStyle w:val="1"/>
        <w:jc w:val="both"/>
      </w:pPr>
      <w:r>
        <w:rPr>
          <w:sz w:val="20"/>
        </w:rPr>
        <w:t xml:space="preserve">    45  процентов платы за технологическое присоединение вносятся в течение</w:t>
      </w:r>
    </w:p>
    <w:p>
      <w:pPr>
        <w:pStyle w:val="1"/>
        <w:jc w:val="both"/>
      </w:pPr>
      <w:r>
        <w:rPr>
          <w:sz w:val="20"/>
        </w:rPr>
        <w:t xml:space="preserve">15 дней со дня фактического присоединения:</w:t>
      </w:r>
    </w:p>
    <w:p>
      <w:pPr>
        <w:pStyle w:val="1"/>
        <w:jc w:val="both"/>
      </w:pPr>
      <w:r>
        <w:rPr>
          <w:sz w:val="20"/>
        </w:rPr>
        <w:t xml:space="preserve">    10  процентов платы за технологическое присоединение вносятся в течение</w:t>
      </w:r>
    </w:p>
    <w:p>
      <w:pPr>
        <w:pStyle w:val="1"/>
        <w:jc w:val="both"/>
      </w:pPr>
      <w:r>
        <w:rPr>
          <w:sz w:val="20"/>
        </w:rPr>
        <w:t xml:space="preserve">15   дней   со   дня  подписания  акта  об  осуществлении  технологического</w:t>
      </w:r>
    </w:p>
    <w:p>
      <w:pPr>
        <w:pStyle w:val="1"/>
        <w:jc w:val="both"/>
      </w:pPr>
      <w:r>
        <w:rPr>
          <w:sz w:val="20"/>
        </w:rPr>
        <w:t xml:space="preserve">присоединения;</w:t>
      </w:r>
    </w:p>
    <w:p>
      <w:pPr>
        <w:pStyle w:val="1"/>
        <w:jc w:val="both"/>
      </w:pPr>
      <w:r>
        <w:rPr>
          <w:sz w:val="20"/>
        </w:rPr>
        <w:t xml:space="preserve">    б) вариант 2, при котором:</w:t>
      </w:r>
    </w:p>
    <w:p>
      <w:pPr>
        <w:pStyle w:val="1"/>
        <w:jc w:val="both"/>
      </w:pPr>
      <w:r>
        <w:rPr>
          <w:sz w:val="20"/>
        </w:rPr>
        <w:t xml:space="preserve">    авансовый  платеж  вносится  в  размере  5  процентов  размера платы за</w:t>
      </w:r>
    </w:p>
    <w:p>
      <w:pPr>
        <w:pStyle w:val="1"/>
        <w:jc w:val="both"/>
      </w:pPr>
      <w:r>
        <w:rPr>
          <w:sz w:val="20"/>
        </w:rPr>
        <w:t xml:space="preserve">технологическое присоединение;</w:t>
      </w:r>
    </w:p>
    <w:p>
      <w:pPr>
        <w:pStyle w:val="1"/>
        <w:jc w:val="both"/>
      </w:pPr>
      <w:r>
        <w:rPr>
          <w:sz w:val="20"/>
        </w:rPr>
        <w:t xml:space="preserve">    осуществляется    рассрочка платежа  в размере 95 процентов   платы  за</w:t>
      </w:r>
    </w:p>
    <w:p>
      <w:pPr>
        <w:pStyle w:val="1"/>
        <w:jc w:val="both"/>
      </w:pPr>
      <w:r>
        <w:rPr>
          <w:sz w:val="20"/>
        </w:rPr>
        <w:t xml:space="preserve">технологическое   присоединение  с  условием    ежеквартального    внесения</w:t>
      </w:r>
    </w:p>
    <w:p>
      <w:pPr>
        <w:pStyle w:val="1"/>
        <w:jc w:val="both"/>
      </w:pPr>
      <w:r>
        <w:rPr>
          <w:sz w:val="20"/>
        </w:rPr>
        <w:t xml:space="preserve">платы  равными  долями  от  общей суммы рассрочки на период до 3 лет со дня</w:t>
      </w:r>
    </w:p>
    <w:p>
      <w:pPr>
        <w:pStyle w:val="1"/>
        <w:jc w:val="both"/>
      </w:pPr>
      <w:r>
        <w:rPr>
          <w:sz w:val="20"/>
        </w:rPr>
        <w:t xml:space="preserve">подписания сторонами акта об осуществлении технологического присоединения.</w:t>
      </w:r>
    </w:p>
    <w:p>
      <w:pPr>
        <w:pStyle w:val="1"/>
        <w:jc w:val="both"/>
      </w:pPr>
      <w:r>
        <w:rPr>
          <w:sz w:val="20"/>
        </w:rPr>
        <w:t xml:space="preserve">    10.  Гарантирующий  поставщик  (энергосбытовая  организация), с которым</w:t>
      </w:r>
    </w:p>
    <w:p>
      <w:pPr>
        <w:pStyle w:val="1"/>
        <w:jc w:val="both"/>
      </w:pPr>
      <w:r>
        <w:rPr>
          <w:sz w:val="20"/>
        </w:rPr>
        <w:t xml:space="preserve">планируется     заключение    договор    энергоснабжения   (купли - продажи</w:t>
      </w:r>
    </w:p>
    <w:p>
      <w:pPr>
        <w:pStyle w:val="1"/>
        <w:jc w:val="both"/>
      </w:pPr>
      <w:r>
        <w:rPr>
          <w:sz w:val="20"/>
        </w:rPr>
        <w:t xml:space="preserve">электрической энергии (мощности) _________________________________________.</w:t>
      </w:r>
    </w:p>
    <w:p>
      <w:pPr>
        <w:pStyle w:val="1"/>
        <w:jc w:val="both"/>
      </w:pPr>
      <w:r>
        <w:rPr>
          <w:sz w:val="20"/>
        </w:rPr>
      </w:r>
    </w:p>
    <w:p>
      <w:pPr>
        <w:pStyle w:val="1"/>
        <w:jc w:val="both"/>
      </w:pPr>
      <w:r>
        <w:rPr>
          <w:sz w:val="20"/>
        </w:rPr>
        <w:t xml:space="preserve">    Приложения:</w:t>
      </w:r>
    </w:p>
    <w:p>
      <w:pPr>
        <w:pStyle w:val="1"/>
        <w:jc w:val="both"/>
      </w:pPr>
      <w:r>
        <w:rPr>
          <w:sz w:val="20"/>
        </w:rPr>
        <w:t xml:space="preserve">    (указать перечень прилагаемых документов)</w:t>
      </w:r>
    </w:p>
    <w:p>
      <w:pPr>
        <w:pStyle w:val="1"/>
        <w:jc w:val="both"/>
      </w:pPr>
      <w:r>
        <w:rPr>
          <w:sz w:val="20"/>
        </w:rPr>
        <w:t xml:space="preserve">    1. ____________________________________________________________________</w:t>
      </w:r>
    </w:p>
    <w:p>
      <w:pPr>
        <w:pStyle w:val="1"/>
        <w:jc w:val="both"/>
      </w:pPr>
      <w:r>
        <w:rPr>
          <w:sz w:val="20"/>
        </w:rPr>
        <w:t xml:space="preserve">    2. ____________________________________________________________________</w:t>
      </w:r>
    </w:p>
    <w:p>
      <w:pPr>
        <w:pStyle w:val="1"/>
        <w:jc w:val="both"/>
      </w:pPr>
      <w:r>
        <w:rPr>
          <w:sz w:val="20"/>
        </w:rPr>
        <w:t xml:space="preserve">    3. ____________________________________________________________________</w:t>
      </w:r>
    </w:p>
    <w:p>
      <w:pPr>
        <w:pStyle w:val="1"/>
        <w:jc w:val="both"/>
      </w:pPr>
      <w:r>
        <w:rPr>
          <w:sz w:val="20"/>
        </w:rPr>
        <w:t xml:space="preserve">    4. ____________________________________________________________________</w:t>
      </w:r>
    </w:p>
    <w:p>
      <w:pPr>
        <w:pStyle w:val="1"/>
        <w:jc w:val="both"/>
      </w:pPr>
      <w:r>
        <w:rPr>
          <w:sz w:val="20"/>
        </w:rPr>
      </w:r>
    </w:p>
    <w:p>
      <w:pPr>
        <w:pStyle w:val="1"/>
        <w:jc w:val="both"/>
      </w:pPr>
      <w:r>
        <w:rPr>
          <w:sz w:val="20"/>
        </w:rPr>
        <w:t xml:space="preserve">              Заявитель</w:t>
      </w:r>
    </w:p>
    <w:p>
      <w:pPr>
        <w:pStyle w:val="1"/>
        <w:jc w:val="both"/>
      </w:pPr>
      <w:r>
        <w:rPr>
          <w:sz w:val="20"/>
        </w:rPr>
        <w:t xml:space="preserve">____________________________________</w:t>
      </w:r>
    </w:p>
    <w:p>
      <w:pPr>
        <w:pStyle w:val="1"/>
        <w:jc w:val="both"/>
      </w:pPr>
      <w:r>
        <w:rPr>
          <w:sz w:val="20"/>
        </w:rPr>
        <w:t xml:space="preserve">      (фамилия, имя, отчество)</w:t>
      </w:r>
    </w:p>
    <w:p>
      <w:pPr>
        <w:pStyle w:val="1"/>
        <w:jc w:val="both"/>
      </w:pPr>
      <w:r>
        <w:rPr>
          <w:sz w:val="20"/>
        </w:rPr>
        <w:t xml:space="preserve">____________________________________</w:t>
      </w:r>
    </w:p>
    <w:p>
      <w:pPr>
        <w:pStyle w:val="1"/>
        <w:jc w:val="both"/>
      </w:pPr>
      <w:r>
        <w:rPr>
          <w:sz w:val="20"/>
        </w:rPr>
        <w:t xml:space="preserve"> (выделенный оператором подвижной</w:t>
      </w:r>
    </w:p>
    <w:p>
      <w:pPr>
        <w:pStyle w:val="1"/>
        <w:jc w:val="both"/>
      </w:pPr>
      <w:r>
        <w:rPr>
          <w:sz w:val="20"/>
        </w:rPr>
        <w:t xml:space="preserve">  радиотелефонной связи абонентский</w:t>
      </w:r>
    </w:p>
    <w:p>
      <w:pPr>
        <w:pStyle w:val="1"/>
        <w:jc w:val="both"/>
      </w:pPr>
      <w:r>
        <w:rPr>
          <w:sz w:val="20"/>
        </w:rPr>
        <w:t xml:space="preserve">     номер и адрес электронной</w:t>
      </w:r>
    </w:p>
    <w:p>
      <w:pPr>
        <w:pStyle w:val="1"/>
        <w:jc w:val="both"/>
      </w:pPr>
      <w:r>
        <w:rPr>
          <w:sz w:val="20"/>
        </w:rPr>
        <w:t xml:space="preserve">        почты заявителя)</w:t>
      </w:r>
    </w:p>
    <w:p>
      <w:pPr>
        <w:pStyle w:val="1"/>
        <w:jc w:val="both"/>
      </w:pPr>
      <w:r>
        <w:rPr>
          <w:sz w:val="20"/>
        </w:rPr>
        <w:t xml:space="preserve">_____________________ ______________</w:t>
      </w:r>
    </w:p>
    <w:p>
      <w:pPr>
        <w:pStyle w:val="1"/>
        <w:jc w:val="both"/>
      </w:pPr>
      <w:r>
        <w:rPr>
          <w:sz w:val="20"/>
        </w:rPr>
        <w:t xml:space="preserve">     (должность)        (подпись)</w:t>
      </w:r>
    </w:p>
    <w:p>
      <w:pPr>
        <w:pStyle w:val="1"/>
        <w:jc w:val="both"/>
      </w:pPr>
      <w:r>
        <w:rPr>
          <w:sz w:val="20"/>
        </w:rPr>
      </w:r>
    </w:p>
    <w:p>
      <w:pPr>
        <w:pStyle w:val="1"/>
        <w:jc w:val="both"/>
      </w:pPr>
      <w:r>
        <w:rPr>
          <w:sz w:val="20"/>
        </w:rPr>
        <w:t xml:space="preserve">"__" ____________ 20__ г.</w:t>
      </w:r>
    </w:p>
    <w:p>
      <w:pPr>
        <w:pStyle w:val="1"/>
        <w:jc w:val="both"/>
      </w:pPr>
      <w:r>
        <w:rPr>
          <w:sz w:val="20"/>
        </w:rPr>
      </w:r>
    </w:p>
    <w:p>
      <w:pPr>
        <w:pStyle w:val="1"/>
        <w:jc w:val="both"/>
      </w:pPr>
      <w:r>
        <w:rPr>
          <w:sz w:val="20"/>
        </w:rPr>
        <w:t xml:space="preserve">М.П.</w:t>
      </w:r>
    </w:p>
    <w:p>
      <w:pPr>
        <w:pStyle w:val="0"/>
        <w:jc w:val="both"/>
      </w:pPr>
      <w:r>
        <w:rPr>
          <w:sz w:val="20"/>
        </w:rPr>
      </w:r>
    </w:p>
    <w:p>
      <w:pPr>
        <w:pStyle w:val="0"/>
        <w:ind w:firstLine="540"/>
        <w:jc w:val="both"/>
      </w:pPr>
      <w:r>
        <w:rPr>
          <w:sz w:val="20"/>
        </w:rPr>
        <w:t xml:space="preserve">--------------------------------</w:t>
      </w:r>
    </w:p>
    <w:bookmarkStart w:id="2662" w:name="P2662"/>
    <w:bookmarkEnd w:id="2662"/>
    <w:p>
      <w:pPr>
        <w:pStyle w:val="0"/>
        <w:spacing w:before="200" w:line-rule="auto"/>
        <w:ind w:firstLine="540"/>
        <w:jc w:val="both"/>
      </w:pPr>
      <w:r>
        <w:rPr>
          <w:sz w:val="20"/>
        </w:rPr>
        <w:t xml:space="preserve">&lt;1&gt; Для юридических лиц и индивидуальных предпринимателей.</w:t>
      </w:r>
    </w:p>
    <w:bookmarkStart w:id="2663" w:name="P2663"/>
    <w:bookmarkEnd w:id="2663"/>
    <w:p>
      <w:pPr>
        <w:pStyle w:val="0"/>
        <w:spacing w:before="200" w:line-rule="auto"/>
        <w:ind w:firstLine="540"/>
        <w:jc w:val="both"/>
      </w:pPr>
      <w:r>
        <w:rPr>
          <w:sz w:val="20"/>
        </w:rPr>
        <w:t xml:space="preserve">&lt;2&gt; Для физических лиц.</w:t>
      </w:r>
    </w:p>
    <w:bookmarkStart w:id="2664" w:name="P2664"/>
    <w:bookmarkEnd w:id="2664"/>
    <w:p>
      <w:pPr>
        <w:pStyle w:val="0"/>
        <w:spacing w:before="200" w:line-rule="auto"/>
        <w:ind w:firstLine="540"/>
        <w:jc w:val="both"/>
      </w:pPr>
      <w:r>
        <w:rPr>
          <w:sz w:val="20"/>
        </w:rPr>
        <w:t xml:space="preserve">&lt;3&gt;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history="0" w:anchor="P2576" w:tooltip="    5.    Максимальная    мощность    &lt;3&gt;    энергопринимающих    устройств">
        <w:r>
          <w:rPr>
            <w:sz w:val="20"/>
            <w:color w:val="0000ff"/>
          </w:rPr>
          <w:t xml:space="preserve">пункте 5</w:t>
        </w:r>
      </w:hyperlink>
      <w:r>
        <w:rPr>
          <w:sz w:val="20"/>
        </w:rPr>
        <w:t xml:space="preserve"> и </w:t>
      </w:r>
      <w:hyperlink w:history="0" w:anchor="P2579" w:tooltip="    а)  максимальная  мощность  присоединяемых  энергопринимающих устройств">
        <w:r>
          <w:rPr>
            <w:sz w:val="20"/>
            <w:color w:val="0000ff"/>
          </w:rPr>
          <w:t xml:space="preserve">подпункте "а" пункта 5</w:t>
        </w:r>
      </w:hyperlink>
      <w:r>
        <w:rPr>
          <w:sz w:val="20"/>
        </w:rPr>
        <w:t xml:space="preserve"> настоящего приложения величина мощности указывается одинаковая).</w:t>
      </w:r>
    </w:p>
    <w:bookmarkStart w:id="2665" w:name="P2665"/>
    <w:bookmarkEnd w:id="2665"/>
    <w:p>
      <w:pPr>
        <w:pStyle w:val="0"/>
        <w:spacing w:before="200" w:line-rule="auto"/>
        <w:ind w:firstLine="540"/>
        <w:jc w:val="both"/>
      </w:pPr>
      <w:r>
        <w:rPr>
          <w:sz w:val="20"/>
        </w:rPr>
        <w:t xml:space="preserve">&lt;4&gt; Классы напряжения (0,4; 6; 10) кВ.</w:t>
      </w:r>
    </w:p>
    <w:bookmarkStart w:id="2666" w:name="P2666"/>
    <w:bookmarkEnd w:id="2666"/>
    <w:p>
      <w:pPr>
        <w:pStyle w:val="0"/>
        <w:spacing w:before="200" w:line-rule="auto"/>
        <w:ind w:firstLine="540"/>
        <w:jc w:val="both"/>
      </w:pPr>
      <w:r>
        <w:rPr>
          <w:sz w:val="20"/>
        </w:rPr>
        <w:t xml:space="preserve">&lt;5&gt; Заполняется заявителем, максимальная мощность энергопринимающих устройств которого составляет до 150 кВт включительно (с учетом ранее присоединенной в данной точке присоединения мощности).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4(1)</w:t>
      </w:r>
    </w:p>
    <w:p>
      <w:pPr>
        <w:pStyle w:val="0"/>
        <w:jc w:val="right"/>
      </w:pPr>
      <w:r>
        <w:rPr>
          <w:sz w:val="20"/>
        </w:rPr>
        <w:t xml:space="preserve">к Правилам технологического</w:t>
      </w:r>
    </w:p>
    <w:p>
      <w:pPr>
        <w:pStyle w:val="0"/>
        <w:jc w:val="right"/>
      </w:pPr>
      <w:r>
        <w:rPr>
          <w:sz w:val="20"/>
        </w:rPr>
        <w:t xml:space="preserve">присоединения энергопринимающих</w:t>
      </w:r>
    </w:p>
    <w:p>
      <w:pPr>
        <w:pStyle w:val="0"/>
        <w:jc w:val="right"/>
      </w:pPr>
      <w:r>
        <w:rPr>
          <w:sz w:val="20"/>
        </w:rPr>
        <w:t xml:space="preserve">устройств потребителей</w:t>
      </w:r>
    </w:p>
    <w:p>
      <w:pPr>
        <w:pStyle w:val="0"/>
        <w:jc w:val="right"/>
      </w:pPr>
      <w:r>
        <w:rPr>
          <w:sz w:val="20"/>
        </w:rPr>
        <w:t xml:space="preserve">электрической энергии, объектов</w:t>
      </w:r>
    </w:p>
    <w:p>
      <w:pPr>
        <w:pStyle w:val="0"/>
        <w:jc w:val="right"/>
      </w:pPr>
      <w:r>
        <w:rPr>
          <w:sz w:val="20"/>
        </w:rPr>
        <w:t xml:space="preserve">по производству электрической</w:t>
      </w:r>
    </w:p>
    <w:p>
      <w:pPr>
        <w:pStyle w:val="0"/>
        <w:jc w:val="right"/>
      </w:pPr>
      <w:r>
        <w:rPr>
          <w:sz w:val="20"/>
        </w:rPr>
        <w:t xml:space="preserve">энергии, а также объектов</w:t>
      </w:r>
    </w:p>
    <w:p>
      <w:pPr>
        <w:pStyle w:val="0"/>
        <w:jc w:val="right"/>
      </w:pPr>
      <w:r>
        <w:rPr>
          <w:sz w:val="20"/>
        </w:rPr>
        <w:t xml:space="preserve">электросетевого хозяйства,</w:t>
      </w:r>
    </w:p>
    <w:p>
      <w:pPr>
        <w:pStyle w:val="0"/>
        <w:jc w:val="right"/>
      </w:pPr>
      <w:r>
        <w:rPr>
          <w:sz w:val="20"/>
        </w:rPr>
        <w:t xml:space="preserve">принадлежащих сетевым организациям</w:t>
      </w:r>
    </w:p>
    <w:p>
      <w:pPr>
        <w:pStyle w:val="0"/>
        <w:jc w:val="right"/>
      </w:pPr>
      <w:r>
        <w:rPr>
          <w:sz w:val="20"/>
        </w:rPr>
        <w:t xml:space="preserve">и иным лицам, к электрическим сетям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1099"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Постановлением</w:t>
              </w:r>
            </w:hyperlink>
            <w:r>
              <w:rPr>
                <w:sz w:val="20"/>
                <w:color w:val="392c69"/>
              </w:rPr>
              <w:t xml:space="preserve"> Правительства РФ от 02.03.2021 N 299;</w:t>
            </w:r>
          </w:p>
          <w:p>
            <w:pPr>
              <w:pStyle w:val="0"/>
              <w:jc w:val="center"/>
            </w:pPr>
            <w:r>
              <w:rPr>
                <w:sz w:val="20"/>
                <w:color w:val="392c69"/>
              </w:rPr>
              <w:t xml:space="preserve">в ред. </w:t>
            </w:r>
            <w:hyperlink w:history="0" r:id="rId1100"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color w:val="392c69"/>
              </w:rPr>
              <w:t xml:space="preserve"> Правительства РФ от 30.06.2022 N 1178)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1"/>
        <w:jc w:val="both"/>
      </w:pPr>
      <w:r>
        <w:rPr>
          <w:sz w:val="20"/>
        </w:rPr>
        <w:t xml:space="preserve">                                  ЗАЯВКА</w:t>
      </w:r>
    </w:p>
    <w:p>
      <w:pPr>
        <w:pStyle w:val="1"/>
        <w:jc w:val="both"/>
      </w:pPr>
      <w:r>
        <w:rPr>
          <w:sz w:val="20"/>
        </w:rPr>
        <w:t xml:space="preserve">     юридического лица (индивидуального предпринимателя), физического</w:t>
      </w:r>
    </w:p>
    <w:p>
      <w:pPr>
        <w:pStyle w:val="1"/>
        <w:jc w:val="both"/>
      </w:pPr>
      <w:r>
        <w:rPr>
          <w:sz w:val="20"/>
        </w:rPr>
        <w:t xml:space="preserve">        лица на присоединение по одному источнику электроснабжения</w:t>
      </w:r>
    </w:p>
    <w:p>
      <w:pPr>
        <w:pStyle w:val="1"/>
        <w:jc w:val="both"/>
      </w:pPr>
      <w:r>
        <w:rPr>
          <w:sz w:val="20"/>
        </w:rPr>
        <w:t xml:space="preserve">           энергопринимающих устройств с максимальной мощностью</w:t>
      </w:r>
    </w:p>
    <w:p>
      <w:pPr>
        <w:pStyle w:val="1"/>
        <w:jc w:val="both"/>
      </w:pPr>
      <w:r>
        <w:rPr>
          <w:sz w:val="20"/>
        </w:rPr>
        <w:t xml:space="preserve">          до 150 кВт включительно и (или) объектов микрогенерации</w:t>
      </w:r>
    </w:p>
    <w:p>
      <w:pPr>
        <w:pStyle w:val="1"/>
        <w:jc w:val="both"/>
      </w:pPr>
      <w:r>
        <w:rPr>
          <w:sz w:val="20"/>
        </w:rPr>
      </w:r>
    </w:p>
    <w:p>
      <w:pPr>
        <w:pStyle w:val="1"/>
        <w:jc w:val="both"/>
      </w:pPr>
      <w:r>
        <w:rPr>
          <w:sz w:val="20"/>
        </w:rPr>
        <w:t xml:space="preserve">    1. ___________________________________________________________________.</w:t>
      </w:r>
    </w:p>
    <w:p>
      <w:pPr>
        <w:pStyle w:val="1"/>
        <w:jc w:val="both"/>
      </w:pPr>
      <w:r>
        <w:rPr>
          <w:sz w:val="20"/>
        </w:rPr>
        <w:t xml:space="preserve">        (полное наименование заявителя - юридического лица; фамилия, имя,</w:t>
      </w:r>
    </w:p>
    <w:p>
      <w:pPr>
        <w:pStyle w:val="1"/>
        <w:jc w:val="both"/>
      </w:pPr>
      <w:r>
        <w:rPr>
          <w:sz w:val="20"/>
        </w:rPr>
        <w:t xml:space="preserve">              отчество заявителя - индивидуального предпринимателя</w:t>
      </w:r>
    </w:p>
    <w:p>
      <w:pPr>
        <w:pStyle w:val="1"/>
        <w:jc w:val="both"/>
      </w:pPr>
      <w:r>
        <w:rPr>
          <w:sz w:val="20"/>
        </w:rPr>
        <w:t xml:space="preserve">                              или физического лица)</w:t>
      </w:r>
    </w:p>
    <w:p>
      <w:pPr>
        <w:pStyle w:val="1"/>
        <w:jc w:val="both"/>
      </w:pPr>
      <w:r>
        <w:rPr>
          <w:sz w:val="20"/>
        </w:rPr>
        <w:t xml:space="preserve">    2. Номер записи в Едином государственном реестре юридических лиц (номер</w:t>
      </w:r>
    </w:p>
    <w:p>
      <w:pPr>
        <w:pStyle w:val="1"/>
        <w:jc w:val="both"/>
      </w:pPr>
      <w:r>
        <w:rPr>
          <w:sz w:val="20"/>
        </w:rPr>
        <w:t xml:space="preserve">записи  в Едином государственном реестре индивидуальных предпринимателей) и</w:t>
      </w:r>
    </w:p>
    <w:p>
      <w:pPr>
        <w:pStyle w:val="1"/>
        <w:jc w:val="both"/>
      </w:pPr>
      <w:r>
        <w:rPr>
          <w:sz w:val="20"/>
        </w:rPr>
        <w:t xml:space="preserve">дата ее внесения в реестр </w:t>
      </w:r>
      <w:hyperlink w:history="0" w:anchor="P2799" w:tooltip="&lt;1&gt; Для юридических лиц и индивидуальных предпринимателей.">
        <w:r>
          <w:rPr>
            <w:sz w:val="20"/>
            <w:color w:val="0000ff"/>
          </w:rPr>
          <w:t xml:space="preserve">&lt;1&gt;</w:t>
        </w:r>
      </w:hyperlink>
      <w:r>
        <w:rPr>
          <w:sz w:val="20"/>
        </w:rPr>
        <w:t xml:space="preserve"> 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3. Место   нахождения   заявителя,   в   том  числе  фактический  адрес</w:t>
      </w:r>
    </w:p>
    <w:p>
      <w:pPr>
        <w:pStyle w:val="1"/>
        <w:jc w:val="both"/>
      </w:pPr>
      <w:r>
        <w:rPr>
          <w:sz w:val="20"/>
        </w:rPr>
        <w:t xml:space="preserve">__________________________________________________________________________.</w:t>
      </w:r>
    </w:p>
    <w:p>
      <w:pPr>
        <w:pStyle w:val="1"/>
        <w:jc w:val="both"/>
      </w:pPr>
      <w:r>
        <w:rPr>
          <w:sz w:val="20"/>
        </w:rPr>
        <w:t xml:space="preserve">                              (индекс, адрес)</w:t>
      </w:r>
    </w:p>
    <w:p>
      <w:pPr>
        <w:pStyle w:val="1"/>
        <w:jc w:val="both"/>
      </w:pPr>
      <w:r>
        <w:rPr>
          <w:sz w:val="20"/>
        </w:rPr>
        <w:t xml:space="preserve">    Паспортные данные </w:t>
      </w:r>
      <w:hyperlink w:history="0" w:anchor="P2800" w:tooltip="&lt;2&gt; Для физических лиц.">
        <w:r>
          <w:rPr>
            <w:sz w:val="20"/>
            <w:color w:val="0000ff"/>
          </w:rPr>
          <w:t xml:space="preserve">&lt;2&gt;</w:t>
        </w:r>
      </w:hyperlink>
      <w:r>
        <w:rPr>
          <w:sz w:val="20"/>
        </w:rPr>
        <w:t xml:space="preserve">: серия _____________ номер ______________________</w:t>
      </w:r>
    </w:p>
    <w:p>
      <w:pPr>
        <w:pStyle w:val="1"/>
        <w:jc w:val="both"/>
      </w:pPr>
      <w:r>
        <w:rPr>
          <w:sz w:val="20"/>
        </w:rPr>
        <w:t xml:space="preserve">выдан (кем, когда) _______________________________________________________.</w:t>
      </w:r>
    </w:p>
    <w:p>
      <w:pPr>
        <w:pStyle w:val="1"/>
        <w:jc w:val="both"/>
      </w:pPr>
      <w:r>
        <w:rPr>
          <w:sz w:val="20"/>
        </w:rPr>
        <w:t xml:space="preserve">    3(1).  Страховой  номер  индивидуального лицевого счета заявителя  (для</w:t>
      </w:r>
    </w:p>
    <w:p>
      <w:pPr>
        <w:pStyle w:val="1"/>
        <w:jc w:val="both"/>
      </w:pPr>
      <w:r>
        <w:rPr>
          <w:sz w:val="20"/>
        </w:rPr>
        <w:t xml:space="preserve">физических лиц)) _________________________________________________________.</w:t>
      </w:r>
    </w:p>
    <w:p>
      <w:pPr>
        <w:pStyle w:val="1"/>
        <w:jc w:val="both"/>
      </w:pPr>
      <w:r>
        <w:rPr>
          <w:sz w:val="20"/>
        </w:rPr>
        <w:t xml:space="preserve">    4. В связи с 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(увеличение объема максимальной мощности, новое строительство</w:t>
      </w:r>
    </w:p>
    <w:p>
      <w:pPr>
        <w:pStyle w:val="1"/>
        <w:jc w:val="both"/>
      </w:pPr>
      <w:r>
        <w:rPr>
          <w:sz w:val="20"/>
        </w:rPr>
        <w:t xml:space="preserve">                          и др. - указать нужное)</w:t>
      </w:r>
    </w:p>
    <w:p>
      <w:pPr>
        <w:pStyle w:val="1"/>
        <w:jc w:val="both"/>
      </w:pPr>
      <w:r>
        <w:rPr>
          <w:sz w:val="20"/>
        </w:rPr>
        <w:t xml:space="preserve">просит осуществить технологическое присоединение 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энергопринимающих устройств и (или) объектов</w:t>
      </w:r>
    </w:p>
    <w:p>
      <w:pPr>
        <w:pStyle w:val="1"/>
        <w:jc w:val="both"/>
      </w:pPr>
      <w:r>
        <w:rPr>
          <w:sz w:val="20"/>
        </w:rPr>
        <w:t xml:space="preserve">                     микрогенерации для присоединения)</w:t>
      </w:r>
    </w:p>
    <w:p>
      <w:pPr>
        <w:pStyle w:val="1"/>
        <w:jc w:val="both"/>
      </w:pPr>
      <w:r>
        <w:rPr>
          <w:sz w:val="20"/>
        </w:rPr>
        <w:t xml:space="preserve">расположенных 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(место нахождения энергопринимающих устройств и (или) объектов</w:t>
      </w:r>
    </w:p>
    <w:p>
      <w:pPr>
        <w:pStyle w:val="1"/>
        <w:jc w:val="both"/>
      </w:pPr>
      <w:r>
        <w:rPr>
          <w:sz w:val="20"/>
        </w:rPr>
        <w:t xml:space="preserve">                              микрогенерации)</w:t>
      </w:r>
    </w:p>
    <w:bookmarkStart w:id="2719" w:name="P2719"/>
    <w:bookmarkEnd w:id="2719"/>
    <w:p>
      <w:pPr>
        <w:pStyle w:val="1"/>
        <w:jc w:val="both"/>
      </w:pPr>
      <w:r>
        <w:rPr>
          <w:sz w:val="20"/>
        </w:rPr>
        <w:t xml:space="preserve">    5.    Максимальная    мощность    </w:t>
      </w:r>
      <w:hyperlink w:history="0" w:anchor="P2801" w:tooltip="&lt;3&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е. в абзаце первом и подпункте &quot;а&quot; пункта 5 настоящего приложения величина мощности указывается одинаковая).">
        <w:r>
          <w:rPr>
            <w:sz w:val="20"/>
            <w:color w:val="0000ff"/>
          </w:rPr>
          <w:t xml:space="preserve">&lt;3&gt;</w:t>
        </w:r>
      </w:hyperlink>
      <w:r>
        <w:rPr>
          <w:sz w:val="20"/>
        </w:rPr>
        <w:t xml:space="preserve">    энергопринимающих    устройств</w:t>
      </w:r>
    </w:p>
    <w:p>
      <w:pPr>
        <w:pStyle w:val="1"/>
        <w:jc w:val="both"/>
      </w:pPr>
      <w:r>
        <w:rPr>
          <w:sz w:val="20"/>
        </w:rPr>
        <w:t xml:space="preserve">(присоединяемых  и ранее присоединенных) составляет ____ кВт при напряжении</w:t>
      </w:r>
    </w:p>
    <w:p>
      <w:pPr>
        <w:pStyle w:val="1"/>
        <w:jc w:val="both"/>
      </w:pPr>
      <w:hyperlink w:history="0" w:anchor="P2802" w:tooltip="&lt;4&gt; Классы напряжения до 1000 В.">
        <w:r>
          <w:rPr>
            <w:sz w:val="20"/>
            <w:color w:val="0000ff"/>
          </w:rPr>
          <w:t xml:space="preserve">&lt;4&gt;</w:t>
        </w:r>
      </w:hyperlink>
      <w:r>
        <w:rPr>
          <w:sz w:val="20"/>
        </w:rPr>
        <w:t xml:space="preserve"> _______ кВ, в том числе:</w:t>
      </w:r>
    </w:p>
    <w:bookmarkStart w:id="2722" w:name="P2722"/>
    <w:bookmarkEnd w:id="2722"/>
    <w:p>
      <w:pPr>
        <w:pStyle w:val="1"/>
        <w:jc w:val="both"/>
      </w:pPr>
      <w:r>
        <w:rPr>
          <w:sz w:val="20"/>
        </w:rPr>
        <w:t xml:space="preserve">    а)  максимальная  мощность  присоединяемых  энергопринимающих устройств</w:t>
      </w:r>
    </w:p>
    <w:p>
      <w:pPr>
        <w:pStyle w:val="1"/>
        <w:jc w:val="both"/>
      </w:pPr>
      <w:r>
        <w:rPr>
          <w:sz w:val="20"/>
        </w:rPr>
        <w:t xml:space="preserve">составляет _______ кВт при напряжении </w:t>
      </w:r>
      <w:hyperlink w:history="0" w:anchor="P2802" w:tooltip="&lt;4&gt; Классы напряжения до 1000 В.">
        <w:r>
          <w:rPr>
            <w:sz w:val="20"/>
            <w:color w:val="0000ff"/>
          </w:rPr>
          <w:t xml:space="preserve">&lt;4&gt;</w:t>
        </w:r>
      </w:hyperlink>
      <w:r>
        <w:rPr>
          <w:sz w:val="20"/>
        </w:rPr>
        <w:t xml:space="preserve"> ________ кВ;</w:t>
      </w:r>
    </w:p>
    <w:p>
      <w:pPr>
        <w:pStyle w:val="1"/>
        <w:jc w:val="both"/>
      </w:pPr>
      <w:r>
        <w:rPr>
          <w:sz w:val="20"/>
        </w:rPr>
        <w:t xml:space="preserve">    б)   максимальная   мощность   ранее   присоединенных  в  данной  точке</w:t>
      </w:r>
    </w:p>
    <w:p>
      <w:pPr>
        <w:pStyle w:val="1"/>
        <w:jc w:val="both"/>
      </w:pPr>
      <w:r>
        <w:rPr>
          <w:sz w:val="20"/>
        </w:rPr>
        <w:t xml:space="preserve">присоединения  энергопринимающих  устройств  составляет  ________  кВт  при</w:t>
      </w:r>
    </w:p>
    <w:p>
      <w:pPr>
        <w:pStyle w:val="1"/>
        <w:jc w:val="both"/>
      </w:pPr>
      <w:r>
        <w:rPr>
          <w:sz w:val="20"/>
        </w:rPr>
        <w:t xml:space="preserve">напряжении </w:t>
      </w:r>
      <w:hyperlink w:history="0" w:anchor="P2802" w:tooltip="&lt;4&gt; Классы напряжения до 1000 В.">
        <w:r>
          <w:rPr>
            <w:sz w:val="20"/>
            <w:color w:val="0000ff"/>
          </w:rPr>
          <w:t xml:space="preserve">&lt;4&gt;</w:t>
        </w:r>
      </w:hyperlink>
      <w:r>
        <w:rPr>
          <w:sz w:val="20"/>
        </w:rPr>
        <w:t xml:space="preserve"> ________ кВ.</w:t>
      </w:r>
    </w:p>
    <w:bookmarkStart w:id="2727" w:name="P2727"/>
    <w:bookmarkEnd w:id="2727"/>
    <w:p>
      <w:pPr>
        <w:pStyle w:val="1"/>
        <w:jc w:val="both"/>
      </w:pPr>
      <w:r>
        <w:rPr>
          <w:sz w:val="20"/>
        </w:rPr>
        <w:t xml:space="preserve">    6.  Максимальная мощность </w:t>
      </w:r>
      <w:hyperlink w:history="0" w:anchor="P2803" w:tooltip="&lt;5&gt; Максимальная мощность указывается равной максимальной мощности присоединяемых объектов микрогенерации в случае отсутствия максимальной мощности ранее присоединенных объектов микрогенерации (т.е. в абзаце первом и подпункте &quot;а&quot; пункта 6 настоящего приложения величина мощности указывается одинаковая).">
        <w:r>
          <w:rPr>
            <w:sz w:val="20"/>
            <w:color w:val="0000ff"/>
          </w:rPr>
          <w:t xml:space="preserve">&lt;5&gt;</w:t>
        </w:r>
      </w:hyperlink>
      <w:r>
        <w:rPr>
          <w:sz w:val="20"/>
        </w:rPr>
        <w:t xml:space="preserve"> объектов микрогенерации (присоединяемых и</w:t>
      </w:r>
    </w:p>
    <w:p>
      <w:pPr>
        <w:pStyle w:val="1"/>
        <w:jc w:val="both"/>
      </w:pPr>
      <w:r>
        <w:rPr>
          <w:sz w:val="20"/>
        </w:rPr>
        <w:t xml:space="preserve">ранее присоединенных) составляет ______ кВт при напряжении </w:t>
      </w:r>
      <w:hyperlink w:history="0" w:anchor="P2802" w:tooltip="&lt;4&gt; Классы напряжения до 1000 В.">
        <w:r>
          <w:rPr>
            <w:sz w:val="20"/>
            <w:color w:val="0000ff"/>
          </w:rPr>
          <w:t xml:space="preserve">&lt;4&gt;</w:t>
        </w:r>
      </w:hyperlink>
      <w:r>
        <w:rPr>
          <w:sz w:val="20"/>
        </w:rPr>
        <w:t xml:space="preserve"> ________ кВ,</w:t>
      </w:r>
    </w:p>
    <w:p>
      <w:pPr>
        <w:pStyle w:val="1"/>
        <w:jc w:val="both"/>
      </w:pPr>
      <w:r>
        <w:rPr>
          <w:sz w:val="20"/>
        </w:rPr>
        <w:t xml:space="preserve">в том числе:</w:t>
      </w:r>
    </w:p>
    <w:bookmarkStart w:id="2730" w:name="P2730"/>
    <w:bookmarkEnd w:id="2730"/>
    <w:p>
      <w:pPr>
        <w:pStyle w:val="1"/>
        <w:jc w:val="both"/>
      </w:pPr>
      <w:r>
        <w:rPr>
          <w:sz w:val="20"/>
        </w:rPr>
        <w:t xml:space="preserve">    а)   максимальная   мощность   присоединяемых  объектов  микрогенерации</w:t>
      </w:r>
    </w:p>
    <w:p>
      <w:pPr>
        <w:pStyle w:val="1"/>
        <w:jc w:val="both"/>
      </w:pPr>
      <w:r>
        <w:rPr>
          <w:sz w:val="20"/>
        </w:rPr>
        <w:t xml:space="preserve">составляет _______ кВт при напряжении </w:t>
      </w:r>
      <w:hyperlink w:history="0" w:anchor="P2802" w:tooltip="&lt;4&gt; Классы напряжения до 1000 В.">
        <w:r>
          <w:rPr>
            <w:sz w:val="20"/>
            <w:color w:val="0000ff"/>
          </w:rPr>
          <w:t xml:space="preserve">&lt;4&gt;</w:t>
        </w:r>
      </w:hyperlink>
      <w:r>
        <w:rPr>
          <w:sz w:val="20"/>
        </w:rPr>
        <w:t xml:space="preserve"> _______ кВ;</w:t>
      </w:r>
    </w:p>
    <w:p>
      <w:pPr>
        <w:pStyle w:val="1"/>
        <w:jc w:val="both"/>
      </w:pPr>
      <w:r>
        <w:rPr>
          <w:sz w:val="20"/>
        </w:rPr>
        <w:t xml:space="preserve">    б)   максимальная   мощность   ранее   присоединенных  в  данной  точке</w:t>
      </w:r>
    </w:p>
    <w:p>
      <w:pPr>
        <w:pStyle w:val="1"/>
        <w:jc w:val="both"/>
      </w:pPr>
      <w:r>
        <w:rPr>
          <w:sz w:val="20"/>
        </w:rPr>
        <w:t xml:space="preserve">присоединения  объектов микрогенерации составляет ______ кВт при напряжении</w:t>
      </w:r>
    </w:p>
    <w:p>
      <w:pPr>
        <w:pStyle w:val="1"/>
        <w:jc w:val="both"/>
      </w:pPr>
      <w:hyperlink w:history="0" w:anchor="P2802" w:tooltip="&lt;4&gt; Классы напряжения до 1000 В.">
        <w:r>
          <w:rPr>
            <w:sz w:val="20"/>
            <w:color w:val="0000ff"/>
          </w:rPr>
          <w:t xml:space="preserve">&lt;4&gt;</w:t>
        </w:r>
      </w:hyperlink>
      <w:r>
        <w:rPr>
          <w:sz w:val="20"/>
        </w:rPr>
        <w:t xml:space="preserve"> ________ кВ.</w:t>
      </w:r>
    </w:p>
    <w:p>
      <w:pPr>
        <w:pStyle w:val="1"/>
        <w:jc w:val="both"/>
      </w:pPr>
      <w:r>
        <w:rPr>
          <w:sz w:val="20"/>
        </w:rPr>
        <w:t xml:space="preserve">    7. Количество и мощность генераторов _________________________________.</w:t>
      </w:r>
    </w:p>
    <w:p>
      <w:pPr>
        <w:pStyle w:val="1"/>
        <w:jc w:val="both"/>
      </w:pPr>
      <w:r>
        <w:rPr>
          <w:sz w:val="20"/>
        </w:rPr>
        <w:t xml:space="preserve">    8.  Заявляемая  категория  надежности энергопринимающих устройств - III</w:t>
      </w:r>
    </w:p>
    <w:p>
      <w:pPr>
        <w:pStyle w:val="1"/>
        <w:jc w:val="both"/>
      </w:pPr>
      <w:r>
        <w:rPr>
          <w:sz w:val="20"/>
        </w:rPr>
        <w:t xml:space="preserve">(по одному источнику электроснабжения энергопринимающих устройств).</w:t>
      </w:r>
    </w:p>
    <w:p>
      <w:pPr>
        <w:pStyle w:val="1"/>
        <w:jc w:val="both"/>
      </w:pPr>
      <w:r>
        <w:rPr>
          <w:sz w:val="20"/>
        </w:rPr>
        <w:t xml:space="preserve">    9.   Характер   (график)   нагрузки   (вид  экономической  деятельности</w:t>
      </w:r>
    </w:p>
    <w:p>
      <w:pPr>
        <w:pStyle w:val="1"/>
        <w:jc w:val="both"/>
      </w:pPr>
      <w:r>
        <w:rPr>
          <w:sz w:val="20"/>
        </w:rPr>
        <w:t xml:space="preserve">заявителя) _______________________________________________________________.</w:t>
      </w:r>
    </w:p>
    <w:p>
      <w:pPr>
        <w:pStyle w:val="1"/>
        <w:jc w:val="both"/>
      </w:pPr>
      <w:r>
        <w:rPr>
          <w:sz w:val="20"/>
        </w:rPr>
        <w:t xml:space="preserve">    10.  Возможная  скорость  набора  или  снижения  нагрузки  для объектов</w:t>
      </w:r>
    </w:p>
    <w:p>
      <w:pPr>
        <w:pStyle w:val="1"/>
        <w:jc w:val="both"/>
      </w:pPr>
      <w:r>
        <w:rPr>
          <w:sz w:val="20"/>
        </w:rPr>
        <w:t xml:space="preserve">микрогенерации    в    соответствии    с    паспортными    характеристиками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11.  Сроки  проектирования и поэтапного введения в эксплуатацию объекта</w:t>
      </w:r>
    </w:p>
    <w:p>
      <w:pPr>
        <w:pStyle w:val="1"/>
        <w:jc w:val="both"/>
      </w:pPr>
      <w:r>
        <w:rPr>
          <w:sz w:val="20"/>
        </w:rPr>
        <w:t xml:space="preserve">(в  том  числе по этапам и очередям), планируемого поэтапного распределения</w:t>
      </w:r>
    </w:p>
    <w:p>
      <w:pPr>
        <w:pStyle w:val="1"/>
        <w:jc w:val="both"/>
      </w:pPr>
      <w:r>
        <w:rPr>
          <w:sz w:val="20"/>
        </w:rPr>
        <w:t xml:space="preserve">мощности: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70"/>
        <w:gridCol w:w="2325"/>
        <w:gridCol w:w="1955"/>
        <w:gridCol w:w="1527"/>
        <w:gridCol w:w="1213"/>
        <w:gridCol w:w="1155"/>
      </w:tblGrid>
      <w:tr>
        <w:tc>
          <w:tcPr>
            <w:tcW w:w="870" w:type="dxa"/>
          </w:tcPr>
          <w:p>
            <w:pPr>
              <w:pStyle w:val="0"/>
              <w:jc w:val="center"/>
            </w:pPr>
            <w:r>
              <w:rPr>
                <w:sz w:val="20"/>
              </w:rPr>
              <w:t xml:space="preserve">Этап (очередь) строительства</w:t>
            </w:r>
          </w:p>
        </w:tc>
        <w:tc>
          <w:tcPr>
            <w:tcW w:w="2325" w:type="dxa"/>
          </w:tcPr>
          <w:p>
            <w:pPr>
              <w:pStyle w:val="0"/>
              <w:jc w:val="center"/>
            </w:pPr>
            <w:r>
              <w:rPr>
                <w:sz w:val="20"/>
              </w:rPr>
              <w:t xml:space="preserve">Планируемый срок проектирования энергопринимающих устройств и (или) объектов микрогенерации (месяц, год)</w:t>
            </w:r>
          </w:p>
        </w:tc>
        <w:tc>
          <w:tcPr>
            <w:tcW w:w="1955" w:type="dxa"/>
          </w:tcPr>
          <w:p>
            <w:pPr>
              <w:pStyle w:val="0"/>
              <w:jc w:val="center"/>
            </w:pPr>
            <w:r>
              <w:rPr>
                <w:sz w:val="20"/>
              </w:rPr>
              <w:t xml:space="preserve">Планируемый срок введения энергопринимающих устройств и (или) объектов микрогенерации в эксплуатацию (месяц, год)</w:t>
            </w:r>
          </w:p>
        </w:tc>
        <w:tc>
          <w:tcPr>
            <w:tcW w:w="1527" w:type="dxa"/>
          </w:tcPr>
          <w:p>
            <w:pPr>
              <w:pStyle w:val="0"/>
              <w:jc w:val="center"/>
            </w:pPr>
            <w:r>
              <w:rPr>
                <w:sz w:val="20"/>
              </w:rPr>
              <w:t xml:space="preserve">Максимальная мощность энергопринимающих устройств (кВт)</w:t>
            </w:r>
          </w:p>
        </w:tc>
        <w:tc>
          <w:tcPr>
            <w:tcW w:w="1213" w:type="dxa"/>
          </w:tcPr>
          <w:p>
            <w:pPr>
              <w:pStyle w:val="0"/>
              <w:jc w:val="center"/>
            </w:pPr>
            <w:r>
              <w:rPr>
                <w:sz w:val="20"/>
              </w:rPr>
              <w:t xml:space="preserve">Категория надежности энергопринимающих устройств</w:t>
            </w:r>
          </w:p>
        </w:tc>
        <w:tc>
          <w:tcPr>
            <w:tcW w:w="1155" w:type="dxa"/>
          </w:tcPr>
          <w:p>
            <w:pPr>
              <w:pStyle w:val="0"/>
              <w:jc w:val="center"/>
            </w:pPr>
            <w:r>
              <w:rPr>
                <w:sz w:val="20"/>
              </w:rPr>
              <w:t xml:space="preserve">Максимальная мощность объектов микрогенерации (кВт)</w:t>
            </w:r>
          </w:p>
        </w:tc>
      </w:tr>
      <w:tr>
        <w:tc>
          <w:tcPr>
            <w:tcW w:w="870" w:type="dxa"/>
          </w:tcPr>
          <w:p>
            <w:pPr>
              <w:pStyle w:val="0"/>
            </w:pPr>
            <w:r>
              <w:rPr>
                <w:sz w:val="20"/>
              </w:rPr>
            </w:r>
          </w:p>
        </w:tc>
        <w:tc>
          <w:tcPr>
            <w:tcW w:w="2325" w:type="dxa"/>
          </w:tcPr>
          <w:p>
            <w:pPr>
              <w:pStyle w:val="0"/>
            </w:pPr>
            <w:r>
              <w:rPr>
                <w:sz w:val="20"/>
              </w:rPr>
            </w:r>
          </w:p>
        </w:tc>
        <w:tc>
          <w:tcPr>
            <w:tcW w:w="1955" w:type="dxa"/>
          </w:tcPr>
          <w:p>
            <w:pPr>
              <w:pStyle w:val="0"/>
            </w:pPr>
            <w:r>
              <w:rPr>
                <w:sz w:val="20"/>
              </w:rPr>
            </w:r>
          </w:p>
        </w:tc>
        <w:tc>
          <w:tcPr>
            <w:tcW w:w="1527" w:type="dxa"/>
          </w:tcPr>
          <w:p>
            <w:pPr>
              <w:pStyle w:val="0"/>
            </w:pPr>
            <w:r>
              <w:rPr>
                <w:sz w:val="20"/>
              </w:rPr>
            </w:r>
          </w:p>
        </w:tc>
        <w:tc>
          <w:tcPr>
            <w:tcW w:w="1213" w:type="dxa"/>
          </w:tcPr>
          <w:p>
            <w:pPr>
              <w:pStyle w:val="0"/>
            </w:pPr>
            <w:r>
              <w:rPr>
                <w:sz w:val="20"/>
              </w:rPr>
            </w:r>
          </w:p>
        </w:tc>
        <w:tc>
          <w:tcPr>
            <w:tcW w:w="1155" w:type="dxa"/>
          </w:tcPr>
          <w:p>
            <w:pPr>
              <w:pStyle w:val="0"/>
            </w:pPr>
            <w:r>
              <w:rPr>
                <w:sz w:val="20"/>
              </w:rPr>
            </w:r>
          </w:p>
        </w:tc>
      </w:tr>
      <w:tr>
        <w:tc>
          <w:tcPr>
            <w:tcW w:w="870" w:type="dxa"/>
          </w:tcPr>
          <w:p>
            <w:pPr>
              <w:pStyle w:val="0"/>
            </w:pPr>
            <w:r>
              <w:rPr>
                <w:sz w:val="20"/>
              </w:rPr>
            </w:r>
          </w:p>
        </w:tc>
        <w:tc>
          <w:tcPr>
            <w:tcW w:w="2325" w:type="dxa"/>
          </w:tcPr>
          <w:p>
            <w:pPr>
              <w:pStyle w:val="0"/>
            </w:pPr>
            <w:r>
              <w:rPr>
                <w:sz w:val="20"/>
              </w:rPr>
            </w:r>
          </w:p>
        </w:tc>
        <w:tc>
          <w:tcPr>
            <w:tcW w:w="1955" w:type="dxa"/>
          </w:tcPr>
          <w:p>
            <w:pPr>
              <w:pStyle w:val="0"/>
            </w:pPr>
            <w:r>
              <w:rPr>
                <w:sz w:val="20"/>
              </w:rPr>
            </w:r>
          </w:p>
        </w:tc>
        <w:tc>
          <w:tcPr>
            <w:tcW w:w="1527" w:type="dxa"/>
          </w:tcPr>
          <w:p>
            <w:pPr>
              <w:pStyle w:val="0"/>
            </w:pPr>
            <w:r>
              <w:rPr>
                <w:sz w:val="20"/>
              </w:rPr>
            </w:r>
          </w:p>
        </w:tc>
        <w:tc>
          <w:tcPr>
            <w:tcW w:w="1213" w:type="dxa"/>
          </w:tcPr>
          <w:p>
            <w:pPr>
              <w:pStyle w:val="0"/>
            </w:pPr>
            <w:r>
              <w:rPr>
                <w:sz w:val="20"/>
              </w:rPr>
            </w:r>
          </w:p>
        </w:tc>
        <w:tc>
          <w:tcPr>
            <w:tcW w:w="1155" w:type="dxa"/>
          </w:tcPr>
          <w:p>
            <w:pPr>
              <w:pStyle w:val="0"/>
            </w:pPr>
            <w:r>
              <w:rPr>
                <w:sz w:val="20"/>
              </w:rPr>
            </w:r>
          </w:p>
        </w:tc>
      </w:tr>
      <w:tr>
        <w:tc>
          <w:tcPr>
            <w:tcW w:w="870" w:type="dxa"/>
          </w:tcPr>
          <w:p>
            <w:pPr>
              <w:pStyle w:val="0"/>
            </w:pPr>
            <w:r>
              <w:rPr>
                <w:sz w:val="20"/>
              </w:rPr>
            </w:r>
          </w:p>
        </w:tc>
        <w:tc>
          <w:tcPr>
            <w:tcW w:w="2325" w:type="dxa"/>
          </w:tcPr>
          <w:p>
            <w:pPr>
              <w:pStyle w:val="0"/>
            </w:pPr>
            <w:r>
              <w:rPr>
                <w:sz w:val="20"/>
              </w:rPr>
            </w:r>
          </w:p>
        </w:tc>
        <w:tc>
          <w:tcPr>
            <w:tcW w:w="1955" w:type="dxa"/>
          </w:tcPr>
          <w:p>
            <w:pPr>
              <w:pStyle w:val="0"/>
            </w:pPr>
            <w:r>
              <w:rPr>
                <w:sz w:val="20"/>
              </w:rPr>
            </w:r>
          </w:p>
        </w:tc>
        <w:tc>
          <w:tcPr>
            <w:tcW w:w="1527" w:type="dxa"/>
          </w:tcPr>
          <w:p>
            <w:pPr>
              <w:pStyle w:val="0"/>
            </w:pPr>
            <w:r>
              <w:rPr>
                <w:sz w:val="20"/>
              </w:rPr>
            </w:r>
          </w:p>
        </w:tc>
        <w:tc>
          <w:tcPr>
            <w:tcW w:w="1213" w:type="dxa"/>
          </w:tcPr>
          <w:p>
            <w:pPr>
              <w:pStyle w:val="0"/>
            </w:pPr>
            <w:r>
              <w:rPr>
                <w:sz w:val="20"/>
              </w:rPr>
            </w:r>
          </w:p>
        </w:tc>
        <w:tc>
          <w:tcPr>
            <w:tcW w:w="1155" w:type="dxa"/>
          </w:tcPr>
          <w:p>
            <w:pPr>
              <w:pStyle w:val="0"/>
            </w:pPr>
            <w:r>
              <w:rPr>
                <w:sz w:val="20"/>
              </w:rPr>
            </w:r>
          </w:p>
        </w:tc>
      </w:tr>
    </w:tbl>
    <w:p>
      <w:pPr>
        <w:pStyle w:val="0"/>
        <w:jc w:val="both"/>
      </w:pPr>
      <w:r>
        <w:rPr>
          <w:sz w:val="20"/>
        </w:rPr>
      </w:r>
    </w:p>
    <w:p>
      <w:pPr>
        <w:pStyle w:val="1"/>
        <w:jc w:val="both"/>
      </w:pPr>
      <w:r>
        <w:rPr>
          <w:sz w:val="20"/>
        </w:rPr>
        <w:t xml:space="preserve">    12.  Гарантирующий  поставщик  (энергосбытовая  организация), с которым</w:t>
      </w:r>
    </w:p>
    <w:p>
      <w:pPr>
        <w:pStyle w:val="1"/>
        <w:jc w:val="both"/>
      </w:pPr>
      <w:r>
        <w:rPr>
          <w:sz w:val="20"/>
        </w:rPr>
        <w:t xml:space="preserve">планируется     заключение    договора    энергоснабжения    (купли-продажи</w:t>
      </w:r>
    </w:p>
    <w:p>
      <w:pPr>
        <w:pStyle w:val="1"/>
        <w:jc w:val="both"/>
      </w:pPr>
      <w:r>
        <w:rPr>
          <w:sz w:val="20"/>
        </w:rPr>
        <w:t xml:space="preserve">электрической энергии (мощности), ________________________________________.</w:t>
      </w:r>
    </w:p>
    <w:p>
      <w:pPr>
        <w:pStyle w:val="1"/>
        <w:jc w:val="both"/>
      </w:pPr>
      <w:r>
        <w:rPr>
          <w:sz w:val="20"/>
        </w:rPr>
      </w:r>
    </w:p>
    <w:p>
      <w:pPr>
        <w:pStyle w:val="1"/>
        <w:jc w:val="both"/>
      </w:pPr>
      <w:r>
        <w:rPr>
          <w:sz w:val="20"/>
        </w:rPr>
        <w:t xml:space="preserve">    Приложения:</w:t>
      </w:r>
    </w:p>
    <w:p>
      <w:pPr>
        <w:pStyle w:val="1"/>
        <w:jc w:val="both"/>
      </w:pPr>
      <w:r>
        <w:rPr>
          <w:sz w:val="20"/>
        </w:rPr>
        <w:t xml:space="preserve">                   (указать перечень прилагаемых документов)</w:t>
      </w:r>
    </w:p>
    <w:p>
      <w:pPr>
        <w:pStyle w:val="1"/>
        <w:jc w:val="both"/>
      </w:pPr>
      <w:r>
        <w:rPr>
          <w:sz w:val="20"/>
        </w:rPr>
        <w:t xml:space="preserve">    1. ____________________________________________________________________</w:t>
      </w:r>
    </w:p>
    <w:p>
      <w:pPr>
        <w:pStyle w:val="1"/>
        <w:jc w:val="both"/>
      </w:pPr>
      <w:r>
        <w:rPr>
          <w:sz w:val="20"/>
        </w:rPr>
        <w:t xml:space="preserve">    2. ____________________________________________________________________</w:t>
      </w:r>
    </w:p>
    <w:p>
      <w:pPr>
        <w:pStyle w:val="1"/>
        <w:jc w:val="both"/>
      </w:pPr>
      <w:r>
        <w:rPr>
          <w:sz w:val="20"/>
        </w:rPr>
        <w:t xml:space="preserve">    3. ____________________________________________________________________</w:t>
      </w:r>
    </w:p>
    <w:p>
      <w:pPr>
        <w:pStyle w:val="1"/>
        <w:jc w:val="both"/>
      </w:pPr>
      <w:r>
        <w:rPr>
          <w:sz w:val="20"/>
        </w:rPr>
        <w:t xml:space="preserve">    4. ____________________________________________________________________</w:t>
      </w:r>
    </w:p>
    <w:p>
      <w:pPr>
        <w:pStyle w:val="0"/>
        <w:jc w:val="both"/>
      </w:pPr>
      <w:r>
        <w:rPr>
          <w:sz w:val="20"/>
        </w:rPr>
      </w:r>
    </w:p>
    <w:tbl>
      <w:tblPr>
        <w:tblInd w:w="0" w:type="dxa"/>
        <w:tblLayout w:type="fixed"/>
        <w:tblCellMar>
          <w:top w:w="102" w:type="dxa"/>
          <w:left w:w="62" w:type="dxa"/>
          <w:bottom w:w="102" w:type="dxa"/>
          <w:right w:w="62" w:type="dxa"/>
        </w:tblCellMar>
      </w:tblPr>
      <w:tblGrid>
        <w:gridCol w:w="2665"/>
        <w:gridCol w:w="340"/>
        <w:gridCol w:w="2551"/>
      </w:tblGrid>
      <w:tr>
        <w:tc>
          <w:tcPr>
            <w:gridSpan w:val="3"/>
            <w:tcW w:w="5556" w:type="dxa"/>
            <w:vAlign w:val="center"/>
            <w:tcBorders>
              <w:top w:val="nil"/>
              <w:left w:val="nil"/>
              <w:bottom w:val="nil"/>
              <w:right w:val="nil"/>
            </w:tcBorders>
          </w:tcPr>
          <w:p>
            <w:pPr>
              <w:pStyle w:val="0"/>
              <w:jc w:val="center"/>
            </w:pPr>
            <w:r>
              <w:rPr>
                <w:sz w:val="20"/>
              </w:rPr>
              <w:t xml:space="preserve">Заявитель</w:t>
            </w:r>
          </w:p>
        </w:tc>
      </w:tr>
      <w:tr>
        <w:tc>
          <w:tcPr>
            <w:gridSpan w:val="3"/>
            <w:tcW w:w="5556" w:type="dxa"/>
            <w:tcBorders>
              <w:top w:val="nil"/>
              <w:left w:val="nil"/>
              <w:bottom w:val="single" w:sz="4"/>
              <w:right w:val="nil"/>
            </w:tcBorders>
          </w:tcPr>
          <w:p>
            <w:pPr>
              <w:pStyle w:val="0"/>
            </w:pPr>
            <w:r>
              <w:rPr>
                <w:sz w:val="20"/>
              </w:rPr>
            </w:r>
          </w:p>
        </w:tc>
      </w:tr>
      <w:tr>
        <w:tc>
          <w:tcPr>
            <w:gridSpan w:val="3"/>
            <w:tcW w:w="5556" w:type="dxa"/>
            <w:vAlign w:val="center"/>
            <w:tcBorders>
              <w:top w:val="single" w:sz="4"/>
              <w:left w:val="nil"/>
              <w:bottom w:val="nil"/>
              <w:right w:val="nil"/>
            </w:tcBorders>
          </w:tcPr>
          <w:p>
            <w:pPr>
              <w:pStyle w:val="0"/>
              <w:jc w:val="center"/>
            </w:pPr>
            <w:r>
              <w:rPr>
                <w:sz w:val="20"/>
              </w:rPr>
              <w:t xml:space="preserve">(фамилия, имя, отчество)</w:t>
            </w:r>
          </w:p>
        </w:tc>
      </w:tr>
      <w:tr>
        <w:tc>
          <w:tcPr>
            <w:gridSpan w:val="3"/>
            <w:tcW w:w="5556" w:type="dxa"/>
            <w:tcBorders>
              <w:top w:val="nil"/>
              <w:left w:val="nil"/>
              <w:bottom w:val="single" w:sz="4"/>
              <w:right w:val="nil"/>
            </w:tcBorders>
          </w:tcPr>
          <w:p>
            <w:pPr>
              <w:pStyle w:val="0"/>
            </w:pPr>
            <w:r>
              <w:rPr>
                <w:sz w:val="20"/>
              </w:rPr>
            </w:r>
          </w:p>
        </w:tc>
      </w:tr>
      <w:tr>
        <w:tc>
          <w:tcPr>
            <w:gridSpan w:val="3"/>
            <w:tcW w:w="5556" w:type="dxa"/>
            <w:vAlign w:val="center"/>
            <w:tcBorders>
              <w:top w:val="single" w:sz="4"/>
              <w:left w:val="nil"/>
              <w:bottom w:val="nil"/>
              <w:right w:val="nil"/>
            </w:tcBorders>
          </w:tcPr>
          <w:p>
            <w:pPr>
              <w:pStyle w:val="0"/>
              <w:jc w:val="center"/>
            </w:pPr>
            <w:r>
              <w:rPr>
                <w:sz w:val="20"/>
              </w:rPr>
              <w:t xml:space="preserve">(выделенный оператором подвижной радиотелефонной связи абонентский номер и адрес электронной почты заявителя)</w:t>
            </w:r>
          </w:p>
        </w:tc>
      </w:tr>
      <w:tr>
        <w:tc>
          <w:tcPr>
            <w:tcW w:w="2665"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551" w:type="dxa"/>
            <w:tcBorders>
              <w:top w:val="nil"/>
              <w:left w:val="nil"/>
              <w:bottom w:val="single" w:sz="4"/>
              <w:right w:val="nil"/>
            </w:tcBorders>
          </w:tcPr>
          <w:p>
            <w:pPr>
              <w:pStyle w:val="0"/>
            </w:pPr>
            <w:r>
              <w:rPr>
                <w:sz w:val="20"/>
              </w:rPr>
            </w:r>
          </w:p>
        </w:tc>
      </w:tr>
      <w:tr>
        <w:tc>
          <w:tcPr>
            <w:tcW w:w="2665" w:type="dxa"/>
            <w:vAlign w:val="center"/>
            <w:tcBorders>
              <w:top w:val="single" w:sz="4"/>
              <w:left w:val="nil"/>
              <w:bottom w:val="nil"/>
              <w:right w:val="nil"/>
            </w:tcBorders>
          </w:tcPr>
          <w:p>
            <w:pPr>
              <w:pStyle w:val="0"/>
              <w:jc w:val="center"/>
            </w:pPr>
            <w:r>
              <w:rPr>
                <w:sz w:val="20"/>
              </w:rPr>
              <w:t xml:space="preserve">(должность)</w:t>
            </w:r>
          </w:p>
        </w:tc>
        <w:tc>
          <w:tcPr>
            <w:tcW w:w="340" w:type="dxa"/>
            <w:tcBorders>
              <w:top w:val="nil"/>
              <w:left w:val="nil"/>
              <w:bottom w:val="nil"/>
              <w:right w:val="nil"/>
            </w:tcBorders>
          </w:tcPr>
          <w:p>
            <w:pPr>
              <w:pStyle w:val="0"/>
            </w:pPr>
            <w:r>
              <w:rPr>
                <w:sz w:val="20"/>
              </w:rPr>
            </w:r>
          </w:p>
        </w:tc>
        <w:tc>
          <w:tcPr>
            <w:tcW w:w="2551" w:type="dxa"/>
            <w:tcBorders>
              <w:top w:val="single" w:sz="4"/>
              <w:left w:val="nil"/>
              <w:bottom w:val="nil"/>
              <w:right w:val="nil"/>
            </w:tcBorders>
          </w:tcPr>
          <w:p>
            <w:pPr>
              <w:pStyle w:val="0"/>
              <w:jc w:val="center"/>
            </w:pPr>
            <w:r>
              <w:rPr>
                <w:sz w:val="20"/>
              </w:rPr>
              <w:t xml:space="preserve">(подпись)</w:t>
            </w:r>
          </w:p>
        </w:tc>
      </w:tr>
      <w:tr>
        <w:tc>
          <w:tcPr>
            <w:gridSpan w:val="3"/>
            <w:tcW w:w="5556" w:type="dxa"/>
            <w:vAlign w:val="center"/>
            <w:tcBorders>
              <w:top w:val="nil"/>
              <w:left w:val="nil"/>
              <w:bottom w:val="nil"/>
              <w:right w:val="nil"/>
            </w:tcBorders>
          </w:tcPr>
          <w:p>
            <w:pPr>
              <w:pStyle w:val="0"/>
            </w:pPr>
            <w:r>
              <w:rPr>
                <w:sz w:val="20"/>
              </w:rPr>
              <w:t xml:space="preserve">"__" __________ 20__ г.</w:t>
            </w:r>
          </w:p>
        </w:tc>
      </w:tr>
      <w:tr>
        <w:tc>
          <w:tcPr>
            <w:gridSpan w:val="3"/>
            <w:tcW w:w="5556" w:type="dxa"/>
            <w:vAlign w:val="center"/>
            <w:tcBorders>
              <w:top w:val="nil"/>
              <w:left w:val="nil"/>
              <w:bottom w:val="nil"/>
              <w:right w:val="nil"/>
            </w:tcBorders>
          </w:tcPr>
          <w:p>
            <w:pPr>
              <w:pStyle w:val="0"/>
            </w:pPr>
            <w:r>
              <w:rPr>
                <w:sz w:val="20"/>
              </w:rPr>
              <w:t xml:space="preserve">М.П.</w:t>
            </w:r>
          </w:p>
        </w:tc>
      </w:tr>
    </w:tbl>
    <w:p>
      <w:pPr>
        <w:pStyle w:val="0"/>
        <w:jc w:val="both"/>
      </w:pPr>
      <w:r>
        <w:rPr>
          <w:sz w:val="20"/>
        </w:rPr>
      </w:r>
    </w:p>
    <w:p>
      <w:pPr>
        <w:pStyle w:val="0"/>
        <w:ind w:firstLine="540"/>
        <w:jc w:val="both"/>
      </w:pPr>
      <w:r>
        <w:rPr>
          <w:sz w:val="20"/>
        </w:rPr>
        <w:t xml:space="preserve">--------------------------------</w:t>
      </w:r>
    </w:p>
    <w:bookmarkStart w:id="2799" w:name="P2799"/>
    <w:bookmarkEnd w:id="2799"/>
    <w:p>
      <w:pPr>
        <w:pStyle w:val="0"/>
        <w:spacing w:before="200" w:line-rule="auto"/>
        <w:ind w:firstLine="540"/>
        <w:jc w:val="both"/>
      </w:pPr>
      <w:r>
        <w:rPr>
          <w:sz w:val="20"/>
        </w:rPr>
        <w:t xml:space="preserve">&lt;1&gt; Для юридических лиц и индивидуальных предпринимателей.</w:t>
      </w:r>
    </w:p>
    <w:bookmarkStart w:id="2800" w:name="P2800"/>
    <w:bookmarkEnd w:id="2800"/>
    <w:p>
      <w:pPr>
        <w:pStyle w:val="0"/>
        <w:spacing w:before="200" w:line-rule="auto"/>
        <w:ind w:firstLine="540"/>
        <w:jc w:val="both"/>
      </w:pPr>
      <w:r>
        <w:rPr>
          <w:sz w:val="20"/>
        </w:rPr>
        <w:t xml:space="preserve">&lt;2&gt; Для физических лиц.</w:t>
      </w:r>
    </w:p>
    <w:bookmarkStart w:id="2801" w:name="P2801"/>
    <w:bookmarkEnd w:id="2801"/>
    <w:p>
      <w:pPr>
        <w:pStyle w:val="0"/>
        <w:spacing w:before="200" w:line-rule="auto"/>
        <w:ind w:firstLine="540"/>
        <w:jc w:val="both"/>
      </w:pPr>
      <w:r>
        <w:rPr>
          <w:sz w:val="20"/>
        </w:rPr>
        <w:t xml:space="preserve">&lt;3&gt;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(т.е. в </w:t>
      </w:r>
      <w:hyperlink w:history="0" w:anchor="P2719" w:tooltip="    5.    Максимальная    мощность    &lt;3&gt;    энергопринимающих    устройств">
        <w:r>
          <w:rPr>
            <w:sz w:val="20"/>
            <w:color w:val="0000ff"/>
          </w:rPr>
          <w:t xml:space="preserve">абзаце первом</w:t>
        </w:r>
      </w:hyperlink>
      <w:r>
        <w:rPr>
          <w:sz w:val="20"/>
        </w:rPr>
        <w:t xml:space="preserve"> и </w:t>
      </w:r>
      <w:hyperlink w:history="0" w:anchor="P2722" w:tooltip="    а)  максимальная  мощность  присоединяемых  энергопринимающих устройств">
        <w:r>
          <w:rPr>
            <w:sz w:val="20"/>
            <w:color w:val="0000ff"/>
          </w:rPr>
          <w:t xml:space="preserve">подпункте "а" пункта 5</w:t>
        </w:r>
      </w:hyperlink>
      <w:r>
        <w:rPr>
          <w:sz w:val="20"/>
        </w:rPr>
        <w:t xml:space="preserve"> настоящего приложения величина мощности указывается одинаковая).</w:t>
      </w:r>
    </w:p>
    <w:bookmarkStart w:id="2802" w:name="P2802"/>
    <w:bookmarkEnd w:id="2802"/>
    <w:p>
      <w:pPr>
        <w:pStyle w:val="0"/>
        <w:spacing w:before="200" w:line-rule="auto"/>
        <w:ind w:firstLine="540"/>
        <w:jc w:val="both"/>
      </w:pPr>
      <w:r>
        <w:rPr>
          <w:sz w:val="20"/>
        </w:rPr>
        <w:t xml:space="preserve">&lt;4&gt; Классы напряжения до 1000 В.</w:t>
      </w:r>
    </w:p>
    <w:bookmarkStart w:id="2803" w:name="P2803"/>
    <w:bookmarkEnd w:id="2803"/>
    <w:p>
      <w:pPr>
        <w:pStyle w:val="0"/>
        <w:spacing w:before="200" w:line-rule="auto"/>
        <w:ind w:firstLine="540"/>
        <w:jc w:val="both"/>
      </w:pPr>
      <w:r>
        <w:rPr>
          <w:sz w:val="20"/>
        </w:rPr>
        <w:t xml:space="preserve">&lt;5&gt; Максимальная мощность указывается равной максимальной мощности присоединяемых объектов микрогенерации в случае отсутствия максимальной мощности ранее присоединенных объектов микрогенерации (т.е. в </w:t>
      </w:r>
      <w:hyperlink w:history="0" w:anchor="P2727" w:tooltip="    6.  Максимальная мощность &lt;5&gt; объектов микрогенерации (присоединяемых и">
        <w:r>
          <w:rPr>
            <w:sz w:val="20"/>
            <w:color w:val="0000ff"/>
          </w:rPr>
          <w:t xml:space="preserve">абзаце первом</w:t>
        </w:r>
      </w:hyperlink>
      <w:r>
        <w:rPr>
          <w:sz w:val="20"/>
        </w:rPr>
        <w:t xml:space="preserve"> и </w:t>
      </w:r>
      <w:hyperlink w:history="0" w:anchor="P2730" w:tooltip="    а)   максимальная   мощность   присоединяемых  объектов  микрогенерации">
        <w:r>
          <w:rPr>
            <w:sz w:val="20"/>
            <w:color w:val="0000ff"/>
          </w:rPr>
          <w:t xml:space="preserve">подпункте "а" пункта 6</w:t>
        </w:r>
      </w:hyperlink>
      <w:r>
        <w:rPr>
          <w:sz w:val="20"/>
        </w:rPr>
        <w:t xml:space="preserve"> настоящего приложения величина мощности указывается одинаковая).</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5</w:t>
      </w:r>
    </w:p>
    <w:p>
      <w:pPr>
        <w:pStyle w:val="0"/>
        <w:jc w:val="right"/>
      </w:pPr>
      <w:r>
        <w:rPr>
          <w:sz w:val="20"/>
        </w:rPr>
        <w:t xml:space="preserve">к Правилам технологического</w:t>
      </w:r>
    </w:p>
    <w:p>
      <w:pPr>
        <w:pStyle w:val="0"/>
        <w:jc w:val="right"/>
      </w:pPr>
      <w:r>
        <w:rPr>
          <w:sz w:val="20"/>
        </w:rPr>
        <w:t xml:space="preserve">присоединения энергопринимающих</w:t>
      </w:r>
    </w:p>
    <w:p>
      <w:pPr>
        <w:pStyle w:val="0"/>
        <w:jc w:val="right"/>
      </w:pPr>
      <w:r>
        <w:rPr>
          <w:sz w:val="20"/>
        </w:rPr>
        <w:t xml:space="preserve">устройств потребителей</w:t>
      </w:r>
    </w:p>
    <w:p>
      <w:pPr>
        <w:pStyle w:val="0"/>
        <w:jc w:val="right"/>
      </w:pPr>
      <w:r>
        <w:rPr>
          <w:sz w:val="20"/>
        </w:rPr>
        <w:t xml:space="preserve">электрической энергии, объектов</w:t>
      </w:r>
    </w:p>
    <w:p>
      <w:pPr>
        <w:pStyle w:val="0"/>
        <w:jc w:val="right"/>
      </w:pPr>
      <w:r>
        <w:rPr>
          <w:sz w:val="20"/>
        </w:rPr>
        <w:t xml:space="preserve">по производству электрической</w:t>
      </w:r>
    </w:p>
    <w:p>
      <w:pPr>
        <w:pStyle w:val="0"/>
        <w:jc w:val="right"/>
      </w:pPr>
      <w:r>
        <w:rPr>
          <w:sz w:val="20"/>
        </w:rPr>
        <w:t xml:space="preserve">энергии, а также объектов</w:t>
      </w:r>
    </w:p>
    <w:p>
      <w:pPr>
        <w:pStyle w:val="0"/>
        <w:jc w:val="right"/>
      </w:pPr>
      <w:r>
        <w:rPr>
          <w:sz w:val="20"/>
        </w:rPr>
        <w:t xml:space="preserve">электросетевого хозяйства,</w:t>
      </w:r>
    </w:p>
    <w:p>
      <w:pPr>
        <w:pStyle w:val="0"/>
        <w:jc w:val="right"/>
      </w:pPr>
      <w:r>
        <w:rPr>
          <w:sz w:val="20"/>
        </w:rPr>
        <w:t xml:space="preserve">принадлежащих сетевым организациям</w:t>
      </w:r>
    </w:p>
    <w:p>
      <w:pPr>
        <w:pStyle w:val="0"/>
        <w:jc w:val="right"/>
      </w:pPr>
      <w:r>
        <w:rPr>
          <w:sz w:val="20"/>
        </w:rPr>
        <w:t xml:space="preserve">и иным лицам, к электрическим сетям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11.06.2015 </w:t>
            </w:r>
            <w:hyperlink w:history="0" r:id="rId1101" w:tooltip="Постановление Правительства РФ от 11.06.2015 N 588 (ред. от 10.03.2020, с изм. от 30.06.2022) &quot;О внесении изменений в постановление Правительства Российской Федерации от 27 декабря 2004 г. N 861&quot; {КонсультантПлюс}">
              <w:r>
                <w:rPr>
                  <w:sz w:val="20"/>
                  <w:color w:val="0000ff"/>
                </w:rPr>
                <w:t xml:space="preserve">N 588</w:t>
              </w:r>
            </w:hyperlink>
            <w:r>
              <w:rPr>
                <w:sz w:val="20"/>
                <w:color w:val="392c69"/>
              </w:rPr>
              <w:t xml:space="preserve">,</w:t>
            </w:r>
          </w:p>
          <w:p>
            <w:pPr>
              <w:pStyle w:val="0"/>
              <w:jc w:val="center"/>
            </w:pPr>
            <w:r>
              <w:rPr>
                <w:sz w:val="20"/>
                <w:color w:val="392c69"/>
              </w:rPr>
              <w:t xml:space="preserve">от 30.06.2022 </w:t>
            </w:r>
            <w:hyperlink w:history="0" r:id="rId1102"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1178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1"/>
        <w:jc w:val="both"/>
      </w:pPr>
      <w:r>
        <w:rPr>
          <w:sz w:val="20"/>
        </w:rPr>
        <w:t xml:space="preserve">                                  ЗАЯВКА</w:t>
      </w:r>
    </w:p>
    <w:p>
      <w:pPr>
        <w:pStyle w:val="1"/>
        <w:jc w:val="both"/>
      </w:pPr>
      <w:r>
        <w:rPr>
          <w:sz w:val="20"/>
        </w:rPr>
        <w:t xml:space="preserve">           юридического лица (индивидуального предпринимателя),</w:t>
      </w:r>
    </w:p>
    <w:p>
      <w:pPr>
        <w:pStyle w:val="1"/>
        <w:jc w:val="both"/>
      </w:pPr>
      <w:r>
        <w:rPr>
          <w:sz w:val="20"/>
        </w:rPr>
        <w:t xml:space="preserve">                физического лица на временное присоединение</w:t>
      </w:r>
    </w:p>
    <w:p>
      <w:pPr>
        <w:pStyle w:val="1"/>
        <w:jc w:val="both"/>
      </w:pPr>
      <w:r>
        <w:rPr>
          <w:sz w:val="20"/>
        </w:rPr>
        <w:t xml:space="preserve">                        энергопринимающих устройств</w:t>
      </w:r>
    </w:p>
    <w:p>
      <w:pPr>
        <w:pStyle w:val="1"/>
        <w:jc w:val="both"/>
      </w:pPr>
      <w:r>
        <w:rPr>
          <w:sz w:val="20"/>
        </w:rPr>
      </w:r>
    </w:p>
    <w:p>
      <w:pPr>
        <w:pStyle w:val="1"/>
        <w:jc w:val="both"/>
      </w:pPr>
      <w:r>
        <w:rPr>
          <w:sz w:val="20"/>
        </w:rPr>
        <w:t xml:space="preserve">    1. 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(полное наименование заявителя - юридического лица; фамилия, имя,</w:t>
      </w:r>
    </w:p>
    <w:p>
      <w:pPr>
        <w:pStyle w:val="1"/>
        <w:jc w:val="both"/>
      </w:pPr>
      <w:r>
        <w:rPr>
          <w:sz w:val="20"/>
        </w:rPr>
        <w:t xml:space="preserve">          отчество заявителя - индивидуального предпринимателя)</w:t>
      </w:r>
    </w:p>
    <w:p>
      <w:pPr>
        <w:pStyle w:val="1"/>
        <w:jc w:val="both"/>
      </w:pPr>
      <w:r>
        <w:rPr>
          <w:sz w:val="20"/>
        </w:rPr>
        <w:t xml:space="preserve">    2. Номер записи в Едином государственном реестре юридических лиц (номер</w:t>
      </w:r>
    </w:p>
    <w:p>
      <w:pPr>
        <w:pStyle w:val="1"/>
        <w:jc w:val="both"/>
      </w:pPr>
      <w:r>
        <w:rPr>
          <w:sz w:val="20"/>
        </w:rPr>
        <w:t xml:space="preserve">записи  в Едином государственном реестре индивидуальных предпринимателей) и</w:t>
      </w:r>
    </w:p>
    <w:p>
      <w:pPr>
        <w:pStyle w:val="1"/>
        <w:jc w:val="both"/>
      </w:pPr>
      <w:r>
        <w:rPr>
          <w:sz w:val="20"/>
        </w:rPr>
        <w:t xml:space="preserve">дата ее внесения в реестр </w:t>
      </w:r>
      <w:hyperlink w:history="0" w:anchor="P2887" w:tooltip="&lt;1&gt; Для юридических лиц и индивидуальных предпринимателей.">
        <w:r>
          <w:rPr>
            <w:sz w:val="20"/>
            <w:color w:val="0000ff"/>
          </w:rPr>
          <w:t xml:space="preserve">&lt;1&gt;</w:t>
        </w:r>
      </w:hyperlink>
      <w:r>
        <w:rPr>
          <w:sz w:val="20"/>
        </w:rPr>
        <w:t xml:space="preserve"> 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Паспортные данные </w:t>
      </w:r>
      <w:hyperlink w:history="0" w:anchor="P2888" w:tooltip="&lt;2&gt; Для физических лиц.">
        <w:r>
          <w:rPr>
            <w:sz w:val="20"/>
            <w:color w:val="0000ff"/>
          </w:rPr>
          <w:t xml:space="preserve">&lt;2&gt;</w:t>
        </w:r>
      </w:hyperlink>
      <w:r>
        <w:rPr>
          <w:sz w:val="20"/>
        </w:rPr>
        <w:t xml:space="preserve">: серия _____________ номер ______________________</w:t>
      </w:r>
    </w:p>
    <w:p>
      <w:pPr>
        <w:pStyle w:val="1"/>
        <w:jc w:val="both"/>
      </w:pPr>
      <w:r>
        <w:rPr>
          <w:sz w:val="20"/>
        </w:rPr>
        <w:t xml:space="preserve">выдан (кем, когда) 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3. Место нахождения заявителя, в том числе фактический адрес __________</w:t>
      </w:r>
    </w:p>
    <w:p>
      <w:pPr>
        <w:pStyle w:val="1"/>
        <w:jc w:val="both"/>
      </w:pPr>
      <w:r>
        <w:rPr>
          <w:sz w:val="20"/>
        </w:rPr>
        <w:t xml:space="preserve">__________________________________________________________________________.</w:t>
      </w:r>
    </w:p>
    <w:p>
      <w:pPr>
        <w:pStyle w:val="1"/>
        <w:jc w:val="both"/>
      </w:pPr>
      <w:r>
        <w:rPr>
          <w:sz w:val="20"/>
        </w:rPr>
        <w:t xml:space="preserve">                             (индекс, адрес)</w:t>
      </w:r>
    </w:p>
    <w:p>
      <w:pPr>
        <w:pStyle w:val="1"/>
        <w:jc w:val="both"/>
      </w:pPr>
      <w:r>
        <w:rPr>
          <w:sz w:val="20"/>
        </w:rPr>
        <w:t xml:space="preserve">    3(1).  Страховой  номер  индивидуального лицевого счета заявителя  (для</w:t>
      </w:r>
    </w:p>
    <w:p>
      <w:pPr>
        <w:pStyle w:val="1"/>
        <w:jc w:val="both"/>
      </w:pPr>
      <w:r>
        <w:rPr>
          <w:sz w:val="20"/>
        </w:rPr>
        <w:t xml:space="preserve">физических лиц) __________________________________________________________.</w:t>
      </w:r>
    </w:p>
    <w:p>
      <w:pPr>
        <w:pStyle w:val="1"/>
        <w:jc w:val="both"/>
      </w:pPr>
      <w:r>
        <w:rPr>
          <w:sz w:val="20"/>
        </w:rPr>
        <w:t xml:space="preserve">    4. В связи с 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(временное технологическое присоединение передвижного объекта и другое</w:t>
      </w:r>
    </w:p>
    <w:p>
      <w:pPr>
        <w:pStyle w:val="1"/>
        <w:jc w:val="both"/>
      </w:pPr>
      <w:r>
        <w:rPr>
          <w:sz w:val="20"/>
        </w:rPr>
        <w:t xml:space="preserve">                             - указать нужное)</w:t>
      </w:r>
    </w:p>
    <w:p>
      <w:pPr>
        <w:pStyle w:val="1"/>
        <w:jc w:val="both"/>
      </w:pPr>
      <w:r>
        <w:rPr>
          <w:sz w:val="20"/>
        </w:rPr>
        <w:t xml:space="preserve">просит осуществить технологическое присоединение:</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энергопринимающих устройств для присоединения)</w:t>
      </w:r>
    </w:p>
    <w:p>
      <w:pPr>
        <w:pStyle w:val="1"/>
        <w:jc w:val="both"/>
      </w:pPr>
      <w:r>
        <w:rPr>
          <w:sz w:val="20"/>
        </w:rPr>
        <w:t xml:space="preserve">расположенных ____________________________________________________________.</w:t>
      </w:r>
    </w:p>
    <w:p>
      <w:pPr>
        <w:pStyle w:val="1"/>
        <w:jc w:val="both"/>
      </w:pPr>
      <w:r>
        <w:rPr>
          <w:sz w:val="20"/>
        </w:rPr>
        <w:t xml:space="preserve">                     (место нахождения энергопринимающих устройств)</w:t>
      </w:r>
    </w:p>
    <w:p>
      <w:pPr>
        <w:pStyle w:val="1"/>
        <w:jc w:val="both"/>
      </w:pPr>
      <w:r>
        <w:rPr>
          <w:sz w:val="20"/>
        </w:rPr>
        <w:t xml:space="preserve">    5.  Максимальная  мощность  энергопринимающих устройств составляет  </w:t>
      </w:r>
      <w:hyperlink w:history="0" w:anchor="P2889" w:tooltip="&lt;3&gt; В случае технологического присоединения передвижных объектов максимальная мощность не должна превышать 150 кВт включительно.">
        <w:r>
          <w:rPr>
            <w:sz w:val="20"/>
            <w:color w:val="0000ff"/>
          </w:rPr>
          <w:t xml:space="preserve">&lt;3&gt;</w:t>
        </w:r>
      </w:hyperlink>
    </w:p>
    <w:p>
      <w:pPr>
        <w:pStyle w:val="1"/>
        <w:jc w:val="both"/>
      </w:pPr>
      <w:r>
        <w:rPr>
          <w:sz w:val="20"/>
        </w:rPr>
        <w:t xml:space="preserve">____________ кВт при напряжении </w:t>
      </w:r>
      <w:hyperlink w:history="0" w:anchor="P2890" w:tooltip="&lt;4&gt; Классы напряжения (0,4; 6; 10) кВ.">
        <w:r>
          <w:rPr>
            <w:sz w:val="20"/>
            <w:color w:val="0000ff"/>
          </w:rPr>
          <w:t xml:space="preserve">&lt;4&gt;</w:t>
        </w:r>
      </w:hyperlink>
      <w:r>
        <w:rPr>
          <w:sz w:val="20"/>
        </w:rPr>
        <w:t xml:space="preserve"> _____ кВ.</w:t>
      </w:r>
    </w:p>
    <w:p>
      <w:pPr>
        <w:pStyle w:val="1"/>
        <w:jc w:val="both"/>
      </w:pPr>
      <w:r>
        <w:rPr>
          <w:sz w:val="20"/>
        </w:rPr>
        <w:t xml:space="preserve">    6. Характер нагрузки 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7. Срок электроснабжения по временной схеме </w:t>
      </w:r>
      <w:hyperlink w:history="0" w:anchor="P2891" w:tooltip="&lt;5&gt; При наличии договора технологического присоединения по постоянной схеме электроснабжения указывается срок временного технологического присоединения, определяемый в соответствии с договором технологического присоединения по постоянной схеме электроснабжения.">
        <w:r>
          <w:rPr>
            <w:sz w:val="20"/>
            <w:color w:val="0000ff"/>
          </w:rPr>
          <w:t xml:space="preserve">&lt;5&gt;</w:t>
        </w:r>
      </w:hyperlink>
      <w:r>
        <w:rPr>
          <w:sz w:val="20"/>
        </w:rPr>
        <w:t xml:space="preserve"> ______________________.</w:t>
      </w:r>
    </w:p>
    <w:p>
      <w:pPr>
        <w:pStyle w:val="1"/>
        <w:jc w:val="both"/>
      </w:pPr>
      <w:r>
        <w:rPr>
          <w:sz w:val="20"/>
        </w:rPr>
        <w:t xml:space="preserve">    8. Реквизиты договора на технологическое присоединение </w:t>
      </w:r>
      <w:hyperlink w:history="0" w:anchor="P2894" w:tooltip="&lt;6&gt; Информация о реквизитах договора не предоставляется заявителями, энергопринимающие устройства которых являются передвижными и имеют максимальную мощность до 150 кВт включительно.">
        <w:r>
          <w:rPr>
            <w:sz w:val="20"/>
            <w:color w:val="0000ff"/>
          </w:rPr>
          <w:t xml:space="preserve">&lt;6&gt;</w:t>
        </w:r>
      </w:hyperlink>
      <w:r>
        <w:rPr>
          <w:sz w:val="20"/>
        </w:rPr>
        <w:t xml:space="preserve"> ___________.</w:t>
      </w:r>
    </w:p>
    <w:p>
      <w:pPr>
        <w:pStyle w:val="1"/>
        <w:jc w:val="both"/>
      </w:pPr>
      <w:r>
        <w:rPr>
          <w:sz w:val="20"/>
        </w:rPr>
        <w:t xml:space="preserve">    9.  Гарантирующий  поставщик  (энергосбытовая  организация),  с которым</w:t>
      </w:r>
    </w:p>
    <w:p>
      <w:pPr>
        <w:pStyle w:val="1"/>
        <w:jc w:val="both"/>
      </w:pPr>
      <w:r>
        <w:rPr>
          <w:sz w:val="20"/>
        </w:rPr>
        <w:t xml:space="preserve">планируется      заключение    договора    энергоснабжения   (купли-продажи</w:t>
      </w:r>
    </w:p>
    <w:p>
      <w:pPr>
        <w:pStyle w:val="1"/>
        <w:jc w:val="both"/>
      </w:pPr>
      <w:r>
        <w:rPr>
          <w:sz w:val="20"/>
        </w:rPr>
        <w:t xml:space="preserve">электрической энергии (мощности) _________________________________________.</w:t>
      </w:r>
    </w:p>
    <w:p>
      <w:pPr>
        <w:pStyle w:val="1"/>
        <w:jc w:val="both"/>
      </w:pPr>
      <w:r>
        <w:rPr>
          <w:sz w:val="20"/>
        </w:rPr>
      </w:r>
    </w:p>
    <w:p>
      <w:pPr>
        <w:pStyle w:val="1"/>
        <w:jc w:val="both"/>
      </w:pPr>
      <w:r>
        <w:rPr>
          <w:sz w:val="20"/>
        </w:rPr>
        <w:t xml:space="preserve">    Приложения:</w:t>
      </w:r>
    </w:p>
    <w:p>
      <w:pPr>
        <w:pStyle w:val="1"/>
        <w:jc w:val="both"/>
      </w:pPr>
      <w:r>
        <w:rPr>
          <w:sz w:val="20"/>
        </w:rPr>
        <w:t xml:space="preserve">    (указать перечень прилагаемых документов)</w:t>
      </w:r>
    </w:p>
    <w:p>
      <w:pPr>
        <w:pStyle w:val="1"/>
        <w:jc w:val="both"/>
      </w:pPr>
      <w:r>
        <w:rPr>
          <w:sz w:val="20"/>
        </w:rPr>
        <w:t xml:space="preserve">    1. ____________________________________________________________________</w:t>
      </w:r>
    </w:p>
    <w:p>
      <w:pPr>
        <w:pStyle w:val="1"/>
        <w:jc w:val="both"/>
      </w:pPr>
      <w:r>
        <w:rPr>
          <w:sz w:val="20"/>
        </w:rPr>
        <w:t xml:space="preserve">    2. ____________________________________________________________________</w:t>
      </w:r>
    </w:p>
    <w:p>
      <w:pPr>
        <w:pStyle w:val="1"/>
        <w:jc w:val="both"/>
      </w:pPr>
      <w:r>
        <w:rPr>
          <w:sz w:val="20"/>
        </w:rPr>
        <w:t xml:space="preserve">    3. ____________________________________________________________________</w:t>
      </w:r>
    </w:p>
    <w:p>
      <w:pPr>
        <w:pStyle w:val="1"/>
        <w:jc w:val="both"/>
      </w:pPr>
      <w:r>
        <w:rPr>
          <w:sz w:val="20"/>
        </w:rPr>
        <w:t xml:space="preserve">    4. ____________________________________________________________________</w:t>
      </w:r>
    </w:p>
    <w:p>
      <w:pPr>
        <w:pStyle w:val="1"/>
        <w:jc w:val="both"/>
      </w:pPr>
      <w:r>
        <w:rPr>
          <w:sz w:val="20"/>
        </w:rPr>
      </w:r>
    </w:p>
    <w:p>
      <w:pPr>
        <w:pStyle w:val="1"/>
        <w:jc w:val="both"/>
      </w:pPr>
      <w:r>
        <w:rPr>
          <w:sz w:val="20"/>
        </w:rPr>
        <w:t xml:space="preserve">Руководитель организации (заявитель)</w:t>
      </w:r>
    </w:p>
    <w:p>
      <w:pPr>
        <w:pStyle w:val="1"/>
        <w:jc w:val="both"/>
      </w:pPr>
      <w:r>
        <w:rPr>
          <w:sz w:val="20"/>
        </w:rPr>
        <w:t xml:space="preserve">____________________________________</w:t>
      </w:r>
    </w:p>
    <w:p>
      <w:pPr>
        <w:pStyle w:val="1"/>
        <w:jc w:val="both"/>
      </w:pPr>
      <w:r>
        <w:rPr>
          <w:sz w:val="20"/>
        </w:rPr>
        <w:t xml:space="preserve">      (фамилия, имя, отчество)</w:t>
      </w:r>
    </w:p>
    <w:p>
      <w:pPr>
        <w:pStyle w:val="1"/>
        <w:jc w:val="both"/>
      </w:pPr>
      <w:r>
        <w:rPr>
          <w:sz w:val="20"/>
        </w:rPr>
        <w:t xml:space="preserve">____________________________________</w:t>
      </w:r>
    </w:p>
    <w:p>
      <w:pPr>
        <w:pStyle w:val="1"/>
        <w:jc w:val="both"/>
      </w:pPr>
      <w:r>
        <w:rPr>
          <w:sz w:val="20"/>
        </w:rPr>
        <w:t xml:space="preserve"> (выделенный оператором подвижной</w:t>
      </w:r>
    </w:p>
    <w:p>
      <w:pPr>
        <w:pStyle w:val="1"/>
        <w:jc w:val="both"/>
      </w:pPr>
      <w:r>
        <w:rPr>
          <w:sz w:val="20"/>
        </w:rPr>
        <w:t xml:space="preserve">  радиотелефонной связи абонентский</w:t>
      </w:r>
    </w:p>
    <w:p>
      <w:pPr>
        <w:pStyle w:val="1"/>
        <w:jc w:val="both"/>
      </w:pPr>
      <w:r>
        <w:rPr>
          <w:sz w:val="20"/>
        </w:rPr>
        <w:t xml:space="preserve">     номер и адрес электронной</w:t>
      </w:r>
    </w:p>
    <w:p>
      <w:pPr>
        <w:pStyle w:val="1"/>
        <w:jc w:val="both"/>
      </w:pPr>
      <w:r>
        <w:rPr>
          <w:sz w:val="20"/>
        </w:rPr>
        <w:t xml:space="preserve">        почты заявителя)</w:t>
      </w:r>
    </w:p>
    <w:p>
      <w:pPr>
        <w:pStyle w:val="1"/>
        <w:jc w:val="both"/>
      </w:pPr>
      <w:r>
        <w:rPr>
          <w:sz w:val="20"/>
        </w:rPr>
        <w:t xml:space="preserve">_________________ ___________</w:t>
      </w:r>
    </w:p>
    <w:p>
      <w:pPr>
        <w:pStyle w:val="1"/>
        <w:jc w:val="both"/>
      </w:pPr>
      <w:r>
        <w:rPr>
          <w:sz w:val="20"/>
        </w:rPr>
        <w:t xml:space="preserve">   (должность)     (подпись)</w:t>
      </w:r>
    </w:p>
    <w:p>
      <w:pPr>
        <w:pStyle w:val="1"/>
        <w:jc w:val="both"/>
      </w:pPr>
      <w:r>
        <w:rPr>
          <w:sz w:val="20"/>
        </w:rPr>
      </w:r>
    </w:p>
    <w:p>
      <w:pPr>
        <w:pStyle w:val="1"/>
        <w:jc w:val="both"/>
      </w:pPr>
      <w:r>
        <w:rPr>
          <w:sz w:val="20"/>
        </w:rPr>
        <w:t xml:space="preserve">"__" ____________ 20__ г.</w:t>
      </w:r>
    </w:p>
    <w:p>
      <w:pPr>
        <w:pStyle w:val="1"/>
        <w:jc w:val="both"/>
      </w:pPr>
      <w:r>
        <w:rPr>
          <w:sz w:val="20"/>
        </w:rPr>
      </w:r>
    </w:p>
    <w:p>
      <w:pPr>
        <w:pStyle w:val="1"/>
        <w:jc w:val="both"/>
      </w:pPr>
      <w:r>
        <w:rPr>
          <w:sz w:val="20"/>
        </w:rPr>
        <w:t xml:space="preserve">М.П.</w:t>
      </w:r>
    </w:p>
    <w:p>
      <w:pPr>
        <w:pStyle w:val="0"/>
        <w:jc w:val="both"/>
      </w:pPr>
      <w:r>
        <w:rPr>
          <w:sz w:val="20"/>
        </w:rPr>
      </w:r>
    </w:p>
    <w:p>
      <w:pPr>
        <w:pStyle w:val="0"/>
        <w:ind w:firstLine="540"/>
        <w:jc w:val="both"/>
      </w:pPr>
      <w:r>
        <w:rPr>
          <w:sz w:val="20"/>
        </w:rPr>
        <w:t xml:space="preserve">--------------------------------</w:t>
      </w:r>
    </w:p>
    <w:bookmarkStart w:id="2887" w:name="P2887"/>
    <w:bookmarkEnd w:id="2887"/>
    <w:p>
      <w:pPr>
        <w:pStyle w:val="0"/>
        <w:spacing w:before="200" w:line-rule="auto"/>
        <w:ind w:firstLine="540"/>
        <w:jc w:val="both"/>
      </w:pPr>
      <w:r>
        <w:rPr>
          <w:sz w:val="20"/>
        </w:rPr>
        <w:t xml:space="preserve">&lt;1&gt; Для юридических лиц и индивидуальных предпринимателей.</w:t>
      </w:r>
    </w:p>
    <w:bookmarkStart w:id="2888" w:name="P2888"/>
    <w:bookmarkEnd w:id="2888"/>
    <w:p>
      <w:pPr>
        <w:pStyle w:val="0"/>
        <w:spacing w:before="200" w:line-rule="auto"/>
        <w:ind w:firstLine="540"/>
        <w:jc w:val="both"/>
      </w:pPr>
      <w:r>
        <w:rPr>
          <w:sz w:val="20"/>
        </w:rPr>
        <w:t xml:space="preserve">&lt;2&gt; Для физических лиц.</w:t>
      </w:r>
    </w:p>
    <w:bookmarkStart w:id="2889" w:name="P2889"/>
    <w:bookmarkEnd w:id="2889"/>
    <w:p>
      <w:pPr>
        <w:pStyle w:val="0"/>
        <w:spacing w:before="200" w:line-rule="auto"/>
        <w:ind w:firstLine="540"/>
        <w:jc w:val="both"/>
      </w:pPr>
      <w:r>
        <w:rPr>
          <w:sz w:val="20"/>
        </w:rPr>
        <w:t xml:space="preserve">&lt;3&gt; В случае технологического присоединения передвижных объектов максимальная мощность не должна превышать 150 кВт включительно.</w:t>
      </w:r>
    </w:p>
    <w:bookmarkStart w:id="2890" w:name="P2890"/>
    <w:bookmarkEnd w:id="2890"/>
    <w:p>
      <w:pPr>
        <w:pStyle w:val="0"/>
        <w:spacing w:before="200" w:line-rule="auto"/>
        <w:ind w:firstLine="540"/>
        <w:jc w:val="both"/>
      </w:pPr>
      <w:r>
        <w:rPr>
          <w:sz w:val="20"/>
        </w:rPr>
        <w:t xml:space="preserve">&lt;4&gt; Классы напряжения (0,4; 6; 10) кВ.</w:t>
      </w:r>
    </w:p>
    <w:bookmarkStart w:id="2891" w:name="P2891"/>
    <w:bookmarkEnd w:id="2891"/>
    <w:p>
      <w:pPr>
        <w:pStyle w:val="0"/>
        <w:spacing w:before="200" w:line-rule="auto"/>
        <w:ind w:firstLine="540"/>
        <w:jc w:val="both"/>
      </w:pPr>
      <w:r>
        <w:rPr>
          <w:sz w:val="20"/>
        </w:rPr>
        <w:t xml:space="preserve">&lt;5&gt; При наличии договора технологического присоединения по постоянной схеме электроснабжения указывается срок временного технологического присоединения, определяемый в соответствии с договором технологического присоединения по постоянной схеме электроснабжения.</w:t>
      </w:r>
    </w:p>
    <w:p>
      <w:pPr>
        <w:pStyle w:val="0"/>
        <w:spacing w:before="200" w:line-rule="auto"/>
        <w:ind w:firstLine="540"/>
        <w:jc w:val="both"/>
      </w:pPr>
      <w:r>
        <w:rPr>
          <w:sz w:val="20"/>
        </w:rPr>
        <w:t xml:space="preserve">Если в соответствии с договором технологического присоединения мероприятия по технологическому присоединению реализуются поэтапно, указывается срок того из этапов, на котором будет обеспечена возможность электроснабжения энергопринимающих устройств с применением постоянной схемы электроснабжения на объем максимальной мощности, указанный в заявке, направляемой заявителем в целях временного технологического присоединения.</w:t>
      </w:r>
    </w:p>
    <w:p>
      <w:pPr>
        <w:pStyle w:val="0"/>
        <w:spacing w:before="200" w:line-rule="auto"/>
        <w:ind w:firstLine="540"/>
        <w:jc w:val="both"/>
      </w:pPr>
      <w:r>
        <w:rPr>
          <w:sz w:val="20"/>
        </w:rPr>
        <w:t xml:space="preserve">Если энергопринимающие устройства являются передвижными и имеют максимальную мощность до 150 кВт включительно, указывается срок до 12 месяцев.</w:t>
      </w:r>
    </w:p>
    <w:bookmarkStart w:id="2894" w:name="P2894"/>
    <w:bookmarkEnd w:id="2894"/>
    <w:p>
      <w:pPr>
        <w:pStyle w:val="0"/>
        <w:spacing w:before="200" w:line-rule="auto"/>
        <w:ind w:firstLine="540"/>
        <w:jc w:val="both"/>
      </w:pPr>
      <w:r>
        <w:rPr>
          <w:sz w:val="20"/>
        </w:rPr>
        <w:t xml:space="preserve">&lt;6&gt; Информация о реквизитах договора не предоставляется заявителями, энергопринимающие устройства которых являются передвижными и имеют максимальную мощность до 150 кВт включительно.</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6</w:t>
      </w:r>
    </w:p>
    <w:p>
      <w:pPr>
        <w:pStyle w:val="0"/>
        <w:jc w:val="right"/>
      </w:pPr>
      <w:r>
        <w:rPr>
          <w:sz w:val="20"/>
        </w:rPr>
        <w:t xml:space="preserve">к Правилам технологического</w:t>
      </w:r>
    </w:p>
    <w:p>
      <w:pPr>
        <w:pStyle w:val="0"/>
        <w:jc w:val="right"/>
      </w:pPr>
      <w:r>
        <w:rPr>
          <w:sz w:val="20"/>
        </w:rPr>
        <w:t xml:space="preserve">присоединения энергопринимающих</w:t>
      </w:r>
    </w:p>
    <w:p>
      <w:pPr>
        <w:pStyle w:val="0"/>
        <w:jc w:val="right"/>
      </w:pPr>
      <w:r>
        <w:rPr>
          <w:sz w:val="20"/>
        </w:rPr>
        <w:t xml:space="preserve">устройств потребителей</w:t>
      </w:r>
    </w:p>
    <w:p>
      <w:pPr>
        <w:pStyle w:val="0"/>
        <w:jc w:val="right"/>
      </w:pPr>
      <w:r>
        <w:rPr>
          <w:sz w:val="20"/>
        </w:rPr>
        <w:t xml:space="preserve">электрической энергии, объектов</w:t>
      </w:r>
    </w:p>
    <w:p>
      <w:pPr>
        <w:pStyle w:val="0"/>
        <w:jc w:val="right"/>
      </w:pPr>
      <w:r>
        <w:rPr>
          <w:sz w:val="20"/>
        </w:rPr>
        <w:t xml:space="preserve">по производству электрической</w:t>
      </w:r>
    </w:p>
    <w:p>
      <w:pPr>
        <w:pStyle w:val="0"/>
        <w:jc w:val="right"/>
      </w:pPr>
      <w:r>
        <w:rPr>
          <w:sz w:val="20"/>
        </w:rPr>
        <w:t xml:space="preserve">энергии, а также объектов</w:t>
      </w:r>
    </w:p>
    <w:p>
      <w:pPr>
        <w:pStyle w:val="0"/>
        <w:jc w:val="right"/>
      </w:pPr>
      <w:r>
        <w:rPr>
          <w:sz w:val="20"/>
        </w:rPr>
        <w:t xml:space="preserve">электросетевого хозяйства,</w:t>
      </w:r>
    </w:p>
    <w:p>
      <w:pPr>
        <w:pStyle w:val="0"/>
        <w:jc w:val="right"/>
      </w:pPr>
      <w:r>
        <w:rPr>
          <w:sz w:val="20"/>
        </w:rPr>
        <w:t xml:space="preserve">принадлежащих сетевым организациям</w:t>
      </w:r>
    </w:p>
    <w:p>
      <w:pPr>
        <w:pStyle w:val="0"/>
        <w:jc w:val="right"/>
      </w:pPr>
      <w:r>
        <w:rPr>
          <w:sz w:val="20"/>
        </w:rPr>
        <w:t xml:space="preserve">и иным лицам, к электрическим сетям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11.06.2015 </w:t>
            </w:r>
            <w:hyperlink w:history="0" r:id="rId1103" w:tooltip="Постановление Правительства РФ от 11.06.2015 N 588 (ред. от 10.03.2020, с изм. от 30.06.2022) &quot;О внесении изменений в постановление Правительства Российской Федерации от 27 декабря 2004 г. N 861&quot; {КонсультантПлюс}">
              <w:r>
                <w:rPr>
                  <w:sz w:val="20"/>
                  <w:color w:val="0000ff"/>
                </w:rPr>
                <w:t xml:space="preserve">N 588</w:t>
              </w:r>
            </w:hyperlink>
            <w:r>
              <w:rPr>
                <w:sz w:val="20"/>
                <w:color w:val="392c69"/>
              </w:rPr>
              <w:t xml:space="preserve">,</w:t>
            </w:r>
          </w:p>
          <w:p>
            <w:pPr>
              <w:pStyle w:val="0"/>
              <w:jc w:val="center"/>
            </w:pPr>
            <w:r>
              <w:rPr>
                <w:sz w:val="20"/>
                <w:color w:val="392c69"/>
              </w:rPr>
              <w:t xml:space="preserve">от 30.06.2022 </w:t>
            </w:r>
            <w:hyperlink w:history="0" r:id="rId1104"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1178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2914" w:name="P2914"/>
    <w:bookmarkEnd w:id="2914"/>
    <w:p>
      <w:pPr>
        <w:pStyle w:val="1"/>
        <w:jc w:val="both"/>
      </w:pPr>
      <w:r>
        <w:rPr>
          <w:sz w:val="20"/>
        </w:rPr>
        <w:t xml:space="preserve">                                ЗАЯВКА </w:t>
      </w:r>
      <w:hyperlink w:history="0" w:anchor="P3002" w:tooltip="&lt;1&gt; Максимальная мощность не превышает 15 кВт с учетом максимальной мощности ранее присоединенных в данной точке присоединения энергопринимающих устройств.">
        <w:r>
          <w:rPr>
            <w:sz w:val="20"/>
            <w:color w:val="0000ff"/>
          </w:rPr>
          <w:t xml:space="preserve">&lt;1&gt;</w:t>
        </w:r>
      </w:hyperlink>
    </w:p>
    <w:p>
      <w:pPr>
        <w:pStyle w:val="1"/>
        <w:jc w:val="both"/>
      </w:pPr>
      <w:r>
        <w:rPr>
          <w:sz w:val="20"/>
        </w:rPr>
        <w:t xml:space="preserve">           физического лица на присоединение по одному источнику</w:t>
      </w:r>
    </w:p>
    <w:p>
      <w:pPr>
        <w:pStyle w:val="1"/>
        <w:jc w:val="both"/>
      </w:pPr>
      <w:r>
        <w:rPr>
          <w:sz w:val="20"/>
        </w:rPr>
        <w:t xml:space="preserve">        электроснабжения энергопринимающих устройств с максимальной</w:t>
      </w:r>
    </w:p>
    <w:p>
      <w:pPr>
        <w:pStyle w:val="1"/>
        <w:jc w:val="both"/>
      </w:pPr>
      <w:r>
        <w:rPr>
          <w:sz w:val="20"/>
        </w:rPr>
        <w:t xml:space="preserve">        мощностью до 15 кВт включительно (используемых для бытовых</w:t>
      </w:r>
    </w:p>
    <w:p>
      <w:pPr>
        <w:pStyle w:val="1"/>
        <w:jc w:val="both"/>
      </w:pPr>
      <w:r>
        <w:rPr>
          <w:sz w:val="20"/>
        </w:rPr>
        <w:t xml:space="preserve">                и иных нужд, не связанных с осуществлением</w:t>
      </w:r>
    </w:p>
    <w:p>
      <w:pPr>
        <w:pStyle w:val="1"/>
        <w:jc w:val="both"/>
      </w:pPr>
      <w:r>
        <w:rPr>
          <w:sz w:val="20"/>
        </w:rPr>
        <w:t xml:space="preserve">                     предпринимательской деятельности)</w:t>
      </w:r>
    </w:p>
    <w:p>
      <w:pPr>
        <w:pStyle w:val="1"/>
        <w:jc w:val="both"/>
      </w:pPr>
      <w:r>
        <w:rPr>
          <w:sz w:val="20"/>
        </w:rPr>
      </w:r>
    </w:p>
    <w:p>
      <w:pPr>
        <w:pStyle w:val="1"/>
        <w:jc w:val="both"/>
      </w:pPr>
      <w:r>
        <w:rPr>
          <w:sz w:val="20"/>
        </w:rPr>
        <w:t xml:space="preserve">    1. ___________________________________________________________________.</w:t>
      </w:r>
    </w:p>
    <w:p>
      <w:pPr>
        <w:pStyle w:val="1"/>
        <w:jc w:val="both"/>
      </w:pPr>
      <w:r>
        <w:rPr>
          <w:sz w:val="20"/>
        </w:rPr>
        <w:t xml:space="preserve">                            (фамилия, имя, отчество)</w:t>
      </w:r>
    </w:p>
    <w:p>
      <w:pPr>
        <w:pStyle w:val="1"/>
        <w:jc w:val="both"/>
      </w:pPr>
      <w:r>
        <w:rPr>
          <w:sz w:val="20"/>
        </w:rPr>
        <w:t xml:space="preserve">    2. Паспортные данные: серия _____________ номер _______________________</w:t>
      </w:r>
    </w:p>
    <w:p>
      <w:pPr>
        <w:pStyle w:val="1"/>
        <w:jc w:val="both"/>
      </w:pPr>
      <w:r>
        <w:rPr>
          <w:sz w:val="20"/>
        </w:rPr>
        <w:t xml:space="preserve">выдан (кем, когда) 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3. Зарегистрирован(а) 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(индекс, адрес)</w:t>
      </w:r>
    </w:p>
    <w:p>
      <w:pPr>
        <w:pStyle w:val="1"/>
        <w:jc w:val="both"/>
      </w:pPr>
      <w:r>
        <w:rPr>
          <w:sz w:val="20"/>
        </w:rPr>
        <w:t xml:space="preserve">    3(1).  Страховой  номер  индивидуального лицевого счета  заявителя (для</w:t>
      </w:r>
    </w:p>
    <w:p>
      <w:pPr>
        <w:pStyle w:val="1"/>
        <w:jc w:val="both"/>
      </w:pPr>
      <w:r>
        <w:rPr>
          <w:sz w:val="20"/>
        </w:rPr>
        <w:t xml:space="preserve">физических лиц) __________________________________________________________.</w:t>
      </w:r>
    </w:p>
    <w:p>
      <w:pPr>
        <w:pStyle w:val="1"/>
        <w:jc w:val="both"/>
      </w:pPr>
      <w:r>
        <w:rPr>
          <w:sz w:val="20"/>
        </w:rPr>
        <w:t xml:space="preserve">    4. Фактический адрес проживания 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(индекс, адрес)</w:t>
      </w:r>
    </w:p>
    <w:p>
      <w:pPr>
        <w:pStyle w:val="1"/>
        <w:jc w:val="both"/>
      </w:pPr>
      <w:r>
        <w:rPr>
          <w:sz w:val="20"/>
        </w:rPr>
        <w:t xml:space="preserve">    5. В связи с 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(увеличение объема максимальной мощности, новое строительство и др.</w:t>
      </w:r>
    </w:p>
    <w:p>
      <w:pPr>
        <w:pStyle w:val="1"/>
        <w:jc w:val="both"/>
      </w:pPr>
      <w:r>
        <w:rPr>
          <w:sz w:val="20"/>
        </w:rPr>
        <w:t xml:space="preserve">                             - указать нужное)</w:t>
      </w:r>
    </w:p>
    <w:p>
      <w:pPr>
        <w:pStyle w:val="1"/>
        <w:jc w:val="both"/>
      </w:pPr>
      <w:r>
        <w:rPr>
          <w:sz w:val="20"/>
        </w:rPr>
        <w:t xml:space="preserve">просит осуществить технологическое присоединение 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энергопринимающих устройств для присоединения)</w:t>
      </w:r>
    </w:p>
    <w:p>
      <w:pPr>
        <w:pStyle w:val="1"/>
        <w:jc w:val="both"/>
      </w:pPr>
      <w:r>
        <w:rPr>
          <w:sz w:val="20"/>
        </w:rPr>
        <w:t xml:space="preserve">расположенных ____________________________________________________________.</w:t>
      </w:r>
    </w:p>
    <w:p>
      <w:pPr>
        <w:pStyle w:val="1"/>
        <w:jc w:val="both"/>
      </w:pPr>
      <w:r>
        <w:rPr>
          <w:sz w:val="20"/>
        </w:rPr>
        <w:t xml:space="preserve">                     (место нахождения энергопринимающих устройств)</w:t>
      </w:r>
    </w:p>
    <w:bookmarkStart w:id="2943" w:name="P2943"/>
    <w:bookmarkEnd w:id="2943"/>
    <w:p>
      <w:pPr>
        <w:pStyle w:val="1"/>
        <w:jc w:val="both"/>
      </w:pPr>
      <w:r>
        <w:rPr>
          <w:sz w:val="20"/>
        </w:rPr>
        <w:t xml:space="preserve">    6.    Максимальная    мощность    </w:t>
      </w:r>
      <w:hyperlink w:history="0" w:anchor="P3003" w:tooltip="&lt;2&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пункте 6 и подпункте &quot;а&quot; пункта 6 настоящего приложения величина мощности указывается одинаковая).">
        <w:r>
          <w:rPr>
            <w:sz w:val="20"/>
            <w:color w:val="0000ff"/>
          </w:rPr>
          <w:t xml:space="preserve">&lt;2&gt;</w:t>
        </w:r>
      </w:hyperlink>
      <w:r>
        <w:rPr>
          <w:sz w:val="20"/>
        </w:rPr>
        <w:t xml:space="preserve">    энергопринимающих    устройств</w:t>
      </w:r>
    </w:p>
    <w:p>
      <w:pPr>
        <w:pStyle w:val="1"/>
        <w:jc w:val="both"/>
      </w:pPr>
      <w:r>
        <w:rPr>
          <w:sz w:val="20"/>
        </w:rPr>
        <w:t xml:space="preserve">(присоединяемых и ранее присоединенных) составляет ____ кВт, при напряжении</w:t>
      </w:r>
    </w:p>
    <w:p>
      <w:pPr>
        <w:pStyle w:val="1"/>
        <w:jc w:val="both"/>
      </w:pPr>
      <w:hyperlink w:history="0" w:anchor="P3004" w:tooltip="&lt;3&gt; Классы напряжения (0,4; 6; 10) кВ.">
        <w:r>
          <w:rPr>
            <w:sz w:val="20"/>
            <w:color w:val="0000ff"/>
          </w:rPr>
          <w:t xml:space="preserve">&lt;3&gt;</w:t>
        </w:r>
      </w:hyperlink>
      <w:r>
        <w:rPr>
          <w:sz w:val="20"/>
        </w:rPr>
        <w:t xml:space="preserve"> ___ кВ, в том числе:</w:t>
      </w:r>
    </w:p>
    <w:bookmarkStart w:id="2946" w:name="P2946"/>
    <w:bookmarkEnd w:id="2946"/>
    <w:p>
      <w:pPr>
        <w:pStyle w:val="1"/>
        <w:jc w:val="both"/>
      </w:pPr>
      <w:r>
        <w:rPr>
          <w:sz w:val="20"/>
        </w:rPr>
        <w:t xml:space="preserve">    а)  максимальная  мощность  присоединяемых  энергопринимающих устройств</w:t>
      </w:r>
    </w:p>
    <w:p>
      <w:pPr>
        <w:pStyle w:val="1"/>
        <w:jc w:val="both"/>
      </w:pPr>
      <w:r>
        <w:rPr>
          <w:sz w:val="20"/>
        </w:rPr>
        <w:t xml:space="preserve">составляет __________ кВт при напряжении </w:t>
      </w:r>
      <w:hyperlink w:history="0" w:anchor="P3004" w:tooltip="&lt;3&gt; Классы напряжения (0,4; 6; 10) кВ.">
        <w:r>
          <w:rPr>
            <w:sz w:val="20"/>
            <w:color w:val="0000ff"/>
          </w:rPr>
          <w:t xml:space="preserve">&lt;3&gt;</w:t>
        </w:r>
      </w:hyperlink>
      <w:r>
        <w:rPr>
          <w:sz w:val="20"/>
        </w:rPr>
        <w:t xml:space="preserve"> _____ кВ;</w:t>
      </w:r>
    </w:p>
    <w:p>
      <w:pPr>
        <w:pStyle w:val="1"/>
        <w:jc w:val="both"/>
      </w:pPr>
      <w:r>
        <w:rPr>
          <w:sz w:val="20"/>
        </w:rPr>
        <w:t xml:space="preserve">    б)   максимальная   мощность   ранее   присоединенных  в  данной  точке</w:t>
      </w:r>
    </w:p>
    <w:p>
      <w:pPr>
        <w:pStyle w:val="1"/>
        <w:jc w:val="both"/>
      </w:pPr>
      <w:r>
        <w:rPr>
          <w:sz w:val="20"/>
        </w:rPr>
        <w:t xml:space="preserve">присоединения   энергопринимающих   устройств  составляет  ______  кВт  при</w:t>
      </w:r>
    </w:p>
    <w:p>
      <w:pPr>
        <w:pStyle w:val="1"/>
        <w:jc w:val="both"/>
      </w:pPr>
      <w:r>
        <w:rPr>
          <w:sz w:val="20"/>
        </w:rPr>
        <w:t xml:space="preserve">напряжении </w:t>
      </w:r>
      <w:hyperlink w:history="0" w:anchor="P3004" w:tooltip="&lt;3&gt; Классы напряжения (0,4; 6; 10) кВ.">
        <w:r>
          <w:rPr>
            <w:sz w:val="20"/>
            <w:color w:val="0000ff"/>
          </w:rPr>
          <w:t xml:space="preserve">&lt;3&gt;</w:t>
        </w:r>
      </w:hyperlink>
      <w:r>
        <w:rPr>
          <w:sz w:val="20"/>
        </w:rPr>
        <w:t xml:space="preserve"> _____ кВ.</w:t>
      </w:r>
    </w:p>
    <w:p>
      <w:pPr>
        <w:pStyle w:val="1"/>
        <w:jc w:val="both"/>
      </w:pPr>
      <w:r>
        <w:rPr>
          <w:sz w:val="20"/>
        </w:rPr>
        <w:t xml:space="preserve">    7.  Заявляемая  категория  энергопринимающего  устройства по надежности</w:t>
      </w:r>
    </w:p>
    <w:p>
      <w:pPr>
        <w:pStyle w:val="1"/>
        <w:jc w:val="both"/>
      </w:pPr>
      <w:r>
        <w:rPr>
          <w:sz w:val="20"/>
        </w:rPr>
        <w:t xml:space="preserve">электроснабжения - III (по одному источнику электроснабжения).</w:t>
      </w:r>
    </w:p>
    <w:p>
      <w:pPr>
        <w:pStyle w:val="1"/>
        <w:jc w:val="both"/>
      </w:pPr>
      <w:r>
        <w:rPr>
          <w:sz w:val="20"/>
        </w:rPr>
        <w:t xml:space="preserve">    8. Сроки проектирования и поэтапного введения в эксплуатацию объекта (в</w:t>
      </w:r>
    </w:p>
    <w:p>
      <w:pPr>
        <w:pStyle w:val="1"/>
        <w:jc w:val="both"/>
      </w:pPr>
      <w:r>
        <w:rPr>
          <w:sz w:val="20"/>
        </w:rPr>
        <w:t xml:space="preserve">том числе по этапам и очередям):</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88"/>
        <w:gridCol w:w="2404"/>
        <w:gridCol w:w="2404"/>
        <w:gridCol w:w="2404"/>
        <w:gridCol w:w="1360"/>
      </w:tblGrid>
      <w:tr>
        <w:tc>
          <w:tcPr>
            <w:tcW w:w="1588" w:type="dxa"/>
          </w:tcPr>
          <w:p>
            <w:pPr>
              <w:pStyle w:val="0"/>
              <w:jc w:val="center"/>
            </w:pPr>
            <w:r>
              <w:rPr>
                <w:sz w:val="20"/>
              </w:rPr>
              <w:t xml:space="preserve">Этап (очередь) строительства</w:t>
            </w:r>
          </w:p>
        </w:tc>
        <w:tc>
          <w:tcPr>
            <w:tcW w:w="2404" w:type="dxa"/>
          </w:tcPr>
          <w:p>
            <w:pPr>
              <w:pStyle w:val="0"/>
              <w:jc w:val="center"/>
            </w:pPr>
            <w:r>
              <w:rPr>
                <w:sz w:val="20"/>
              </w:rPr>
              <w:t xml:space="preserve">Планируемый срок проектирования энергопринимающего устройства (месяц, год)</w:t>
            </w:r>
          </w:p>
        </w:tc>
        <w:tc>
          <w:tcPr>
            <w:tcW w:w="2404" w:type="dxa"/>
          </w:tcPr>
          <w:p>
            <w:pPr>
              <w:pStyle w:val="0"/>
              <w:jc w:val="center"/>
            </w:pPr>
            <w:r>
              <w:rPr>
                <w:sz w:val="20"/>
              </w:rPr>
              <w:t xml:space="preserve">Планируемый срок введения энергопринимающего устройства в эксплуатацию (месяц, год)</w:t>
            </w:r>
          </w:p>
        </w:tc>
        <w:tc>
          <w:tcPr>
            <w:tcW w:w="2404" w:type="dxa"/>
          </w:tcPr>
          <w:p>
            <w:pPr>
              <w:pStyle w:val="0"/>
              <w:jc w:val="center"/>
            </w:pPr>
            <w:r>
              <w:rPr>
                <w:sz w:val="20"/>
              </w:rPr>
              <w:t xml:space="preserve">Максимальная мощность энергопринимающего устройства (кВт)</w:t>
            </w:r>
          </w:p>
        </w:tc>
        <w:tc>
          <w:tcPr>
            <w:tcW w:w="1360" w:type="dxa"/>
          </w:tcPr>
          <w:p>
            <w:pPr>
              <w:pStyle w:val="0"/>
              <w:jc w:val="center"/>
            </w:pPr>
            <w:r>
              <w:rPr>
                <w:sz w:val="20"/>
              </w:rPr>
              <w:t xml:space="preserve">Категория надежности</w:t>
            </w:r>
          </w:p>
        </w:tc>
      </w:tr>
      <w:tr>
        <w:tc>
          <w:tcPr>
            <w:tcW w:w="1588" w:type="dxa"/>
            <w:vAlign w:val="center"/>
          </w:tcPr>
          <w:p>
            <w:pPr>
              <w:pStyle w:val="0"/>
            </w:pPr>
            <w:r>
              <w:rPr>
                <w:sz w:val="20"/>
              </w:rPr>
            </w:r>
          </w:p>
        </w:tc>
        <w:tc>
          <w:tcPr>
            <w:tcW w:w="2404" w:type="dxa"/>
            <w:vAlign w:val="center"/>
          </w:tcPr>
          <w:p>
            <w:pPr>
              <w:pStyle w:val="0"/>
            </w:pPr>
            <w:r>
              <w:rPr>
                <w:sz w:val="20"/>
              </w:rPr>
            </w:r>
          </w:p>
        </w:tc>
        <w:tc>
          <w:tcPr>
            <w:tcW w:w="2404" w:type="dxa"/>
            <w:vAlign w:val="center"/>
          </w:tcPr>
          <w:p>
            <w:pPr>
              <w:pStyle w:val="0"/>
            </w:pPr>
            <w:r>
              <w:rPr>
                <w:sz w:val="20"/>
              </w:rPr>
            </w:r>
          </w:p>
        </w:tc>
        <w:tc>
          <w:tcPr>
            <w:tcW w:w="2404" w:type="dxa"/>
            <w:vAlign w:val="center"/>
          </w:tcPr>
          <w:p>
            <w:pPr>
              <w:pStyle w:val="0"/>
            </w:pPr>
            <w:r>
              <w:rPr>
                <w:sz w:val="20"/>
              </w:rPr>
            </w:r>
          </w:p>
        </w:tc>
        <w:tc>
          <w:tcPr>
            <w:tcW w:w="1360" w:type="dxa"/>
            <w:vAlign w:val="center"/>
          </w:tcPr>
          <w:p>
            <w:pPr>
              <w:pStyle w:val="0"/>
            </w:pPr>
            <w:r>
              <w:rPr>
                <w:sz w:val="20"/>
              </w:rPr>
            </w:r>
          </w:p>
        </w:tc>
      </w:tr>
      <w:tr>
        <w:tc>
          <w:tcPr>
            <w:tcW w:w="1588" w:type="dxa"/>
            <w:vAlign w:val="center"/>
          </w:tcPr>
          <w:p>
            <w:pPr>
              <w:pStyle w:val="0"/>
            </w:pPr>
            <w:r>
              <w:rPr>
                <w:sz w:val="20"/>
              </w:rPr>
            </w:r>
          </w:p>
        </w:tc>
        <w:tc>
          <w:tcPr>
            <w:tcW w:w="2404" w:type="dxa"/>
            <w:vAlign w:val="center"/>
          </w:tcPr>
          <w:p>
            <w:pPr>
              <w:pStyle w:val="0"/>
            </w:pPr>
            <w:r>
              <w:rPr>
                <w:sz w:val="20"/>
              </w:rPr>
            </w:r>
          </w:p>
        </w:tc>
        <w:tc>
          <w:tcPr>
            <w:tcW w:w="2404" w:type="dxa"/>
            <w:vAlign w:val="center"/>
          </w:tcPr>
          <w:p>
            <w:pPr>
              <w:pStyle w:val="0"/>
            </w:pPr>
            <w:r>
              <w:rPr>
                <w:sz w:val="20"/>
              </w:rPr>
            </w:r>
          </w:p>
        </w:tc>
        <w:tc>
          <w:tcPr>
            <w:tcW w:w="2404" w:type="dxa"/>
            <w:vAlign w:val="center"/>
          </w:tcPr>
          <w:p>
            <w:pPr>
              <w:pStyle w:val="0"/>
            </w:pPr>
            <w:r>
              <w:rPr>
                <w:sz w:val="20"/>
              </w:rPr>
            </w:r>
          </w:p>
        </w:tc>
        <w:tc>
          <w:tcPr>
            <w:tcW w:w="1360" w:type="dxa"/>
            <w:vAlign w:val="center"/>
          </w:tcPr>
          <w:p>
            <w:pPr>
              <w:pStyle w:val="0"/>
            </w:pPr>
            <w:r>
              <w:rPr>
                <w:sz w:val="20"/>
              </w:rPr>
            </w:r>
          </w:p>
        </w:tc>
      </w:tr>
      <w:tr>
        <w:tc>
          <w:tcPr>
            <w:tcW w:w="1588" w:type="dxa"/>
            <w:vAlign w:val="center"/>
          </w:tcPr>
          <w:p>
            <w:pPr>
              <w:pStyle w:val="0"/>
            </w:pPr>
            <w:r>
              <w:rPr>
                <w:sz w:val="20"/>
              </w:rPr>
            </w:r>
          </w:p>
        </w:tc>
        <w:tc>
          <w:tcPr>
            <w:tcW w:w="2404" w:type="dxa"/>
            <w:vAlign w:val="center"/>
          </w:tcPr>
          <w:p>
            <w:pPr>
              <w:pStyle w:val="0"/>
            </w:pPr>
            <w:r>
              <w:rPr>
                <w:sz w:val="20"/>
              </w:rPr>
            </w:r>
          </w:p>
        </w:tc>
        <w:tc>
          <w:tcPr>
            <w:tcW w:w="2404" w:type="dxa"/>
            <w:vAlign w:val="center"/>
          </w:tcPr>
          <w:p>
            <w:pPr>
              <w:pStyle w:val="0"/>
            </w:pPr>
            <w:r>
              <w:rPr>
                <w:sz w:val="20"/>
              </w:rPr>
            </w:r>
          </w:p>
        </w:tc>
        <w:tc>
          <w:tcPr>
            <w:tcW w:w="2404" w:type="dxa"/>
            <w:vAlign w:val="center"/>
          </w:tcPr>
          <w:p>
            <w:pPr>
              <w:pStyle w:val="0"/>
            </w:pPr>
            <w:r>
              <w:rPr>
                <w:sz w:val="20"/>
              </w:rPr>
            </w:r>
          </w:p>
        </w:tc>
        <w:tc>
          <w:tcPr>
            <w:tcW w:w="1360" w:type="dxa"/>
            <w:vAlign w:val="center"/>
          </w:tcPr>
          <w:p>
            <w:pPr>
              <w:pStyle w:val="0"/>
            </w:pPr>
            <w:r>
              <w:rPr>
                <w:sz w:val="20"/>
              </w:rPr>
            </w:r>
          </w:p>
        </w:tc>
      </w:tr>
    </w:tbl>
    <w:p>
      <w:pPr>
        <w:pStyle w:val="0"/>
        <w:jc w:val="both"/>
      </w:pPr>
      <w:r>
        <w:rPr>
          <w:sz w:val="20"/>
        </w:rPr>
      </w:r>
    </w:p>
    <w:p>
      <w:pPr>
        <w:pStyle w:val="1"/>
        <w:jc w:val="both"/>
      </w:pPr>
      <w:r>
        <w:rPr>
          <w:sz w:val="20"/>
        </w:rPr>
        <w:t xml:space="preserve">    9.  Гарантирующий  поставщик  (энергосбытовая  организация),  с которым</w:t>
      </w:r>
    </w:p>
    <w:p>
      <w:pPr>
        <w:pStyle w:val="1"/>
        <w:jc w:val="both"/>
      </w:pPr>
      <w:r>
        <w:rPr>
          <w:sz w:val="20"/>
        </w:rPr>
        <w:t xml:space="preserve">планируется     заключение    договора    электроснабжения   (купли-продажи</w:t>
      </w:r>
    </w:p>
    <w:p>
      <w:pPr>
        <w:pStyle w:val="1"/>
        <w:jc w:val="both"/>
      </w:pPr>
      <w:r>
        <w:rPr>
          <w:sz w:val="20"/>
        </w:rPr>
        <w:t xml:space="preserve">электрической энергии (мощности) ___________________.</w:t>
      </w:r>
    </w:p>
    <w:p>
      <w:pPr>
        <w:pStyle w:val="1"/>
        <w:jc w:val="both"/>
      </w:pPr>
      <w:r>
        <w:rPr>
          <w:sz w:val="20"/>
        </w:rPr>
      </w:r>
    </w:p>
    <w:p>
      <w:pPr>
        <w:pStyle w:val="1"/>
        <w:jc w:val="both"/>
      </w:pPr>
      <w:r>
        <w:rPr>
          <w:sz w:val="20"/>
        </w:rPr>
        <w:t xml:space="preserve">    Приложения:</w:t>
      </w:r>
    </w:p>
    <w:p>
      <w:pPr>
        <w:pStyle w:val="1"/>
        <w:jc w:val="both"/>
      </w:pPr>
      <w:r>
        <w:rPr>
          <w:sz w:val="20"/>
        </w:rPr>
        <w:t xml:space="preserve">    (указать перечень прилагаемых документов)</w:t>
      </w:r>
    </w:p>
    <w:p>
      <w:pPr>
        <w:pStyle w:val="1"/>
        <w:jc w:val="both"/>
      </w:pPr>
      <w:r>
        <w:rPr>
          <w:sz w:val="20"/>
        </w:rPr>
        <w:t xml:space="preserve">    1. ____________________________________________________________________</w:t>
      </w:r>
    </w:p>
    <w:p>
      <w:pPr>
        <w:pStyle w:val="1"/>
        <w:jc w:val="both"/>
      </w:pPr>
      <w:r>
        <w:rPr>
          <w:sz w:val="20"/>
        </w:rPr>
        <w:t xml:space="preserve">    2. ____________________________________________________________________</w:t>
      </w:r>
    </w:p>
    <w:p>
      <w:pPr>
        <w:pStyle w:val="1"/>
        <w:jc w:val="both"/>
      </w:pPr>
      <w:r>
        <w:rPr>
          <w:sz w:val="20"/>
        </w:rPr>
        <w:t xml:space="preserve">    3. ____________________________________________________________________</w:t>
      </w:r>
    </w:p>
    <w:p>
      <w:pPr>
        <w:pStyle w:val="1"/>
        <w:jc w:val="both"/>
      </w:pPr>
      <w:r>
        <w:rPr>
          <w:sz w:val="20"/>
        </w:rPr>
        <w:t xml:space="preserve">    4. ____________________________________________________________________</w:t>
      </w:r>
    </w:p>
    <w:p>
      <w:pPr>
        <w:pStyle w:val="1"/>
        <w:jc w:val="both"/>
      </w:pPr>
      <w:r>
        <w:rPr>
          <w:sz w:val="20"/>
        </w:rPr>
      </w:r>
    </w:p>
    <w:p>
      <w:pPr>
        <w:pStyle w:val="1"/>
        <w:jc w:val="both"/>
      </w:pPr>
      <w:r>
        <w:rPr>
          <w:sz w:val="20"/>
        </w:rPr>
        <w:t xml:space="preserve">Заявитель</w:t>
      </w:r>
    </w:p>
    <w:p>
      <w:pPr>
        <w:pStyle w:val="1"/>
        <w:jc w:val="both"/>
      </w:pPr>
      <w:r>
        <w:rPr>
          <w:sz w:val="20"/>
        </w:rPr>
        <w:t xml:space="preserve">____________________________________</w:t>
      </w:r>
    </w:p>
    <w:p>
      <w:pPr>
        <w:pStyle w:val="1"/>
        <w:jc w:val="both"/>
      </w:pPr>
      <w:r>
        <w:rPr>
          <w:sz w:val="20"/>
        </w:rPr>
        <w:t xml:space="preserve">      (фамилия, имя, отчество)</w:t>
      </w:r>
    </w:p>
    <w:p>
      <w:pPr>
        <w:pStyle w:val="1"/>
        <w:jc w:val="both"/>
      </w:pPr>
      <w:r>
        <w:rPr>
          <w:sz w:val="20"/>
        </w:rPr>
        <w:t xml:space="preserve">____________________________________</w:t>
      </w:r>
    </w:p>
    <w:p>
      <w:pPr>
        <w:pStyle w:val="1"/>
        <w:jc w:val="both"/>
      </w:pPr>
      <w:r>
        <w:rPr>
          <w:sz w:val="20"/>
        </w:rPr>
        <w:t xml:space="preserve">  (выделенный оператором подвижной</w:t>
      </w:r>
    </w:p>
    <w:p>
      <w:pPr>
        <w:pStyle w:val="1"/>
        <w:jc w:val="both"/>
      </w:pPr>
      <w:r>
        <w:rPr>
          <w:sz w:val="20"/>
        </w:rPr>
        <w:t xml:space="preserve">  радиотелефонной связи абонентский</w:t>
      </w:r>
    </w:p>
    <w:p>
      <w:pPr>
        <w:pStyle w:val="1"/>
        <w:jc w:val="both"/>
      </w:pPr>
      <w:r>
        <w:rPr>
          <w:sz w:val="20"/>
        </w:rPr>
        <w:t xml:space="preserve">      номер и адрес электронной</w:t>
      </w:r>
    </w:p>
    <w:p>
      <w:pPr>
        <w:pStyle w:val="1"/>
        <w:jc w:val="both"/>
      </w:pPr>
      <w:r>
        <w:rPr>
          <w:sz w:val="20"/>
        </w:rPr>
        <w:t xml:space="preserve">          почты заявителя)</w:t>
      </w:r>
    </w:p>
    <w:p>
      <w:pPr>
        <w:pStyle w:val="1"/>
        <w:jc w:val="both"/>
      </w:pPr>
      <w:r>
        <w:rPr>
          <w:sz w:val="20"/>
        </w:rPr>
        <w:t xml:space="preserve">____________________________________</w:t>
      </w:r>
    </w:p>
    <w:p>
      <w:pPr>
        <w:pStyle w:val="1"/>
        <w:jc w:val="both"/>
      </w:pPr>
      <w:r>
        <w:rPr>
          <w:sz w:val="20"/>
        </w:rPr>
        <w:t xml:space="preserve">             (подпись)</w:t>
      </w:r>
    </w:p>
    <w:p>
      <w:pPr>
        <w:pStyle w:val="1"/>
        <w:jc w:val="both"/>
      </w:pPr>
      <w:r>
        <w:rPr>
          <w:sz w:val="20"/>
        </w:rPr>
      </w:r>
    </w:p>
    <w:p>
      <w:pPr>
        <w:pStyle w:val="1"/>
        <w:jc w:val="both"/>
      </w:pPr>
      <w:r>
        <w:rPr>
          <w:sz w:val="20"/>
        </w:rPr>
        <w:t xml:space="preserve">"  "              20   г.</w:t>
      </w:r>
    </w:p>
    <w:p>
      <w:pPr>
        <w:pStyle w:val="0"/>
        <w:jc w:val="both"/>
      </w:pPr>
      <w:r>
        <w:rPr>
          <w:sz w:val="20"/>
        </w:rPr>
      </w:r>
    </w:p>
    <w:p>
      <w:pPr>
        <w:pStyle w:val="0"/>
        <w:ind w:firstLine="540"/>
        <w:jc w:val="both"/>
      </w:pPr>
      <w:r>
        <w:rPr>
          <w:sz w:val="20"/>
        </w:rPr>
        <w:t xml:space="preserve">--------------------------------</w:t>
      </w:r>
    </w:p>
    <w:bookmarkStart w:id="3002" w:name="P3002"/>
    <w:bookmarkEnd w:id="3002"/>
    <w:p>
      <w:pPr>
        <w:pStyle w:val="0"/>
        <w:spacing w:before="200" w:line-rule="auto"/>
        <w:ind w:firstLine="540"/>
        <w:jc w:val="both"/>
      </w:pPr>
      <w:r>
        <w:rPr>
          <w:sz w:val="20"/>
        </w:rPr>
        <w:t xml:space="preserve">&lt;1&gt; Максимальная мощность не превышает 15 кВт с учетом максимальной мощности ранее присоединенных в данной точке присоединения энергопринимающих устройств.</w:t>
      </w:r>
    </w:p>
    <w:bookmarkStart w:id="3003" w:name="P3003"/>
    <w:bookmarkEnd w:id="3003"/>
    <w:p>
      <w:pPr>
        <w:pStyle w:val="0"/>
        <w:spacing w:before="200" w:line-rule="auto"/>
        <w:ind w:firstLine="540"/>
        <w:jc w:val="both"/>
      </w:pPr>
      <w:r>
        <w:rPr>
          <w:sz w:val="20"/>
        </w:rPr>
        <w:t xml:space="preserve">&lt;2&gt;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history="0" w:anchor="P2943" w:tooltip="    6.    Максимальная    мощность    &lt;2&gt;    энергопринимающих    устройств">
        <w:r>
          <w:rPr>
            <w:sz w:val="20"/>
            <w:color w:val="0000ff"/>
          </w:rPr>
          <w:t xml:space="preserve">пункте 6</w:t>
        </w:r>
      </w:hyperlink>
      <w:r>
        <w:rPr>
          <w:sz w:val="20"/>
        </w:rPr>
        <w:t xml:space="preserve"> и </w:t>
      </w:r>
      <w:hyperlink w:history="0" w:anchor="P2946" w:tooltip="    а)  максимальная  мощность  присоединяемых  энергопринимающих устройств">
        <w:r>
          <w:rPr>
            <w:sz w:val="20"/>
            <w:color w:val="0000ff"/>
          </w:rPr>
          <w:t xml:space="preserve">подпункте "а" пункта 6</w:t>
        </w:r>
      </w:hyperlink>
      <w:r>
        <w:rPr>
          <w:sz w:val="20"/>
        </w:rPr>
        <w:t xml:space="preserve"> настоящего приложения величина мощности указывается одинаковая).</w:t>
      </w:r>
    </w:p>
    <w:bookmarkStart w:id="3004" w:name="P3004"/>
    <w:bookmarkEnd w:id="3004"/>
    <w:p>
      <w:pPr>
        <w:pStyle w:val="0"/>
        <w:spacing w:before="200" w:line-rule="auto"/>
        <w:ind w:firstLine="540"/>
        <w:jc w:val="both"/>
      </w:pPr>
      <w:r>
        <w:rPr>
          <w:sz w:val="20"/>
        </w:rPr>
        <w:t xml:space="preserve">&lt;3&gt; Классы напряжения (0,4; 6; 10) кВ.</w:t>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1"/>
        <w:jc w:val="right"/>
      </w:pPr>
      <w:r>
        <w:rPr>
          <w:sz w:val="20"/>
        </w:rPr>
        <w:t xml:space="preserve">Приложение N 7</w:t>
      </w:r>
    </w:p>
    <w:p>
      <w:pPr>
        <w:pStyle w:val="0"/>
        <w:jc w:val="right"/>
      </w:pPr>
      <w:r>
        <w:rPr>
          <w:sz w:val="20"/>
        </w:rPr>
        <w:t xml:space="preserve">к Правилам технологического</w:t>
      </w:r>
    </w:p>
    <w:p>
      <w:pPr>
        <w:pStyle w:val="0"/>
        <w:jc w:val="right"/>
      </w:pPr>
      <w:r>
        <w:rPr>
          <w:sz w:val="20"/>
        </w:rPr>
        <w:t xml:space="preserve">присоединения энергопринимающих</w:t>
      </w:r>
    </w:p>
    <w:p>
      <w:pPr>
        <w:pStyle w:val="0"/>
        <w:jc w:val="right"/>
      </w:pPr>
      <w:r>
        <w:rPr>
          <w:sz w:val="20"/>
        </w:rPr>
        <w:t xml:space="preserve">устройств потребителей</w:t>
      </w:r>
    </w:p>
    <w:p>
      <w:pPr>
        <w:pStyle w:val="0"/>
        <w:jc w:val="right"/>
      </w:pPr>
      <w:r>
        <w:rPr>
          <w:sz w:val="20"/>
        </w:rPr>
        <w:t xml:space="preserve">электрической энергии, объектов</w:t>
      </w:r>
    </w:p>
    <w:p>
      <w:pPr>
        <w:pStyle w:val="0"/>
        <w:jc w:val="right"/>
      </w:pPr>
      <w:r>
        <w:rPr>
          <w:sz w:val="20"/>
        </w:rPr>
        <w:t xml:space="preserve">по производству электрической</w:t>
      </w:r>
    </w:p>
    <w:p>
      <w:pPr>
        <w:pStyle w:val="0"/>
        <w:jc w:val="right"/>
      </w:pPr>
      <w:r>
        <w:rPr>
          <w:sz w:val="20"/>
        </w:rPr>
        <w:t xml:space="preserve">энергии, а также объектов</w:t>
      </w:r>
    </w:p>
    <w:p>
      <w:pPr>
        <w:pStyle w:val="0"/>
        <w:jc w:val="right"/>
      </w:pPr>
      <w:r>
        <w:rPr>
          <w:sz w:val="20"/>
        </w:rPr>
        <w:t xml:space="preserve">электросетевого хозяйства,</w:t>
      </w:r>
    </w:p>
    <w:p>
      <w:pPr>
        <w:pStyle w:val="0"/>
        <w:jc w:val="right"/>
      </w:pPr>
      <w:r>
        <w:rPr>
          <w:sz w:val="20"/>
        </w:rPr>
        <w:t xml:space="preserve">принадлежащих сетевым организациям</w:t>
      </w:r>
    </w:p>
    <w:p>
      <w:pPr>
        <w:pStyle w:val="0"/>
        <w:jc w:val="right"/>
      </w:pPr>
      <w:r>
        <w:rPr>
          <w:sz w:val="20"/>
        </w:rPr>
        <w:t xml:space="preserve">и иным лицам, к электрическим сетям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11.06.2015 </w:t>
            </w:r>
            <w:hyperlink w:history="0" r:id="rId1105" w:tooltip="Постановление Правительства РФ от 11.06.2015 N 588 (ред. от 10.03.2020, с изм. от 30.06.2022) &quot;О внесении изменений в постановление Правительства Российской Федерации от 27 декабря 2004 г. N 861&quot; {КонсультантПлюс}">
              <w:r>
                <w:rPr>
                  <w:sz w:val="20"/>
                  <w:color w:val="0000ff"/>
                </w:rPr>
                <w:t xml:space="preserve">N 588</w:t>
              </w:r>
            </w:hyperlink>
            <w:r>
              <w:rPr>
                <w:sz w:val="20"/>
                <w:color w:val="392c69"/>
              </w:rPr>
              <w:t xml:space="preserve">,</w:t>
            </w:r>
          </w:p>
          <w:p>
            <w:pPr>
              <w:pStyle w:val="0"/>
              <w:jc w:val="center"/>
            </w:pPr>
            <w:r>
              <w:rPr>
                <w:sz w:val="20"/>
                <w:color w:val="392c69"/>
              </w:rPr>
              <w:t xml:space="preserve">от 30.06.2022 </w:t>
            </w:r>
            <w:hyperlink w:history="0" r:id="rId1106"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1178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0"/>
        </w:rPr>
      </w:r>
    </w:p>
    <w:bookmarkStart w:id="3024" w:name="P3024"/>
    <w:bookmarkEnd w:id="3024"/>
    <w:p>
      <w:pPr>
        <w:pStyle w:val="1"/>
        <w:jc w:val="both"/>
      </w:pPr>
      <w:r>
        <w:rPr>
          <w:sz w:val="20"/>
        </w:rPr>
        <w:t xml:space="preserve">                                ЗАЯВКА </w:t>
      </w:r>
      <w:hyperlink w:history="0" w:anchor="P3151" w:tooltip="&lt;1&gt; За исключением лиц, указанных в пунктах 12(1) - 14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w:r>
          <w:rPr>
            <w:sz w:val="20"/>
            <w:color w:val="0000ff"/>
          </w:rPr>
          <w:t xml:space="preserve">&lt;1&gt;</w:t>
        </w:r>
      </w:hyperlink>
    </w:p>
    <w:p>
      <w:pPr>
        <w:pStyle w:val="1"/>
        <w:jc w:val="both"/>
      </w:pPr>
      <w:r>
        <w:rPr>
          <w:sz w:val="20"/>
        </w:rPr>
        <w:t xml:space="preserve">           юридического лица (индивидуального предпринимателя),</w:t>
      </w:r>
    </w:p>
    <w:p>
      <w:pPr>
        <w:pStyle w:val="1"/>
        <w:jc w:val="both"/>
      </w:pPr>
      <w:r>
        <w:rPr>
          <w:sz w:val="20"/>
        </w:rPr>
        <w:t xml:space="preserve">       физического лица на присоединение энергопринимающих устройств</w:t>
      </w:r>
    </w:p>
    <w:p>
      <w:pPr>
        <w:pStyle w:val="1"/>
        <w:jc w:val="both"/>
      </w:pPr>
      <w:r>
        <w:rPr>
          <w:sz w:val="20"/>
        </w:rPr>
      </w:r>
    </w:p>
    <w:p>
      <w:pPr>
        <w:pStyle w:val="1"/>
        <w:jc w:val="both"/>
      </w:pPr>
      <w:r>
        <w:rPr>
          <w:sz w:val="20"/>
        </w:rPr>
        <w:t xml:space="preserve">    1. ____________________________________________________________________</w:t>
      </w:r>
    </w:p>
    <w:p>
      <w:pPr>
        <w:pStyle w:val="1"/>
        <w:jc w:val="both"/>
      </w:pPr>
      <w:r>
        <w:rPr>
          <w:sz w:val="20"/>
        </w:rPr>
        <w:t xml:space="preserve">               (полное наименование заявителя - юридического лица;</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заявителя - индивидуального предпринимателя)</w:t>
      </w:r>
    </w:p>
    <w:p>
      <w:pPr>
        <w:pStyle w:val="1"/>
        <w:jc w:val="both"/>
      </w:pPr>
      <w:r>
        <w:rPr>
          <w:sz w:val="20"/>
        </w:rPr>
        <w:t xml:space="preserve">    2. Номер записи в Едином государственном реестре юридических лиц (номер</w:t>
      </w:r>
    </w:p>
    <w:p>
      <w:pPr>
        <w:pStyle w:val="1"/>
        <w:jc w:val="both"/>
      </w:pPr>
      <w:r>
        <w:rPr>
          <w:sz w:val="20"/>
        </w:rPr>
        <w:t xml:space="preserve">записи  в Едином государственном реестре индивидуальных предпринимателей) и</w:t>
      </w:r>
    </w:p>
    <w:p>
      <w:pPr>
        <w:pStyle w:val="1"/>
        <w:jc w:val="both"/>
      </w:pPr>
      <w:r>
        <w:rPr>
          <w:sz w:val="20"/>
        </w:rPr>
        <w:t xml:space="preserve">дата ее внесения в реестр </w:t>
      </w:r>
      <w:hyperlink w:history="0" w:anchor="P3152" w:tooltip="&lt;2&gt; Для юридических лиц и индивидуальных предпринимателей.">
        <w:r>
          <w:rPr>
            <w:sz w:val="20"/>
            <w:color w:val="0000ff"/>
          </w:rPr>
          <w:t xml:space="preserve">&lt;2&gt;</w:t>
        </w:r>
      </w:hyperlink>
      <w:r>
        <w:rPr>
          <w:sz w:val="20"/>
        </w:rPr>
        <w:t xml:space="preserve"> 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Паспортные данные </w:t>
      </w:r>
      <w:hyperlink w:history="0" w:anchor="P3153" w:tooltip="&lt;3&gt; Для физических лиц.">
        <w:r>
          <w:rPr>
            <w:sz w:val="20"/>
            <w:color w:val="0000ff"/>
          </w:rPr>
          <w:t xml:space="preserve">&lt;3&gt;</w:t>
        </w:r>
      </w:hyperlink>
      <w:r>
        <w:rPr>
          <w:sz w:val="20"/>
        </w:rPr>
        <w:t xml:space="preserve">: серия _________ номер __________________________</w:t>
      </w:r>
    </w:p>
    <w:p>
      <w:pPr>
        <w:pStyle w:val="1"/>
        <w:jc w:val="both"/>
      </w:pPr>
      <w:r>
        <w:rPr>
          <w:sz w:val="20"/>
        </w:rPr>
        <w:t xml:space="preserve">выдан (кем, когда) _______________________________________________________.</w:t>
      </w:r>
    </w:p>
    <w:p>
      <w:pPr>
        <w:pStyle w:val="1"/>
        <w:jc w:val="both"/>
      </w:pPr>
      <w:r>
        <w:rPr>
          <w:sz w:val="20"/>
        </w:rPr>
        <w:t xml:space="preserve">    3. Место нахождения заявителя, в том числе фактический адрес __________</w:t>
      </w:r>
    </w:p>
    <w:p>
      <w:pPr>
        <w:pStyle w:val="1"/>
        <w:jc w:val="both"/>
      </w:pPr>
      <w:r>
        <w:rPr>
          <w:sz w:val="20"/>
        </w:rPr>
        <w:t xml:space="preserve">__________________________________________________________________________.</w:t>
      </w:r>
    </w:p>
    <w:p>
      <w:pPr>
        <w:pStyle w:val="1"/>
        <w:jc w:val="both"/>
      </w:pPr>
      <w:r>
        <w:rPr>
          <w:sz w:val="20"/>
        </w:rPr>
        <w:t xml:space="preserve">                             (индекс, адрес)</w:t>
      </w:r>
    </w:p>
    <w:p>
      <w:pPr>
        <w:pStyle w:val="1"/>
        <w:jc w:val="both"/>
      </w:pPr>
      <w:r>
        <w:rPr>
          <w:sz w:val="20"/>
        </w:rPr>
        <w:t xml:space="preserve">    3(1).  Страховой  номер  индивидуального лицевого счета заявителя  (для</w:t>
      </w:r>
    </w:p>
    <w:p>
      <w:pPr>
        <w:pStyle w:val="1"/>
        <w:jc w:val="both"/>
      </w:pPr>
      <w:r>
        <w:rPr>
          <w:sz w:val="20"/>
        </w:rPr>
        <w:t xml:space="preserve">физических лиц) __________________________________________________________.</w:t>
      </w:r>
    </w:p>
    <w:p>
      <w:pPr>
        <w:pStyle w:val="1"/>
        <w:jc w:val="both"/>
      </w:pPr>
      <w:r>
        <w:rPr>
          <w:sz w:val="20"/>
        </w:rPr>
        <w:t xml:space="preserve">    4. В связи с 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(увеличение объема максимальной мощности, новое строительство,</w:t>
      </w:r>
    </w:p>
    <w:p>
      <w:pPr>
        <w:pStyle w:val="1"/>
        <w:jc w:val="both"/>
      </w:pPr>
      <w:r>
        <w:rPr>
          <w:sz w:val="20"/>
        </w:rPr>
        <w:t xml:space="preserve">  изменение категории надежности электроснабжения и др. - указать нужное)</w:t>
      </w:r>
    </w:p>
    <w:p>
      <w:pPr>
        <w:pStyle w:val="1"/>
        <w:jc w:val="both"/>
      </w:pPr>
      <w:r>
        <w:rPr>
          <w:sz w:val="20"/>
        </w:rPr>
        <w:t xml:space="preserve">просит осуществить технологическое присоединение 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энергопринимающих устройств для присоединения)</w:t>
      </w:r>
    </w:p>
    <w:p>
      <w:pPr>
        <w:pStyle w:val="1"/>
        <w:jc w:val="both"/>
      </w:pPr>
      <w:r>
        <w:rPr>
          <w:sz w:val="20"/>
        </w:rPr>
        <w:t xml:space="preserve">расположенных ____________________________________________________________.</w:t>
      </w:r>
    </w:p>
    <w:p>
      <w:pPr>
        <w:pStyle w:val="1"/>
        <w:jc w:val="both"/>
      </w:pPr>
      <w:r>
        <w:rPr>
          <w:sz w:val="20"/>
        </w:rPr>
        <w:t xml:space="preserve">                     (место нахождения энергопринимающих устройств)</w:t>
      </w:r>
    </w:p>
    <w:p>
      <w:pPr>
        <w:pStyle w:val="1"/>
        <w:jc w:val="both"/>
      </w:pPr>
      <w:r>
        <w:rPr>
          <w:sz w:val="20"/>
        </w:rPr>
        <w:t xml:space="preserve">    5.  Количество  точек  присоединения с указанием технических параметров</w:t>
      </w:r>
    </w:p>
    <w:p>
      <w:pPr>
        <w:pStyle w:val="1"/>
        <w:jc w:val="both"/>
      </w:pPr>
      <w:r>
        <w:rPr>
          <w:sz w:val="20"/>
        </w:rPr>
        <w:t xml:space="preserve">элементов энергопринимающих устройств 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(описание существующей сети для присоединения,</w:t>
      </w:r>
    </w:p>
    <w:p>
      <w:pPr>
        <w:pStyle w:val="1"/>
        <w:jc w:val="both"/>
      </w:pPr>
      <w:r>
        <w:rPr>
          <w:sz w:val="20"/>
        </w:rPr>
        <w:t xml:space="preserve">__________________________________________________________________________.</w:t>
      </w:r>
    </w:p>
    <w:p>
      <w:pPr>
        <w:pStyle w:val="1"/>
        <w:jc w:val="both"/>
      </w:pPr>
      <w:r>
        <w:rPr>
          <w:sz w:val="20"/>
        </w:rPr>
        <w:t xml:space="preserve">   максимальной мощности (дополнительно или вновь) или (и) планируемых</w:t>
      </w:r>
    </w:p>
    <w:p>
      <w:pPr>
        <w:pStyle w:val="1"/>
        <w:jc w:val="both"/>
      </w:pPr>
      <w:r>
        <w:rPr>
          <w:sz w:val="20"/>
        </w:rPr>
        <w:t xml:space="preserve">                          точек присоединения)</w:t>
      </w:r>
    </w:p>
    <w:bookmarkStart w:id="3060" w:name="P3060"/>
    <w:bookmarkEnd w:id="3060"/>
    <w:p>
      <w:pPr>
        <w:pStyle w:val="1"/>
        <w:jc w:val="both"/>
      </w:pPr>
      <w:r>
        <w:rPr>
          <w:sz w:val="20"/>
        </w:rPr>
        <w:t xml:space="preserve">    6.    Максимальная    мощность    </w:t>
      </w:r>
      <w:hyperlink w:history="0" w:anchor="P3154" w:tooltip="&lt;4&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пункте 6 и подпункте &quot;а&quot; пункта 6 настоящего приложения величина мощности указывается одинаковая).">
        <w:r>
          <w:rPr>
            <w:sz w:val="20"/>
            <w:color w:val="0000ff"/>
          </w:rPr>
          <w:t xml:space="preserve">&lt;4&gt;</w:t>
        </w:r>
      </w:hyperlink>
      <w:r>
        <w:rPr>
          <w:sz w:val="20"/>
        </w:rPr>
        <w:t xml:space="preserve">    энергопринимающих    устройств</w:t>
      </w:r>
    </w:p>
    <w:p>
      <w:pPr>
        <w:pStyle w:val="1"/>
        <w:jc w:val="both"/>
      </w:pPr>
      <w:r>
        <w:rPr>
          <w:sz w:val="20"/>
        </w:rPr>
        <w:t xml:space="preserve">(присоединяемых и ранее присоединенных) составляет _____ кВт при напряжении</w:t>
      </w:r>
    </w:p>
    <w:p>
      <w:pPr>
        <w:pStyle w:val="1"/>
        <w:jc w:val="both"/>
      </w:pPr>
      <w:hyperlink w:history="0" w:anchor="P3155" w:tooltip="&lt;5&gt; Классы напряжения (0,4; 6; 10) кВ.">
        <w:r>
          <w:rPr>
            <w:sz w:val="20"/>
            <w:color w:val="0000ff"/>
          </w:rPr>
          <w:t xml:space="preserve">&lt;5&gt;</w:t>
        </w:r>
      </w:hyperlink>
      <w:r>
        <w:rPr>
          <w:sz w:val="20"/>
        </w:rPr>
        <w:t xml:space="preserve"> _____ кВ (с распределением по точкам присоединения: точка присоединения</w:t>
      </w:r>
    </w:p>
    <w:p>
      <w:pPr>
        <w:pStyle w:val="1"/>
        <w:jc w:val="both"/>
      </w:pPr>
      <w:r>
        <w:rPr>
          <w:sz w:val="20"/>
        </w:rPr>
        <w:t xml:space="preserve">___________   -   _____________  кВт,  точка  присоединения  ___________  -</w:t>
      </w:r>
    </w:p>
    <w:p>
      <w:pPr>
        <w:pStyle w:val="1"/>
        <w:jc w:val="both"/>
      </w:pPr>
      <w:r>
        <w:rPr>
          <w:sz w:val="20"/>
        </w:rPr>
        <w:t xml:space="preserve">_____________ кВт), в том числе:</w:t>
      </w:r>
    </w:p>
    <w:bookmarkStart w:id="3065" w:name="P3065"/>
    <w:bookmarkEnd w:id="3065"/>
    <w:p>
      <w:pPr>
        <w:pStyle w:val="1"/>
        <w:jc w:val="both"/>
      </w:pPr>
      <w:r>
        <w:rPr>
          <w:sz w:val="20"/>
        </w:rPr>
        <w:t xml:space="preserve">    а)  максимальная  мощность  присоединяемых  энергопринимающих устройств</w:t>
      </w:r>
    </w:p>
    <w:p>
      <w:pPr>
        <w:pStyle w:val="1"/>
        <w:jc w:val="both"/>
      </w:pPr>
      <w:r>
        <w:rPr>
          <w:sz w:val="20"/>
        </w:rPr>
        <w:t xml:space="preserve">составляет   __________ кВт   при   напряжении   _____  кВ   со   следующим</w:t>
      </w:r>
    </w:p>
    <w:p>
      <w:pPr>
        <w:pStyle w:val="1"/>
        <w:jc w:val="both"/>
      </w:pPr>
      <w:r>
        <w:rPr>
          <w:sz w:val="20"/>
        </w:rPr>
        <w:t xml:space="preserve">распределением по точкам присоединения:</w:t>
      </w:r>
    </w:p>
    <w:p>
      <w:pPr>
        <w:pStyle w:val="1"/>
        <w:jc w:val="both"/>
      </w:pPr>
      <w:r>
        <w:rPr>
          <w:sz w:val="20"/>
        </w:rPr>
        <w:t xml:space="preserve">    точка присоединения ___________ - _____________ кВт;</w:t>
      </w:r>
    </w:p>
    <w:p>
      <w:pPr>
        <w:pStyle w:val="1"/>
        <w:jc w:val="both"/>
      </w:pPr>
      <w:r>
        <w:rPr>
          <w:sz w:val="20"/>
        </w:rPr>
        <w:t xml:space="preserve">    точка присоединения ___________ - _____________ кВт;</w:t>
      </w:r>
    </w:p>
    <w:p>
      <w:pPr>
        <w:pStyle w:val="1"/>
        <w:jc w:val="both"/>
      </w:pPr>
      <w:r>
        <w:rPr>
          <w:sz w:val="20"/>
        </w:rPr>
        <w:t xml:space="preserve">    б)   максимальная   мощность   ранее  присоединенных  энергопринимающих</w:t>
      </w:r>
    </w:p>
    <w:p>
      <w:pPr>
        <w:pStyle w:val="1"/>
        <w:jc w:val="both"/>
      </w:pPr>
      <w:r>
        <w:rPr>
          <w:sz w:val="20"/>
        </w:rPr>
        <w:t xml:space="preserve">устройств  составляет  _____  кВт  при  напряжении  _____  кВ  со следующим</w:t>
      </w:r>
    </w:p>
    <w:p>
      <w:pPr>
        <w:pStyle w:val="1"/>
        <w:jc w:val="both"/>
      </w:pPr>
      <w:r>
        <w:rPr>
          <w:sz w:val="20"/>
        </w:rPr>
        <w:t xml:space="preserve">распределением по точкам присоединения:</w:t>
      </w:r>
    </w:p>
    <w:p>
      <w:pPr>
        <w:pStyle w:val="1"/>
        <w:jc w:val="both"/>
      </w:pPr>
      <w:r>
        <w:rPr>
          <w:sz w:val="20"/>
        </w:rPr>
        <w:t xml:space="preserve">    точка присоединения ___________ - _____________ кВт;</w:t>
      </w:r>
    </w:p>
    <w:p>
      <w:pPr>
        <w:pStyle w:val="1"/>
        <w:jc w:val="both"/>
      </w:pPr>
      <w:r>
        <w:rPr>
          <w:sz w:val="20"/>
        </w:rPr>
        <w:t xml:space="preserve">    точка присоединения ___________ - _____________ кВт.</w:t>
      </w:r>
    </w:p>
    <w:bookmarkStart w:id="3075" w:name="P3075"/>
    <w:bookmarkEnd w:id="3075"/>
    <w:p>
      <w:pPr>
        <w:pStyle w:val="1"/>
        <w:jc w:val="both"/>
      </w:pPr>
      <w:r>
        <w:rPr>
          <w:sz w:val="20"/>
        </w:rPr>
        <w:t xml:space="preserve">    7. Количество и мощность присоединяемых к сети трансформаторов ________</w:t>
      </w:r>
    </w:p>
    <w:p>
      <w:pPr>
        <w:pStyle w:val="1"/>
        <w:jc w:val="both"/>
      </w:pPr>
      <w:r>
        <w:rPr>
          <w:sz w:val="20"/>
        </w:rPr>
        <w:t xml:space="preserve">кВА.</w:t>
      </w:r>
    </w:p>
    <w:bookmarkStart w:id="3077" w:name="P3077"/>
    <w:bookmarkEnd w:id="3077"/>
    <w:p>
      <w:pPr>
        <w:pStyle w:val="1"/>
        <w:jc w:val="both"/>
      </w:pPr>
      <w:r>
        <w:rPr>
          <w:sz w:val="20"/>
        </w:rPr>
        <w:t xml:space="preserve">    8. Количество и мощность генераторов _____________________________.</w:t>
      </w:r>
    </w:p>
    <w:p>
      <w:pPr>
        <w:pStyle w:val="1"/>
        <w:jc w:val="both"/>
      </w:pPr>
      <w:r>
        <w:rPr>
          <w:sz w:val="20"/>
        </w:rPr>
        <w:t xml:space="preserve">    9. Заявляемая категория надежности энергопринимающих устройств </w:t>
      </w:r>
      <w:hyperlink w:history="0" w:anchor="P3156" w:tooltip="&lt;6&gt; Не указывается при присоединении генерирующих объектов.">
        <w:r>
          <w:rPr>
            <w:sz w:val="20"/>
            <w:color w:val="0000ff"/>
          </w:rPr>
          <w:t xml:space="preserve">&lt;6&gt;</w:t>
        </w:r>
      </w:hyperlink>
      <w:r>
        <w:rPr>
          <w:sz w:val="20"/>
        </w:rPr>
        <w:t xml:space="preserve">:</w:t>
      </w:r>
    </w:p>
    <w:p>
      <w:pPr>
        <w:pStyle w:val="1"/>
        <w:jc w:val="both"/>
      </w:pPr>
      <w:r>
        <w:rPr>
          <w:sz w:val="20"/>
        </w:rPr>
        <w:t xml:space="preserve">    I категория ___________кВт;</w:t>
      </w:r>
    </w:p>
    <w:p>
      <w:pPr>
        <w:pStyle w:val="1"/>
        <w:jc w:val="both"/>
      </w:pPr>
      <w:r>
        <w:rPr>
          <w:sz w:val="20"/>
        </w:rPr>
        <w:t xml:space="preserve">    II категория __________ кВт;</w:t>
      </w:r>
    </w:p>
    <w:p>
      <w:pPr>
        <w:pStyle w:val="1"/>
        <w:jc w:val="both"/>
      </w:pPr>
      <w:r>
        <w:rPr>
          <w:sz w:val="20"/>
        </w:rPr>
        <w:t xml:space="preserve">    III категория ____________ кВт.</w:t>
      </w:r>
    </w:p>
    <w:p>
      <w:pPr>
        <w:pStyle w:val="1"/>
        <w:jc w:val="both"/>
      </w:pPr>
      <w:r>
        <w:rPr>
          <w:sz w:val="20"/>
        </w:rPr>
        <w:t xml:space="preserve">    10.  Заявляемый характер нагрузки (для генераторов - возможная скорость</w:t>
      </w:r>
    </w:p>
    <w:p>
      <w:pPr>
        <w:pStyle w:val="1"/>
        <w:jc w:val="both"/>
      </w:pPr>
      <w:r>
        <w:rPr>
          <w:sz w:val="20"/>
        </w:rPr>
        <w:t xml:space="preserve">набора  или  снижения нагрузки) и наличие нагрузок, искажающих форму кривой</w:t>
      </w:r>
    </w:p>
    <w:p>
      <w:pPr>
        <w:pStyle w:val="1"/>
        <w:jc w:val="both"/>
      </w:pPr>
      <w:r>
        <w:rPr>
          <w:sz w:val="20"/>
        </w:rPr>
        <w:t xml:space="preserve">электрического   тока   и   вызывающих   несимметрию  напряжения  в  точках</w:t>
      </w:r>
    </w:p>
    <w:p>
      <w:pPr>
        <w:pStyle w:val="1"/>
        <w:jc w:val="both"/>
      </w:pPr>
      <w:r>
        <w:rPr>
          <w:sz w:val="20"/>
        </w:rPr>
        <w:t xml:space="preserve">присоединения </w:t>
      </w:r>
      <w:hyperlink w:history="0" w:anchor="P3157" w:tooltip="&lt;7&gt; Заявители, максимальная мощность энергопринимающих устройств по одному источнику электроснабжения которых составляет свыше 150 кВт и менее 670 кВт, указывают только характер нагрузки (для производственной деятельности).">
        <w:r>
          <w:rPr>
            <w:sz w:val="20"/>
            <w:color w:val="0000ff"/>
          </w:rPr>
          <w:t xml:space="preserve">&lt;7&gt;</w:t>
        </w:r>
      </w:hyperlink>
      <w:r>
        <w:rPr>
          <w:sz w:val="20"/>
        </w:rPr>
        <w:t xml:space="preserve"> _________________________________________________________</w:t>
      </w:r>
    </w:p>
    <w:p>
      <w:pPr>
        <w:pStyle w:val="1"/>
        <w:jc w:val="both"/>
      </w:pPr>
      <w:r>
        <w:rPr>
          <w:sz w:val="20"/>
        </w:rPr>
        <w:t xml:space="preserve">__________________________________________________________________________.</w:t>
      </w:r>
    </w:p>
    <w:bookmarkStart w:id="3087" w:name="P3087"/>
    <w:bookmarkEnd w:id="3087"/>
    <w:p>
      <w:pPr>
        <w:pStyle w:val="1"/>
        <w:jc w:val="both"/>
      </w:pPr>
      <w:r>
        <w:rPr>
          <w:sz w:val="20"/>
        </w:rPr>
        <w:t xml:space="preserve">    11.  Величина  и  обоснование  величины  технологического минимума (для</w:t>
      </w:r>
    </w:p>
    <w:p>
      <w:pPr>
        <w:pStyle w:val="1"/>
        <w:jc w:val="both"/>
      </w:pPr>
      <w:r>
        <w:rPr>
          <w:sz w:val="20"/>
        </w:rPr>
        <w:t xml:space="preserve">генераторов) ______________________________________________________________</w:t>
      </w:r>
    </w:p>
    <w:p>
      <w:pPr>
        <w:pStyle w:val="1"/>
        <w:jc w:val="both"/>
      </w:pPr>
      <w:r>
        <w:rPr>
          <w:sz w:val="20"/>
        </w:rPr>
        <w:t xml:space="preserve">__________________________________________________________________________.</w:t>
      </w:r>
    </w:p>
    <w:bookmarkStart w:id="3090" w:name="P3090"/>
    <w:bookmarkEnd w:id="3090"/>
    <w:p>
      <w:pPr>
        <w:pStyle w:val="1"/>
        <w:jc w:val="both"/>
      </w:pPr>
      <w:r>
        <w:rPr>
          <w:sz w:val="20"/>
        </w:rPr>
        <w:t xml:space="preserve">    12. Необходимость  наличия  технологической и (или) аварийной брони </w:t>
      </w:r>
      <w:hyperlink w:history="0" w:anchor="P3158" w:tooltip="&lt;8&gt; Для энергопринимающих устройств потребителей электрической энергии.">
        <w:r>
          <w:rPr>
            <w:sz w:val="20"/>
            <w:color w:val="0000ff"/>
          </w:rPr>
          <w:t xml:space="preserve">&lt;8&gt;</w:t>
        </w:r>
      </w:hyperlink>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Величина и обоснование технологической и аварийной брони 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13.  Сроки  проектирования и поэтапного введения в эксплуатацию объекта</w:t>
      </w:r>
    </w:p>
    <w:p>
      <w:pPr>
        <w:pStyle w:val="1"/>
        <w:jc w:val="both"/>
      </w:pPr>
      <w:r>
        <w:rPr>
          <w:sz w:val="20"/>
        </w:rPr>
        <w:t xml:space="preserve">(в  том  числе  по  этапам и очередям), планируемое поэтапное распределение</w:t>
      </w:r>
    </w:p>
    <w:p>
      <w:pPr>
        <w:pStyle w:val="1"/>
        <w:jc w:val="both"/>
      </w:pPr>
      <w:r>
        <w:rPr>
          <w:sz w:val="20"/>
        </w:rPr>
        <w:t xml:space="preserve">максимальной мощности:</w:t>
      </w:r>
    </w:p>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88"/>
        <w:gridCol w:w="2332"/>
        <w:gridCol w:w="2332"/>
        <w:gridCol w:w="2332"/>
        <w:gridCol w:w="2332"/>
      </w:tblGrid>
      <w:tr>
        <w:tc>
          <w:tcPr>
            <w:tcW w:w="1588" w:type="dxa"/>
          </w:tcPr>
          <w:p>
            <w:pPr>
              <w:pStyle w:val="0"/>
              <w:jc w:val="center"/>
            </w:pPr>
            <w:r>
              <w:rPr>
                <w:sz w:val="20"/>
              </w:rPr>
              <w:t xml:space="preserve">Этап (очередь) строительства</w:t>
            </w:r>
          </w:p>
        </w:tc>
        <w:tc>
          <w:tcPr>
            <w:tcW w:w="2332" w:type="dxa"/>
          </w:tcPr>
          <w:p>
            <w:pPr>
              <w:pStyle w:val="0"/>
              <w:jc w:val="center"/>
            </w:pPr>
            <w:r>
              <w:rPr>
                <w:sz w:val="20"/>
              </w:rPr>
              <w:t xml:space="preserve">Планируемый срок проектирования энергопринимающих устройств (месяц, год)</w:t>
            </w:r>
          </w:p>
        </w:tc>
        <w:tc>
          <w:tcPr>
            <w:tcW w:w="2332" w:type="dxa"/>
          </w:tcPr>
          <w:p>
            <w:pPr>
              <w:pStyle w:val="0"/>
              <w:jc w:val="center"/>
            </w:pPr>
            <w:r>
              <w:rPr>
                <w:sz w:val="20"/>
              </w:rPr>
              <w:t xml:space="preserve">Планируемый срок введения энергопринимающих устройств в эксплуатацию (месяц, год)</w:t>
            </w:r>
          </w:p>
        </w:tc>
        <w:tc>
          <w:tcPr>
            <w:tcW w:w="2332" w:type="dxa"/>
          </w:tcPr>
          <w:p>
            <w:pPr>
              <w:pStyle w:val="0"/>
              <w:jc w:val="center"/>
            </w:pPr>
            <w:r>
              <w:rPr>
                <w:sz w:val="20"/>
              </w:rPr>
              <w:t xml:space="preserve">Максимальная мощность энергопринимающих устройств (кВт)</w:t>
            </w:r>
          </w:p>
        </w:tc>
        <w:tc>
          <w:tcPr>
            <w:tcW w:w="2332" w:type="dxa"/>
          </w:tcPr>
          <w:p>
            <w:pPr>
              <w:pStyle w:val="0"/>
              <w:jc w:val="center"/>
            </w:pPr>
            <w:r>
              <w:rPr>
                <w:sz w:val="20"/>
              </w:rPr>
              <w:t xml:space="preserve">Категория надежности энергопринимающих устройств</w:t>
            </w:r>
          </w:p>
        </w:tc>
      </w:tr>
      <w:tr>
        <w:tc>
          <w:tcPr>
            <w:tcW w:w="1588" w:type="dxa"/>
            <w:vAlign w:val="center"/>
          </w:tcPr>
          <w:p>
            <w:pPr>
              <w:pStyle w:val="0"/>
            </w:pPr>
            <w:r>
              <w:rPr>
                <w:sz w:val="20"/>
              </w:rPr>
            </w:r>
          </w:p>
        </w:tc>
        <w:tc>
          <w:tcPr>
            <w:tcW w:w="2332" w:type="dxa"/>
            <w:vAlign w:val="center"/>
          </w:tcPr>
          <w:p>
            <w:pPr>
              <w:pStyle w:val="0"/>
            </w:pPr>
            <w:r>
              <w:rPr>
                <w:sz w:val="20"/>
              </w:rPr>
            </w:r>
          </w:p>
        </w:tc>
        <w:tc>
          <w:tcPr>
            <w:tcW w:w="2332" w:type="dxa"/>
            <w:vAlign w:val="center"/>
          </w:tcPr>
          <w:p>
            <w:pPr>
              <w:pStyle w:val="0"/>
            </w:pPr>
            <w:r>
              <w:rPr>
                <w:sz w:val="20"/>
              </w:rPr>
            </w:r>
          </w:p>
        </w:tc>
        <w:tc>
          <w:tcPr>
            <w:tcW w:w="2332" w:type="dxa"/>
            <w:vAlign w:val="center"/>
          </w:tcPr>
          <w:p>
            <w:pPr>
              <w:pStyle w:val="0"/>
            </w:pPr>
            <w:r>
              <w:rPr>
                <w:sz w:val="20"/>
              </w:rPr>
            </w:r>
          </w:p>
        </w:tc>
        <w:tc>
          <w:tcPr>
            <w:tcW w:w="2332" w:type="dxa"/>
            <w:vAlign w:val="center"/>
          </w:tcPr>
          <w:p>
            <w:pPr>
              <w:pStyle w:val="0"/>
            </w:pPr>
            <w:r>
              <w:rPr>
                <w:sz w:val="20"/>
              </w:rPr>
            </w:r>
          </w:p>
        </w:tc>
      </w:tr>
      <w:tr>
        <w:tc>
          <w:tcPr>
            <w:tcW w:w="1588" w:type="dxa"/>
            <w:vAlign w:val="center"/>
          </w:tcPr>
          <w:p>
            <w:pPr>
              <w:pStyle w:val="0"/>
            </w:pPr>
            <w:r>
              <w:rPr>
                <w:sz w:val="20"/>
              </w:rPr>
            </w:r>
          </w:p>
        </w:tc>
        <w:tc>
          <w:tcPr>
            <w:tcW w:w="2332" w:type="dxa"/>
            <w:vAlign w:val="center"/>
          </w:tcPr>
          <w:p>
            <w:pPr>
              <w:pStyle w:val="0"/>
            </w:pPr>
            <w:r>
              <w:rPr>
                <w:sz w:val="20"/>
              </w:rPr>
            </w:r>
          </w:p>
        </w:tc>
        <w:tc>
          <w:tcPr>
            <w:tcW w:w="2332" w:type="dxa"/>
            <w:vAlign w:val="center"/>
          </w:tcPr>
          <w:p>
            <w:pPr>
              <w:pStyle w:val="0"/>
            </w:pPr>
            <w:r>
              <w:rPr>
                <w:sz w:val="20"/>
              </w:rPr>
            </w:r>
          </w:p>
        </w:tc>
        <w:tc>
          <w:tcPr>
            <w:tcW w:w="2332" w:type="dxa"/>
            <w:vAlign w:val="center"/>
          </w:tcPr>
          <w:p>
            <w:pPr>
              <w:pStyle w:val="0"/>
            </w:pPr>
            <w:r>
              <w:rPr>
                <w:sz w:val="20"/>
              </w:rPr>
            </w:r>
          </w:p>
        </w:tc>
        <w:tc>
          <w:tcPr>
            <w:tcW w:w="2332" w:type="dxa"/>
            <w:vAlign w:val="center"/>
          </w:tcPr>
          <w:p>
            <w:pPr>
              <w:pStyle w:val="0"/>
            </w:pPr>
            <w:r>
              <w:rPr>
                <w:sz w:val="20"/>
              </w:rPr>
            </w:r>
          </w:p>
        </w:tc>
      </w:tr>
      <w:tr>
        <w:tc>
          <w:tcPr>
            <w:tcW w:w="1588" w:type="dxa"/>
            <w:vAlign w:val="center"/>
          </w:tcPr>
          <w:p>
            <w:pPr>
              <w:pStyle w:val="0"/>
            </w:pPr>
            <w:r>
              <w:rPr>
                <w:sz w:val="20"/>
              </w:rPr>
            </w:r>
          </w:p>
        </w:tc>
        <w:tc>
          <w:tcPr>
            <w:tcW w:w="2332" w:type="dxa"/>
            <w:vAlign w:val="center"/>
          </w:tcPr>
          <w:p>
            <w:pPr>
              <w:pStyle w:val="0"/>
            </w:pPr>
            <w:r>
              <w:rPr>
                <w:sz w:val="20"/>
              </w:rPr>
            </w:r>
          </w:p>
        </w:tc>
        <w:tc>
          <w:tcPr>
            <w:tcW w:w="2332" w:type="dxa"/>
            <w:vAlign w:val="center"/>
          </w:tcPr>
          <w:p>
            <w:pPr>
              <w:pStyle w:val="0"/>
            </w:pPr>
            <w:r>
              <w:rPr>
                <w:sz w:val="20"/>
              </w:rPr>
            </w:r>
          </w:p>
        </w:tc>
        <w:tc>
          <w:tcPr>
            <w:tcW w:w="2332" w:type="dxa"/>
            <w:vAlign w:val="center"/>
          </w:tcPr>
          <w:p>
            <w:pPr>
              <w:pStyle w:val="0"/>
            </w:pPr>
            <w:r>
              <w:rPr>
                <w:sz w:val="20"/>
              </w:rPr>
            </w:r>
          </w:p>
        </w:tc>
        <w:tc>
          <w:tcPr>
            <w:tcW w:w="2332" w:type="dxa"/>
            <w:vAlign w:val="center"/>
          </w:tcPr>
          <w:p>
            <w:pPr>
              <w:pStyle w:val="0"/>
            </w:pPr>
            <w:r>
              <w:rPr>
                <w:sz w:val="20"/>
              </w:rPr>
            </w:r>
          </w:p>
        </w:tc>
      </w:tr>
    </w:tbl>
    <w:p>
      <w:pPr>
        <w:sectPr>
          <w:headerReference w:type="default" r:id="rId1097"/>
          <w:headerReference w:type="first" r:id="rId1097"/>
          <w:footerReference w:type="default" r:id="rId1098"/>
          <w:footerReference w:type="first" r:id="rId1098"/>
          <w:pgSz w:w="16838" w:h="11906" w:orient="landscape"/>
          <w:pgMar w:top="1133" w:right="1440" w:bottom="566" w:left="1440" w:header="0" w:footer="0" w:gutter="0"/>
          <w:titlePg/>
        </w:sectPr>
      </w:pPr>
    </w:p>
    <w:p>
      <w:pPr>
        <w:pStyle w:val="0"/>
        <w:jc w:val="both"/>
      </w:pPr>
      <w:r>
        <w:rPr>
          <w:sz w:val="20"/>
        </w:rPr>
      </w:r>
    </w:p>
    <w:p>
      <w:pPr>
        <w:pStyle w:val="1"/>
        <w:jc w:val="both"/>
      </w:pPr>
      <w:r>
        <w:rPr>
          <w:sz w:val="20"/>
        </w:rPr>
        <w:t xml:space="preserve">    14.  Гарантирующий  поставщик  (энергосбытовая  организация), с которым</w:t>
      </w:r>
    </w:p>
    <w:p>
      <w:pPr>
        <w:pStyle w:val="1"/>
        <w:jc w:val="both"/>
      </w:pPr>
      <w:r>
        <w:rPr>
          <w:sz w:val="20"/>
        </w:rPr>
        <w:t xml:space="preserve">планируется     заключение     договора    энергоснабжения   (купли-продажи</w:t>
      </w:r>
    </w:p>
    <w:p>
      <w:pPr>
        <w:pStyle w:val="1"/>
        <w:jc w:val="both"/>
      </w:pPr>
      <w:r>
        <w:rPr>
          <w:sz w:val="20"/>
        </w:rPr>
        <w:t xml:space="preserve">электрической энергии (мощности) ___________________.</w:t>
      </w:r>
    </w:p>
    <w:p>
      <w:pPr>
        <w:pStyle w:val="1"/>
        <w:jc w:val="both"/>
      </w:pPr>
      <w:r>
        <w:rPr>
          <w:sz w:val="20"/>
        </w:rPr>
        <w:t xml:space="preserve">    Заявители,  максимальная  мощность  энергопринимающих устройств которых</w:t>
      </w:r>
    </w:p>
    <w:p>
      <w:pPr>
        <w:pStyle w:val="1"/>
        <w:jc w:val="both"/>
      </w:pPr>
      <w:r>
        <w:rPr>
          <w:sz w:val="20"/>
        </w:rPr>
        <w:t xml:space="preserve">составляет  свыше  150  кВт и менее 670 кВт, </w:t>
      </w:r>
      <w:hyperlink w:history="0" w:anchor="P3075" w:tooltip="    7. Количество и мощность присоединяемых к сети трансформаторов ________">
        <w:r>
          <w:rPr>
            <w:sz w:val="20"/>
            <w:color w:val="0000ff"/>
          </w:rPr>
          <w:t xml:space="preserve">пункты 7</w:t>
        </w:r>
      </w:hyperlink>
      <w:r>
        <w:rPr>
          <w:sz w:val="20"/>
        </w:rPr>
        <w:t xml:space="preserve">, </w:t>
      </w:r>
      <w:hyperlink w:history="0" w:anchor="P3077" w:tooltip="    8. Количество и мощность генераторов _____________________________.">
        <w:r>
          <w:rPr>
            <w:sz w:val="20"/>
            <w:color w:val="0000ff"/>
          </w:rPr>
          <w:t xml:space="preserve">8</w:t>
        </w:r>
      </w:hyperlink>
      <w:r>
        <w:rPr>
          <w:sz w:val="20"/>
        </w:rPr>
        <w:t xml:space="preserve">, </w:t>
      </w:r>
      <w:hyperlink w:history="0" w:anchor="P3087" w:tooltip="    11.  Величина  и  обоснование  величины  технологического минимума (для">
        <w:r>
          <w:rPr>
            <w:sz w:val="20"/>
            <w:color w:val="0000ff"/>
          </w:rPr>
          <w:t xml:space="preserve">11</w:t>
        </w:r>
      </w:hyperlink>
      <w:r>
        <w:rPr>
          <w:sz w:val="20"/>
        </w:rPr>
        <w:t xml:space="preserve"> и </w:t>
      </w:r>
      <w:hyperlink w:history="0" w:anchor="P3090" w:tooltip="    12. Необходимость  наличия  технологической и (или) аварийной брони &lt;8&gt;">
        <w:r>
          <w:rPr>
            <w:sz w:val="20"/>
            <w:color w:val="0000ff"/>
          </w:rPr>
          <w:t xml:space="preserve">12</w:t>
        </w:r>
      </w:hyperlink>
      <w:r>
        <w:rPr>
          <w:sz w:val="20"/>
        </w:rPr>
        <w:t xml:space="preserve"> настоящей</w:t>
      </w:r>
    </w:p>
    <w:p>
      <w:pPr>
        <w:pStyle w:val="1"/>
        <w:jc w:val="both"/>
      </w:pPr>
      <w:r>
        <w:rPr>
          <w:sz w:val="20"/>
        </w:rPr>
        <w:t xml:space="preserve">заявки не заполняют.</w:t>
      </w:r>
    </w:p>
    <w:p>
      <w:pPr>
        <w:pStyle w:val="1"/>
        <w:jc w:val="both"/>
      </w:pPr>
      <w:r>
        <w:rPr>
          <w:sz w:val="20"/>
        </w:rPr>
      </w:r>
    </w:p>
    <w:p>
      <w:pPr>
        <w:pStyle w:val="1"/>
        <w:jc w:val="both"/>
      </w:pPr>
      <w:r>
        <w:rPr>
          <w:sz w:val="20"/>
        </w:rPr>
        <w:t xml:space="preserve">    Приложения:</w:t>
      </w:r>
    </w:p>
    <w:p>
      <w:pPr>
        <w:pStyle w:val="1"/>
        <w:jc w:val="both"/>
      </w:pPr>
      <w:r>
        <w:rPr>
          <w:sz w:val="20"/>
        </w:rPr>
        <w:t xml:space="preserve">    (указать перечень прилагаемых документов)</w:t>
      </w:r>
    </w:p>
    <w:p>
      <w:pPr>
        <w:pStyle w:val="1"/>
        <w:jc w:val="both"/>
      </w:pPr>
      <w:r>
        <w:rPr>
          <w:sz w:val="20"/>
        </w:rPr>
        <w:t xml:space="preserve">    1. ____________________________________________________________________</w:t>
      </w:r>
    </w:p>
    <w:p>
      <w:pPr>
        <w:pStyle w:val="1"/>
        <w:jc w:val="both"/>
      </w:pPr>
      <w:r>
        <w:rPr>
          <w:sz w:val="20"/>
        </w:rPr>
        <w:t xml:space="preserve">    2. ____________________________________________________________________</w:t>
      </w:r>
    </w:p>
    <w:p>
      <w:pPr>
        <w:pStyle w:val="1"/>
        <w:jc w:val="both"/>
      </w:pPr>
      <w:r>
        <w:rPr>
          <w:sz w:val="20"/>
        </w:rPr>
        <w:t xml:space="preserve">    3. ____________________________________________________________________</w:t>
      </w:r>
    </w:p>
    <w:p>
      <w:pPr>
        <w:pStyle w:val="1"/>
        <w:jc w:val="both"/>
      </w:pPr>
      <w:r>
        <w:rPr>
          <w:sz w:val="20"/>
        </w:rPr>
        <w:t xml:space="preserve">    4. ____________________________________________________________________</w:t>
      </w:r>
    </w:p>
    <w:p>
      <w:pPr>
        <w:pStyle w:val="1"/>
        <w:jc w:val="both"/>
      </w:pPr>
      <w:r>
        <w:rPr>
          <w:sz w:val="20"/>
        </w:rPr>
      </w:r>
    </w:p>
    <w:p>
      <w:pPr>
        <w:pStyle w:val="1"/>
        <w:jc w:val="both"/>
      </w:pPr>
      <w:r>
        <w:rPr>
          <w:sz w:val="20"/>
        </w:rPr>
        <w:t xml:space="preserve">Руководитель организации (заявитель)</w:t>
      </w:r>
    </w:p>
    <w:p>
      <w:pPr>
        <w:pStyle w:val="1"/>
        <w:jc w:val="both"/>
      </w:pPr>
      <w:r>
        <w:rPr>
          <w:sz w:val="20"/>
        </w:rPr>
        <w:t xml:space="preserve">____________________________________</w:t>
      </w:r>
    </w:p>
    <w:p>
      <w:pPr>
        <w:pStyle w:val="1"/>
        <w:jc w:val="both"/>
      </w:pPr>
      <w:r>
        <w:rPr>
          <w:sz w:val="20"/>
        </w:rPr>
        <w:t xml:space="preserve">      (фамилия, имя, отчество)</w:t>
      </w:r>
    </w:p>
    <w:p>
      <w:pPr>
        <w:pStyle w:val="1"/>
        <w:jc w:val="both"/>
      </w:pPr>
      <w:r>
        <w:rPr>
          <w:sz w:val="20"/>
        </w:rPr>
        <w:t xml:space="preserve">____________________________________</w:t>
      </w:r>
    </w:p>
    <w:p>
      <w:pPr>
        <w:pStyle w:val="1"/>
        <w:jc w:val="both"/>
      </w:pPr>
      <w:r>
        <w:rPr>
          <w:sz w:val="20"/>
        </w:rPr>
        <w:t xml:space="preserve">   (выделенный оператором подвижной</w:t>
      </w:r>
    </w:p>
    <w:p>
      <w:pPr>
        <w:pStyle w:val="1"/>
        <w:jc w:val="both"/>
      </w:pPr>
      <w:r>
        <w:rPr>
          <w:sz w:val="20"/>
        </w:rPr>
        <w:t xml:space="preserve">  радиотелефонной связи абонентский</w:t>
      </w:r>
    </w:p>
    <w:p>
      <w:pPr>
        <w:pStyle w:val="1"/>
        <w:jc w:val="both"/>
      </w:pPr>
      <w:r>
        <w:rPr>
          <w:sz w:val="20"/>
        </w:rPr>
        <w:t xml:space="preserve">     номер и адрес электронной</w:t>
      </w:r>
    </w:p>
    <w:p>
      <w:pPr>
        <w:pStyle w:val="1"/>
        <w:jc w:val="both"/>
      </w:pPr>
      <w:r>
        <w:rPr>
          <w:sz w:val="20"/>
        </w:rPr>
        <w:t xml:space="preserve">      почты заявителя)</w:t>
      </w:r>
    </w:p>
    <w:p>
      <w:pPr>
        <w:pStyle w:val="1"/>
        <w:jc w:val="both"/>
      </w:pPr>
      <w:r>
        <w:rPr>
          <w:sz w:val="20"/>
        </w:rPr>
        <w:t xml:space="preserve">_____________________ ______________</w:t>
      </w:r>
    </w:p>
    <w:p>
      <w:pPr>
        <w:pStyle w:val="1"/>
        <w:jc w:val="both"/>
      </w:pPr>
      <w:r>
        <w:rPr>
          <w:sz w:val="20"/>
        </w:rPr>
        <w:t xml:space="preserve">     (должность)        (подпись)</w:t>
      </w:r>
    </w:p>
    <w:p>
      <w:pPr>
        <w:pStyle w:val="1"/>
        <w:jc w:val="both"/>
      </w:pPr>
      <w:r>
        <w:rPr>
          <w:sz w:val="20"/>
        </w:rPr>
      </w:r>
    </w:p>
    <w:p>
      <w:pPr>
        <w:pStyle w:val="1"/>
        <w:jc w:val="both"/>
      </w:pPr>
      <w:r>
        <w:rPr>
          <w:sz w:val="20"/>
        </w:rPr>
        <w:t xml:space="preserve">"__" ____________ 20__ г.</w:t>
      </w:r>
    </w:p>
    <w:p>
      <w:pPr>
        <w:pStyle w:val="1"/>
        <w:jc w:val="both"/>
      </w:pPr>
      <w:r>
        <w:rPr>
          <w:sz w:val="20"/>
        </w:rPr>
      </w:r>
    </w:p>
    <w:p>
      <w:pPr>
        <w:pStyle w:val="1"/>
        <w:jc w:val="both"/>
      </w:pPr>
      <w:r>
        <w:rPr>
          <w:sz w:val="20"/>
        </w:rPr>
        <w:t xml:space="preserve">М.П.</w:t>
      </w:r>
    </w:p>
    <w:p>
      <w:pPr>
        <w:pStyle w:val="0"/>
        <w:jc w:val="both"/>
      </w:pPr>
      <w:r>
        <w:rPr>
          <w:sz w:val="20"/>
        </w:rPr>
      </w:r>
    </w:p>
    <w:p>
      <w:pPr>
        <w:pStyle w:val="0"/>
        <w:ind w:firstLine="540"/>
        <w:jc w:val="both"/>
      </w:pPr>
      <w:r>
        <w:rPr>
          <w:sz w:val="20"/>
        </w:rPr>
        <w:t xml:space="preserve">--------------------------------</w:t>
      </w:r>
    </w:p>
    <w:bookmarkStart w:id="3151" w:name="P3151"/>
    <w:bookmarkEnd w:id="3151"/>
    <w:p>
      <w:pPr>
        <w:pStyle w:val="0"/>
        <w:spacing w:before="200" w:line-rule="auto"/>
        <w:ind w:firstLine="540"/>
        <w:jc w:val="both"/>
      </w:pPr>
      <w:r>
        <w:rPr>
          <w:sz w:val="20"/>
        </w:rPr>
        <w:t xml:space="preserve">&lt;1&gt; За исключением лиц, указанных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пунктах 12(1)</w:t>
        </w:r>
      </w:hyperlink>
      <w:r>
        <w:rPr>
          <w:sz w:val="20"/>
        </w:rPr>
        <w:t xml:space="preserve"> -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bookmarkStart w:id="3152" w:name="P3152"/>
    <w:bookmarkEnd w:id="3152"/>
    <w:p>
      <w:pPr>
        <w:pStyle w:val="0"/>
        <w:spacing w:before="200" w:line-rule="auto"/>
        <w:ind w:firstLine="540"/>
        <w:jc w:val="both"/>
      </w:pPr>
      <w:r>
        <w:rPr>
          <w:sz w:val="20"/>
        </w:rPr>
        <w:t xml:space="preserve">&lt;2&gt; Для юридических лиц и индивидуальных предпринимателей.</w:t>
      </w:r>
    </w:p>
    <w:bookmarkStart w:id="3153" w:name="P3153"/>
    <w:bookmarkEnd w:id="3153"/>
    <w:p>
      <w:pPr>
        <w:pStyle w:val="0"/>
        <w:spacing w:before="200" w:line-rule="auto"/>
        <w:ind w:firstLine="540"/>
        <w:jc w:val="both"/>
      </w:pPr>
      <w:r>
        <w:rPr>
          <w:sz w:val="20"/>
        </w:rPr>
        <w:t xml:space="preserve">&lt;3&gt; Для физических лиц.</w:t>
      </w:r>
    </w:p>
    <w:bookmarkStart w:id="3154" w:name="P3154"/>
    <w:bookmarkEnd w:id="3154"/>
    <w:p>
      <w:pPr>
        <w:pStyle w:val="0"/>
        <w:spacing w:before="200" w:line-rule="auto"/>
        <w:ind w:firstLine="540"/>
        <w:jc w:val="both"/>
      </w:pPr>
      <w:r>
        <w:rPr>
          <w:sz w:val="20"/>
        </w:rPr>
        <w:t xml:space="preserve">&lt;4&gt;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history="0" w:anchor="P3060" w:tooltip="    6.    Максимальная    мощность    &lt;4&gt;    энергопринимающих    устройств">
        <w:r>
          <w:rPr>
            <w:sz w:val="20"/>
            <w:color w:val="0000ff"/>
          </w:rPr>
          <w:t xml:space="preserve">пункте 6</w:t>
        </w:r>
      </w:hyperlink>
      <w:r>
        <w:rPr>
          <w:sz w:val="20"/>
        </w:rPr>
        <w:t xml:space="preserve"> и </w:t>
      </w:r>
      <w:hyperlink w:history="0" w:anchor="P3065" w:tooltip="    а)  максимальная  мощность  присоединяемых  энергопринимающих устройств">
        <w:r>
          <w:rPr>
            <w:sz w:val="20"/>
            <w:color w:val="0000ff"/>
          </w:rPr>
          <w:t xml:space="preserve">подпункте "а" пункта 6</w:t>
        </w:r>
      </w:hyperlink>
      <w:r>
        <w:rPr>
          <w:sz w:val="20"/>
        </w:rPr>
        <w:t xml:space="preserve"> настоящего приложения величина мощности указывается одинаковая).</w:t>
      </w:r>
    </w:p>
    <w:bookmarkStart w:id="3155" w:name="P3155"/>
    <w:bookmarkEnd w:id="3155"/>
    <w:p>
      <w:pPr>
        <w:pStyle w:val="0"/>
        <w:spacing w:before="200" w:line-rule="auto"/>
        <w:ind w:firstLine="540"/>
        <w:jc w:val="both"/>
      </w:pPr>
      <w:r>
        <w:rPr>
          <w:sz w:val="20"/>
        </w:rPr>
        <w:t xml:space="preserve">&lt;5&gt; Классы напряжения (0,4; 6; 10) кВ.</w:t>
      </w:r>
    </w:p>
    <w:bookmarkStart w:id="3156" w:name="P3156"/>
    <w:bookmarkEnd w:id="3156"/>
    <w:p>
      <w:pPr>
        <w:pStyle w:val="0"/>
        <w:spacing w:before="200" w:line-rule="auto"/>
        <w:ind w:firstLine="540"/>
        <w:jc w:val="both"/>
      </w:pPr>
      <w:r>
        <w:rPr>
          <w:sz w:val="20"/>
        </w:rPr>
        <w:t xml:space="preserve">&lt;6&gt; Не указывается при присоединении генерирующих объектов.</w:t>
      </w:r>
    </w:p>
    <w:bookmarkStart w:id="3157" w:name="P3157"/>
    <w:bookmarkEnd w:id="3157"/>
    <w:p>
      <w:pPr>
        <w:pStyle w:val="0"/>
        <w:spacing w:before="200" w:line-rule="auto"/>
        <w:ind w:firstLine="540"/>
        <w:jc w:val="both"/>
      </w:pPr>
      <w:r>
        <w:rPr>
          <w:sz w:val="20"/>
        </w:rPr>
        <w:t xml:space="preserve">&lt;7&gt; Заявители, максимальная мощность энергопринимающих устройств по одному источнику электроснабжения которых составляет свыше 150 кВт и менее 670 кВт, указывают только характер нагрузки (для производственной деятельности).</w:t>
      </w:r>
    </w:p>
    <w:bookmarkStart w:id="3158" w:name="P3158"/>
    <w:bookmarkEnd w:id="3158"/>
    <w:p>
      <w:pPr>
        <w:pStyle w:val="0"/>
        <w:spacing w:before="200" w:line-rule="auto"/>
        <w:ind w:firstLine="540"/>
        <w:jc w:val="both"/>
      </w:pPr>
      <w:r>
        <w:rPr>
          <w:sz w:val="20"/>
        </w:rPr>
        <w:t xml:space="preserve">&lt;8&gt; Для энергопринимающих устройств потребителей электрической энергии.</w:t>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1"/>
        <w:jc w:val="right"/>
      </w:pPr>
      <w:r>
        <w:rPr>
          <w:sz w:val="20"/>
        </w:rPr>
        <w:t xml:space="preserve">Приложение N 8</w:t>
      </w:r>
    </w:p>
    <w:p>
      <w:pPr>
        <w:pStyle w:val="0"/>
        <w:jc w:val="right"/>
      </w:pPr>
      <w:r>
        <w:rPr>
          <w:sz w:val="20"/>
        </w:rPr>
        <w:t xml:space="preserve">к Правилам технологического</w:t>
      </w:r>
    </w:p>
    <w:p>
      <w:pPr>
        <w:pStyle w:val="0"/>
        <w:jc w:val="right"/>
      </w:pPr>
      <w:r>
        <w:rPr>
          <w:sz w:val="20"/>
        </w:rPr>
        <w:t xml:space="preserve">присоединения энергопринимающих</w:t>
      </w:r>
    </w:p>
    <w:p>
      <w:pPr>
        <w:pStyle w:val="0"/>
        <w:jc w:val="right"/>
      </w:pPr>
      <w:r>
        <w:rPr>
          <w:sz w:val="20"/>
        </w:rPr>
        <w:t xml:space="preserve">устройств потребителей</w:t>
      </w:r>
    </w:p>
    <w:p>
      <w:pPr>
        <w:pStyle w:val="0"/>
        <w:jc w:val="right"/>
      </w:pPr>
      <w:r>
        <w:rPr>
          <w:sz w:val="20"/>
        </w:rPr>
        <w:t xml:space="preserve">электрической энергии, объектов</w:t>
      </w:r>
    </w:p>
    <w:p>
      <w:pPr>
        <w:pStyle w:val="0"/>
        <w:jc w:val="right"/>
      </w:pPr>
      <w:r>
        <w:rPr>
          <w:sz w:val="20"/>
        </w:rPr>
        <w:t xml:space="preserve">по производству электрической</w:t>
      </w:r>
    </w:p>
    <w:p>
      <w:pPr>
        <w:pStyle w:val="0"/>
        <w:jc w:val="right"/>
      </w:pPr>
      <w:r>
        <w:rPr>
          <w:sz w:val="20"/>
        </w:rPr>
        <w:t xml:space="preserve">энергии, а также объектов</w:t>
      </w:r>
    </w:p>
    <w:p>
      <w:pPr>
        <w:pStyle w:val="0"/>
        <w:jc w:val="right"/>
      </w:pPr>
      <w:r>
        <w:rPr>
          <w:sz w:val="20"/>
        </w:rPr>
        <w:t xml:space="preserve">электросетевого хозяйства,</w:t>
      </w:r>
    </w:p>
    <w:p>
      <w:pPr>
        <w:pStyle w:val="0"/>
        <w:jc w:val="right"/>
      </w:pPr>
      <w:r>
        <w:rPr>
          <w:sz w:val="20"/>
        </w:rPr>
        <w:t xml:space="preserve">принадлежащих сетевым организациям</w:t>
      </w:r>
    </w:p>
    <w:p>
      <w:pPr>
        <w:pStyle w:val="0"/>
        <w:jc w:val="right"/>
      </w:pPr>
      <w:r>
        <w:rPr>
          <w:sz w:val="20"/>
        </w:rPr>
        <w:t xml:space="preserve">и иным лицам, к электрическим сетям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11.06.2015 </w:t>
            </w:r>
            <w:hyperlink w:history="0" r:id="rId1107" w:tooltip="Постановление Правительства РФ от 11.06.2015 N 588 (ред. от 10.03.2020, с изм. от 30.06.2022) &quot;О внесении изменений в постановление Правительства Российской Федерации от 27 декабря 2004 г. N 861&quot; {КонсультантПлюс}">
              <w:r>
                <w:rPr>
                  <w:sz w:val="20"/>
                  <w:color w:val="0000ff"/>
                </w:rPr>
                <w:t xml:space="preserve">N 588</w:t>
              </w:r>
            </w:hyperlink>
            <w:r>
              <w:rPr>
                <w:sz w:val="20"/>
                <w:color w:val="392c69"/>
              </w:rPr>
              <w:t xml:space="preserve">,</w:t>
            </w:r>
          </w:p>
          <w:p>
            <w:pPr>
              <w:pStyle w:val="0"/>
              <w:jc w:val="center"/>
            </w:pPr>
            <w:r>
              <w:rPr>
                <w:sz w:val="20"/>
                <w:color w:val="392c69"/>
              </w:rPr>
              <w:t xml:space="preserve">от 05.10.2016 </w:t>
            </w:r>
            <w:hyperlink w:history="0" r:id="rId1108" w:tooltip="Постановление Правительства РФ от 05.10.2016 N 999 (с изм. от 30.06.2022) &quot;О внесении изменений в акты Правительства Российской Федерации по вопросам формирования мер ответственности за несоблюдение сроков осуществления мероприятий по технологическому присоединению&quot; {КонсультантПлюс}">
              <w:r>
                <w:rPr>
                  <w:sz w:val="20"/>
                  <w:color w:val="0000ff"/>
                </w:rPr>
                <w:t xml:space="preserve">N 999</w:t>
              </w:r>
            </w:hyperlink>
            <w:r>
              <w:rPr>
                <w:sz w:val="20"/>
                <w:color w:val="392c69"/>
              </w:rPr>
              <w:t xml:space="preserve">, от 07.05.2017 </w:t>
            </w:r>
            <w:hyperlink w:history="0" r:id="rId1109"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N 542</w:t>
              </w:r>
            </w:hyperlink>
            <w:r>
              <w:rPr>
                <w:sz w:val="20"/>
                <w:color w:val="392c69"/>
              </w:rPr>
              <w:t xml:space="preserve">, от 27.12.2017 </w:t>
            </w:r>
            <w:hyperlink w:history="0" r:id="rId1110"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1661</w:t>
              </w:r>
            </w:hyperlink>
            <w:r>
              <w:rPr>
                <w:sz w:val="20"/>
                <w:color w:val="392c69"/>
              </w:rPr>
              <w:t xml:space="preserve">,</w:t>
            </w:r>
          </w:p>
          <w:p>
            <w:pPr>
              <w:pStyle w:val="0"/>
              <w:jc w:val="center"/>
            </w:pPr>
            <w:r>
              <w:rPr>
                <w:sz w:val="20"/>
                <w:color w:val="392c69"/>
              </w:rPr>
              <w:t xml:space="preserve">от 30.06.2022 </w:t>
            </w:r>
            <w:hyperlink w:history="0" r:id="rId1111"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1178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0"/>
        </w:rPr>
      </w:r>
    </w:p>
    <w:bookmarkStart w:id="3179" w:name="P3179"/>
    <w:bookmarkEnd w:id="3179"/>
    <w:p>
      <w:pPr>
        <w:pStyle w:val="0"/>
        <w:jc w:val="center"/>
      </w:pPr>
      <w:r>
        <w:rPr>
          <w:sz w:val="20"/>
        </w:rPr>
        <w:t xml:space="preserve">ТИПОВОЙ ДОГОВОР</w:t>
      </w:r>
    </w:p>
    <w:p>
      <w:pPr>
        <w:pStyle w:val="0"/>
        <w:jc w:val="center"/>
      </w:pPr>
      <w:r>
        <w:rPr>
          <w:sz w:val="20"/>
        </w:rPr>
        <w:t xml:space="preserve">об осуществлении технологического присоединения</w:t>
      </w:r>
    </w:p>
    <w:p>
      <w:pPr>
        <w:pStyle w:val="0"/>
        <w:jc w:val="center"/>
      </w:pPr>
      <w:r>
        <w:rPr>
          <w:sz w:val="20"/>
        </w:rPr>
        <w:t xml:space="preserve">к электрическим сетям</w:t>
      </w:r>
    </w:p>
    <w:p>
      <w:pPr>
        <w:pStyle w:val="0"/>
        <w:jc w:val="both"/>
      </w:pPr>
      <w:r>
        <w:rPr>
          <w:sz w:val="20"/>
        </w:rPr>
      </w:r>
    </w:p>
    <w:p>
      <w:pPr>
        <w:pStyle w:val="0"/>
        <w:jc w:val="center"/>
      </w:pPr>
      <w:r>
        <w:rPr>
          <w:sz w:val="20"/>
        </w:rPr>
        <w:t xml:space="preserve">(для физических лиц в целях</w:t>
      </w:r>
    </w:p>
    <w:p>
      <w:pPr>
        <w:pStyle w:val="0"/>
        <w:jc w:val="center"/>
      </w:pPr>
      <w:r>
        <w:rPr>
          <w:sz w:val="20"/>
        </w:rPr>
        <w:t xml:space="preserve">технологического присоединения энергопринимающих</w:t>
      </w:r>
    </w:p>
    <w:p>
      <w:pPr>
        <w:pStyle w:val="0"/>
        <w:jc w:val="center"/>
      </w:pPr>
      <w:r>
        <w:rPr>
          <w:sz w:val="20"/>
        </w:rPr>
        <w:t xml:space="preserve">устройств, максимальная мощность которых составляет до 15</w:t>
      </w:r>
    </w:p>
    <w:p>
      <w:pPr>
        <w:pStyle w:val="0"/>
        <w:jc w:val="center"/>
      </w:pPr>
      <w:r>
        <w:rPr>
          <w:sz w:val="20"/>
        </w:rPr>
        <w:t xml:space="preserve">кВт включительно (с учетом ранее присоединенных в данной</w:t>
      </w:r>
    </w:p>
    <w:p>
      <w:pPr>
        <w:pStyle w:val="0"/>
        <w:jc w:val="center"/>
      </w:pPr>
      <w:r>
        <w:rPr>
          <w:sz w:val="20"/>
        </w:rPr>
        <w:t xml:space="preserve">точке присоединения энергопринимающих устройств) и которые</w:t>
      </w:r>
    </w:p>
    <w:p>
      <w:pPr>
        <w:pStyle w:val="0"/>
        <w:jc w:val="center"/>
      </w:pPr>
      <w:r>
        <w:rPr>
          <w:sz w:val="20"/>
        </w:rPr>
        <w:t xml:space="preserve">используются для бытовых и иных нужд, не связанных</w:t>
      </w:r>
    </w:p>
    <w:p>
      <w:pPr>
        <w:pStyle w:val="0"/>
        <w:jc w:val="center"/>
      </w:pPr>
      <w:r>
        <w:rPr>
          <w:sz w:val="20"/>
        </w:rPr>
        <w:t xml:space="preserve">с осуществлением предпринимательской деятельности)</w:t>
      </w:r>
    </w:p>
    <w:p>
      <w:pPr>
        <w:pStyle w:val="0"/>
        <w:jc w:val="both"/>
      </w:pPr>
      <w:r>
        <w:rPr>
          <w:sz w:val="20"/>
        </w:rPr>
      </w:r>
    </w:p>
    <w:p>
      <w:pPr>
        <w:pStyle w:val="1"/>
        <w:jc w:val="both"/>
      </w:pPr>
      <w:r>
        <w:rPr>
          <w:sz w:val="20"/>
        </w:rPr>
        <w:t xml:space="preserve">                                                 "  "              20   г.</w:t>
      </w:r>
    </w:p>
    <w:p>
      <w:pPr>
        <w:pStyle w:val="1"/>
        <w:jc w:val="both"/>
      </w:pPr>
      <w:r>
        <w:rPr>
          <w:sz w:val="20"/>
        </w:rPr>
        <w:t xml:space="preserve">_______________________________                   --  --------------------</w:t>
      </w:r>
    </w:p>
    <w:p>
      <w:pPr>
        <w:pStyle w:val="1"/>
        <w:jc w:val="both"/>
      </w:pPr>
      <w:r>
        <w:rPr>
          <w:sz w:val="20"/>
        </w:rPr>
        <w:t xml:space="preserve">  (место заключения договора)                    (дата заключения договора)</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сетевой организации)</w:t>
      </w:r>
    </w:p>
    <w:p>
      <w:pPr>
        <w:pStyle w:val="1"/>
        <w:jc w:val="both"/>
      </w:pPr>
      <w:r>
        <w:rPr>
          <w:sz w:val="20"/>
        </w:rPr>
        <w:t xml:space="preserve">именуемая в дальнейшем сетевой организацией, в лице 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(должность, фамилия, имя, отчество)</w:t>
      </w:r>
    </w:p>
    <w:p>
      <w:pPr>
        <w:pStyle w:val="1"/>
        <w:jc w:val="both"/>
      </w:pPr>
      <w:r>
        <w:rPr>
          <w:sz w:val="20"/>
        </w:rPr>
        <w:t xml:space="preserve">действующего на основании _________________________________________________</w:t>
      </w:r>
    </w:p>
    <w:p>
      <w:pPr>
        <w:pStyle w:val="1"/>
        <w:jc w:val="both"/>
      </w:pPr>
      <w:r>
        <w:rPr>
          <w:sz w:val="20"/>
        </w:rPr>
        <w:t xml:space="preserve">                                (наименование и реквизиты документа)</w:t>
      </w:r>
    </w:p>
    <w:p>
      <w:pPr>
        <w:pStyle w:val="1"/>
        <w:jc w:val="both"/>
      </w:pPr>
      <w:r>
        <w:rPr>
          <w:sz w:val="20"/>
        </w:rPr>
        <w:t xml:space="preserve">__________________________________________________________________________,</w:t>
      </w:r>
    </w:p>
    <w:p>
      <w:pPr>
        <w:pStyle w:val="1"/>
        <w:jc w:val="both"/>
      </w:pPr>
      <w:r>
        <w:rPr>
          <w:sz w:val="20"/>
        </w:rPr>
        <w:t xml:space="preserve">с одной стороны, и ________________________________________________________</w:t>
      </w:r>
    </w:p>
    <w:p>
      <w:pPr>
        <w:pStyle w:val="1"/>
        <w:jc w:val="both"/>
      </w:pPr>
      <w:r>
        <w:rPr>
          <w:sz w:val="20"/>
        </w:rPr>
        <w:t xml:space="preserve">                    (фамилия, имя, отчество заявителя, серия, номер и дата</w:t>
      </w:r>
    </w:p>
    <w:p>
      <w:pPr>
        <w:pStyle w:val="1"/>
        <w:jc w:val="both"/>
      </w:pPr>
      <w:r>
        <w:rPr>
          <w:sz w:val="20"/>
        </w:rPr>
        <w:t xml:space="preserve">__________________________________________________________________________,</w:t>
      </w:r>
    </w:p>
    <w:p>
      <w:pPr>
        <w:pStyle w:val="1"/>
        <w:jc w:val="both"/>
      </w:pPr>
      <w:r>
        <w:rPr>
          <w:sz w:val="20"/>
        </w:rPr>
        <w:t xml:space="preserve">      выдачи паспорта или иного документа, удостоверяющего личность</w:t>
      </w:r>
    </w:p>
    <w:p>
      <w:pPr>
        <w:pStyle w:val="1"/>
        <w:jc w:val="both"/>
      </w:pPr>
      <w:r>
        <w:rPr>
          <w:sz w:val="20"/>
        </w:rPr>
        <w:t xml:space="preserve">        в соответствии с законодательством Российской Федерации)</w:t>
      </w:r>
    </w:p>
    <w:p>
      <w:pPr>
        <w:pStyle w:val="1"/>
        <w:jc w:val="both"/>
      </w:pPr>
      <w:r>
        <w:rPr>
          <w:sz w:val="20"/>
        </w:rPr>
        <w:t xml:space="preserve">именуемый  в  дальнейшем заявителем, с  другой  стороны,  вместе  именуемые</w:t>
      </w:r>
    </w:p>
    <w:p>
      <w:pPr>
        <w:pStyle w:val="1"/>
        <w:jc w:val="both"/>
      </w:pPr>
      <w:r>
        <w:rPr>
          <w:sz w:val="20"/>
        </w:rPr>
        <w:t xml:space="preserve">Сторонами, заключили настоящий договор о нижеследующем:</w:t>
      </w:r>
    </w:p>
    <w:p>
      <w:pPr>
        <w:pStyle w:val="0"/>
        <w:jc w:val="both"/>
      </w:pPr>
      <w:r>
        <w:rPr>
          <w:sz w:val="20"/>
        </w:rPr>
      </w:r>
    </w:p>
    <w:p>
      <w:pPr>
        <w:pStyle w:val="0"/>
        <w:outlineLvl w:val="2"/>
        <w:jc w:val="center"/>
      </w:pPr>
      <w:r>
        <w:rPr>
          <w:sz w:val="20"/>
        </w:rPr>
        <w:t xml:space="preserve">I. Предмет договора</w:t>
      </w:r>
    </w:p>
    <w:p>
      <w:pPr>
        <w:pStyle w:val="0"/>
        <w:jc w:val="both"/>
      </w:pPr>
      <w:r>
        <w:rPr>
          <w:sz w:val="20"/>
        </w:rPr>
      </w:r>
    </w:p>
    <w:p>
      <w:pPr>
        <w:pStyle w:val="1"/>
        <w:jc w:val="both"/>
      </w:pPr>
      <w:r>
        <w:rPr>
          <w:sz w:val="20"/>
        </w:rPr>
        <w:t xml:space="preserve">    1.  По  настоящему  договору  сетевая  организация  принимает  на  себя</w:t>
      </w:r>
    </w:p>
    <w:p>
      <w:pPr>
        <w:pStyle w:val="1"/>
        <w:jc w:val="both"/>
      </w:pPr>
      <w:r>
        <w:rPr>
          <w:sz w:val="20"/>
        </w:rPr>
        <w:t xml:space="preserve">обязательства     по     осуществлению    технологического    присоединения</w:t>
      </w:r>
    </w:p>
    <w:p>
      <w:pPr>
        <w:pStyle w:val="1"/>
        <w:jc w:val="both"/>
      </w:pPr>
      <w:r>
        <w:rPr>
          <w:sz w:val="20"/>
        </w:rPr>
        <w:t xml:space="preserve">энергопринимающих    устройств    заявителя    (далее   -   технологическое</w:t>
      </w:r>
    </w:p>
    <w:p>
      <w:pPr>
        <w:pStyle w:val="1"/>
        <w:jc w:val="both"/>
      </w:pPr>
      <w:r>
        <w:rPr>
          <w:sz w:val="20"/>
        </w:rPr>
        <w:t xml:space="preserve">присоединение) 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энергопринимающих устройств)</w:t>
      </w:r>
    </w:p>
    <w:p>
      <w:pPr>
        <w:pStyle w:val="1"/>
        <w:jc w:val="both"/>
      </w:pPr>
      <w:r>
        <w:rPr>
          <w:sz w:val="20"/>
        </w:rPr>
        <w:t xml:space="preserve">в   том   числе  по   обеспечению   готовности   объектов   электросетевого</w:t>
      </w:r>
    </w:p>
    <w:p>
      <w:pPr>
        <w:pStyle w:val="1"/>
        <w:jc w:val="both"/>
      </w:pPr>
      <w:r>
        <w:rPr>
          <w:sz w:val="20"/>
        </w:rPr>
        <w:t xml:space="preserve">хозяйства  (включая  их  проектирование,  строительство,  реконструкцию)  к</w:t>
      </w:r>
    </w:p>
    <w:p>
      <w:pPr>
        <w:pStyle w:val="1"/>
        <w:jc w:val="both"/>
      </w:pPr>
      <w:r>
        <w:rPr>
          <w:sz w:val="20"/>
        </w:rPr>
        <w:t xml:space="preserve">присоединению   энергопринимающих  устройств,  урегулированию  отношений  с</w:t>
      </w:r>
    </w:p>
    <w:p>
      <w:pPr>
        <w:pStyle w:val="1"/>
        <w:jc w:val="both"/>
      </w:pPr>
      <w:r>
        <w:rPr>
          <w:sz w:val="20"/>
        </w:rPr>
        <w:t xml:space="preserve">третьими  лицами в случае необходимости строительства (модернизации) такими</w:t>
      </w:r>
    </w:p>
    <w:p>
      <w:pPr>
        <w:pStyle w:val="1"/>
        <w:jc w:val="both"/>
      </w:pPr>
      <w:r>
        <w:rPr>
          <w:sz w:val="20"/>
        </w:rPr>
        <w:t xml:space="preserve">лицами     принадлежащих     им    объектов    электросетевого    хозяйства</w:t>
      </w:r>
    </w:p>
    <w:p>
      <w:pPr>
        <w:pStyle w:val="1"/>
        <w:jc w:val="both"/>
      </w:pPr>
      <w:r>
        <w:rPr>
          <w:sz w:val="20"/>
        </w:rPr>
        <w:t xml:space="preserve">(энергопринимающих   устройств,   объектов   электроэнергетики),  с  учетом</w:t>
      </w:r>
    </w:p>
    <w:p>
      <w:pPr>
        <w:pStyle w:val="1"/>
        <w:jc w:val="both"/>
      </w:pPr>
      <w:r>
        <w:rPr>
          <w:sz w:val="20"/>
        </w:rPr>
        <w:t xml:space="preserve">следующих характеристик:</w:t>
      </w:r>
    </w:p>
    <w:p>
      <w:pPr>
        <w:pStyle w:val="0"/>
        <w:ind w:firstLine="540"/>
        <w:jc w:val="both"/>
      </w:pPr>
      <w:r>
        <w:rPr>
          <w:sz w:val="20"/>
        </w:rPr>
        <w:t xml:space="preserve">максимальная мощность присоединяемых энергопринимающих устройств ________ (кВт);</w:t>
      </w:r>
    </w:p>
    <w:p>
      <w:pPr>
        <w:pStyle w:val="0"/>
        <w:spacing w:before="200" w:line-rule="auto"/>
        <w:ind w:firstLine="540"/>
        <w:jc w:val="both"/>
      </w:pPr>
      <w:r>
        <w:rPr>
          <w:sz w:val="20"/>
        </w:rPr>
        <w:t xml:space="preserve">категория надежности _______;</w:t>
      </w:r>
    </w:p>
    <w:p>
      <w:pPr>
        <w:pStyle w:val="0"/>
        <w:spacing w:before="200" w:line-rule="auto"/>
        <w:ind w:firstLine="540"/>
        <w:jc w:val="both"/>
      </w:pPr>
      <w:r>
        <w:rPr>
          <w:sz w:val="20"/>
        </w:rPr>
        <w:t xml:space="preserve">класс напряжения электрических сетей, к которым осуществляется технологическое присоединение _____ (кВ);</w:t>
      </w:r>
    </w:p>
    <w:p>
      <w:pPr>
        <w:pStyle w:val="0"/>
        <w:spacing w:before="200" w:line-rule="auto"/>
        <w:ind w:firstLine="540"/>
        <w:jc w:val="both"/>
      </w:pPr>
      <w:r>
        <w:rPr>
          <w:sz w:val="20"/>
        </w:rPr>
        <w:t xml:space="preserve">максимальная мощность ранее присоединенных энергопринимающих устройств ___________ кВт </w:t>
      </w:r>
      <w:hyperlink w:history="0" w:anchor="P3341" w:tooltip="&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w:r>
          <w:rPr>
            <w:sz w:val="20"/>
            <w:color w:val="0000ff"/>
          </w:rPr>
          <w:t xml:space="preserve">&lt;1&gt;</w:t>
        </w:r>
      </w:hyperlink>
      <w:r>
        <w:rPr>
          <w:sz w:val="20"/>
        </w:rPr>
        <w:t xml:space="preserve">.</w:t>
      </w:r>
    </w:p>
    <w:p>
      <w:pPr>
        <w:pStyle w:val="0"/>
        <w:spacing w:before="200" w:line-rule="auto"/>
        <w:ind w:firstLine="540"/>
        <w:jc w:val="both"/>
      </w:pPr>
      <w:r>
        <w:rPr>
          <w:sz w:val="20"/>
        </w:rPr>
        <w:t xml:space="preserve">Заявитель обязуется оплатить расходы на технологическое присоединение в соответствии с условиями настоящего договора.</w:t>
      </w:r>
    </w:p>
    <w:p>
      <w:pPr>
        <w:pStyle w:val="1"/>
        <w:spacing w:before="200" w:line-rule="auto"/>
        <w:jc w:val="both"/>
      </w:pPr>
      <w:r>
        <w:rPr>
          <w:sz w:val="20"/>
        </w:rPr>
        <w:t xml:space="preserve">    2. Технологическое присоединение необходимо для электроснабжения 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объектов заявителя)</w:t>
      </w:r>
    </w:p>
    <w:p>
      <w:pPr>
        <w:pStyle w:val="1"/>
        <w:jc w:val="both"/>
      </w:pPr>
      <w:r>
        <w:rPr>
          <w:sz w:val="20"/>
        </w:rPr>
        <w:t xml:space="preserve">расположенных (которые будут располагаться) 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(место нахождения объектов заявителя)</w:t>
      </w:r>
    </w:p>
    <w:p>
      <w:pPr>
        <w:pStyle w:val="0"/>
        <w:ind w:firstLine="540"/>
        <w:jc w:val="both"/>
      </w:pPr>
      <w:r>
        <w:rPr>
          <w:sz w:val="20"/>
        </w:rP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метров </w:t>
      </w:r>
      <w:hyperlink w:history="0" w:anchor="P3342" w:tooltip="&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
        <w:r>
          <w:rPr>
            <w:sz w:val="20"/>
            <w:color w:val="0000ff"/>
          </w:rPr>
          <w:t xml:space="preserve">&lt;2&gt;</w:t>
        </w:r>
      </w:hyperlink>
      <w:r>
        <w:rPr>
          <w:sz w:val="20"/>
        </w:rPr>
        <w:t xml:space="preserve"> от границы участка заявителя, на котором располагаются (будут располагаться) присоединяемые объекты заявителя.</w:t>
      </w:r>
    </w:p>
    <w:p>
      <w:pPr>
        <w:pStyle w:val="0"/>
        <w:spacing w:before="200" w:line-rule="auto"/>
        <w:ind w:firstLine="540"/>
        <w:jc w:val="both"/>
      </w:pPr>
      <w:r>
        <w:rPr>
          <w:sz w:val="20"/>
        </w:rPr>
        <w:t xml:space="preserve">4. </w:t>
      </w:r>
      <w:hyperlink w:history="0" w:anchor="P3358" w:tooltip="                            ТЕХНИЧЕСКИЕ УСЛОВИЯ">
        <w:r>
          <w:rPr>
            <w:sz w:val="20"/>
            <w:color w:val="0000ff"/>
          </w:rPr>
          <w:t xml:space="preserve">Технические условия</w:t>
        </w:r>
      </w:hyperlink>
      <w:r>
        <w:rPr>
          <w:sz w:val="20"/>
        </w:rPr>
        <w:t xml:space="preserve"> являются неотъемлемой частью настоящего договора и приведены в приложении.</w:t>
      </w:r>
    </w:p>
    <w:p>
      <w:pPr>
        <w:pStyle w:val="0"/>
        <w:spacing w:before="200" w:line-rule="auto"/>
        <w:ind w:firstLine="540"/>
        <w:jc w:val="both"/>
      </w:pPr>
      <w:r>
        <w:rPr>
          <w:sz w:val="20"/>
        </w:rPr>
        <w:t xml:space="preserve">Срок действия технических условий составляет _______ год (года) </w:t>
      </w:r>
      <w:hyperlink w:history="0" w:anchor="P3343" w:tooltip="&lt;3&gt; Срок действия технических условий не может составлять менее 2 лет и более 5 лет.">
        <w:r>
          <w:rPr>
            <w:sz w:val="20"/>
            <w:color w:val="0000ff"/>
          </w:rPr>
          <w:t xml:space="preserve">&lt;3&gt;</w:t>
        </w:r>
      </w:hyperlink>
      <w:r>
        <w:rPr>
          <w:sz w:val="20"/>
        </w:rPr>
        <w:t xml:space="preserve"> со дня заключения настоящего договора.</w:t>
      </w:r>
    </w:p>
    <w:bookmarkStart w:id="3240" w:name="P3240"/>
    <w:bookmarkEnd w:id="3240"/>
    <w:p>
      <w:pPr>
        <w:pStyle w:val="0"/>
        <w:spacing w:before="200" w:line-rule="auto"/>
        <w:ind w:firstLine="540"/>
        <w:jc w:val="both"/>
      </w:pPr>
      <w:r>
        <w:rPr>
          <w:sz w:val="20"/>
        </w:rPr>
        <w:t xml:space="preserve">5. Срок выполнения мероприятий по технологическому присоединению составляет _____________ </w:t>
      </w:r>
      <w:hyperlink w:history="0" w:anchor="P3344" w:tooltip="&lt;4&gt; - &lt;5&gt; Сноски исключены.">
        <w:r>
          <w:rPr>
            <w:sz w:val="20"/>
            <w:color w:val="0000ff"/>
          </w:rPr>
          <w:t xml:space="preserve">&lt;4&gt;</w:t>
        </w:r>
      </w:hyperlink>
      <w:r>
        <w:rPr>
          <w:sz w:val="20"/>
        </w:rPr>
        <w:t xml:space="preserve"> со дня заключения настоящего договора.</w:t>
      </w:r>
    </w:p>
    <w:p>
      <w:pPr>
        <w:pStyle w:val="0"/>
        <w:jc w:val="both"/>
      </w:pPr>
      <w:r>
        <w:rPr>
          <w:sz w:val="20"/>
        </w:rPr>
      </w:r>
    </w:p>
    <w:p>
      <w:pPr>
        <w:pStyle w:val="0"/>
        <w:outlineLvl w:val="2"/>
        <w:jc w:val="center"/>
      </w:pPr>
      <w:r>
        <w:rPr>
          <w:sz w:val="20"/>
        </w:rPr>
        <w:t xml:space="preserve">II. Обязанности Сторон</w:t>
      </w:r>
    </w:p>
    <w:p>
      <w:pPr>
        <w:pStyle w:val="0"/>
        <w:jc w:val="both"/>
      </w:pPr>
      <w:r>
        <w:rPr>
          <w:sz w:val="20"/>
        </w:rPr>
      </w:r>
    </w:p>
    <w:p>
      <w:pPr>
        <w:pStyle w:val="0"/>
        <w:ind w:firstLine="540"/>
        <w:jc w:val="both"/>
      </w:pPr>
      <w:r>
        <w:rPr>
          <w:sz w:val="20"/>
        </w:rPr>
        <w:t xml:space="preserve">6. Сетевая организация обязуется:</w:t>
      </w:r>
    </w:p>
    <w:p>
      <w:pPr>
        <w:pStyle w:val="0"/>
        <w:spacing w:before="200" w:line-rule="auto"/>
        <w:ind w:firstLine="540"/>
        <w:jc w:val="both"/>
      </w:pPr>
      <w:r>
        <w:rPr>
          <w:sz w:val="20"/>
        </w:rP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bookmarkStart w:id="3246" w:name="P3246"/>
    <w:bookmarkEnd w:id="3246"/>
    <w:p>
      <w:pPr>
        <w:pStyle w:val="0"/>
        <w:spacing w:before="200" w:line-rule="auto"/>
        <w:ind w:firstLine="540"/>
        <w:jc w:val="both"/>
      </w:pPr>
      <w:r>
        <w:rPr>
          <w:sz w:val="20"/>
        </w:rPr>
        <w:t xml:space="preserve">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w:t>
      </w:r>
    </w:p>
    <w:p>
      <w:pPr>
        <w:pStyle w:val="0"/>
        <w:spacing w:before="200" w:line-rule="auto"/>
        <w:ind w:firstLine="540"/>
        <w:jc w:val="both"/>
      </w:pPr>
      <w:r>
        <w:rPr>
          <w:sz w:val="20"/>
        </w:rPr>
        <w:t xml:space="preserve">не позднее ________ рабочих дней со дня проведения осмотра (обследования), указанного в </w:t>
      </w:r>
      <w:hyperlink w:history="0" w:anchor="P3246" w:tooltip="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
        <w:r>
          <w:rPr>
            <w:sz w:val="20"/>
            <w:color w:val="0000ff"/>
          </w:rPr>
          <w:t xml:space="preserve">абзаце третьем</w:t>
        </w:r>
      </w:hyperlink>
      <w:r>
        <w:rPr>
          <w:sz w:val="20"/>
        </w:rPr>
        <w:t xml:space="preserve"> настоящего пункта, с соблюдением срока, установленного </w:t>
      </w:r>
      <w:hyperlink w:history="0" w:anchor="P3240" w:tooltip="5. Срок выполнения мероприятий по технологическому присоединению составляет _____________ &lt;4&gt; со дня заключения настоящего договора.">
        <w:r>
          <w:rPr>
            <w:sz w:val="20"/>
            <w:color w:val="0000ff"/>
          </w:rPr>
          <w:t xml:space="preserve">пунктом 5</w:t>
        </w:r>
      </w:hyperlink>
      <w:r>
        <w:rPr>
          <w:sz w:val="20"/>
        </w:rP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pPr>
        <w:pStyle w:val="0"/>
        <w:spacing w:before="200" w:line-rule="auto"/>
        <w:ind w:firstLine="540"/>
        <w:jc w:val="both"/>
      </w:pPr>
      <w:r>
        <w:rPr>
          <w:sz w:val="20"/>
        </w:rPr>
        <w:t xml:space="preserve">6(1). 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pPr>
        <w:pStyle w:val="0"/>
        <w:spacing w:before="200" w:line-rule="auto"/>
        <w:ind w:firstLine="540"/>
        <w:jc w:val="both"/>
      </w:pPr>
      <w:r>
        <w:rPr>
          <w:sz w:val="20"/>
        </w:rPr>
        <w:t xml:space="preserve">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pPr>
        <w:pStyle w:val="0"/>
        <w:spacing w:before="200" w:line-rule="auto"/>
        <w:ind w:firstLine="540"/>
        <w:jc w:val="both"/>
      </w:pPr>
      <w:r>
        <w:rPr>
          <w:sz w:val="20"/>
        </w:rPr>
        <w:t xml:space="preserve">8. Заявитель обязуется:</w:t>
      </w:r>
    </w:p>
    <w:p>
      <w:pPr>
        <w:pStyle w:val="0"/>
        <w:spacing w:before="200" w:line-rule="auto"/>
        <w:ind w:firstLine="540"/>
        <w:jc w:val="both"/>
      </w:pPr>
      <w:r>
        <w:rPr>
          <w:sz w:val="20"/>
        </w:rP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pPr>
        <w:pStyle w:val="0"/>
        <w:spacing w:before="200" w:line-rule="auto"/>
        <w:ind w:firstLine="540"/>
        <w:jc w:val="both"/>
      </w:pPr>
      <w:r>
        <w:rPr>
          <w:sz w:val="20"/>
        </w:rPr>
        <w:t xml:space="preserve">в случае осуществления технологического присоединения энергопринимающих устройств на уровне напряжения выше 0,4 кВ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pPr>
        <w:pStyle w:val="0"/>
        <w:spacing w:before="200" w:line-rule="auto"/>
        <w:ind w:firstLine="540"/>
        <w:jc w:val="both"/>
      </w:pPr>
      <w:r>
        <w:rPr>
          <w:sz w:val="20"/>
        </w:rPr>
        <w:t xml:space="preserve">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pPr>
        <w:pStyle w:val="0"/>
        <w:spacing w:before="200" w:line-rule="auto"/>
        <w:ind w:firstLine="540"/>
        <w:jc w:val="both"/>
      </w:pPr>
      <w:r>
        <w:rPr>
          <w:sz w:val="20"/>
        </w:rP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pPr>
        <w:pStyle w:val="0"/>
        <w:spacing w:before="200" w:line-rule="auto"/>
        <w:ind w:firstLine="540"/>
        <w:jc w:val="both"/>
      </w:pPr>
      <w:r>
        <w:rPr>
          <w:sz w:val="20"/>
        </w:rPr>
        <w:t xml:space="preserve">надлежащим образом исполнять указанные в </w:t>
      </w:r>
      <w:hyperlink w:history="0" w:anchor="P3259" w:tooltip="III. Плата за технологическое присоединение">
        <w:r>
          <w:rPr>
            <w:sz w:val="20"/>
            <w:color w:val="0000ff"/>
          </w:rPr>
          <w:t xml:space="preserve">разделе III</w:t>
        </w:r>
      </w:hyperlink>
      <w:r>
        <w:rPr>
          <w:sz w:val="20"/>
        </w:rPr>
        <w:t xml:space="preserve"> настоящего договора обязательства по оплате расходов на технологическое присоединение;</w:t>
      </w:r>
    </w:p>
    <w:p>
      <w:pPr>
        <w:pStyle w:val="0"/>
        <w:spacing w:before="200" w:line-rule="auto"/>
        <w:ind w:firstLine="540"/>
        <w:jc w:val="both"/>
      </w:pPr>
      <w:r>
        <w:rPr>
          <w:sz w:val="20"/>
        </w:rPr>
        <w:t xml:space="preserve">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pPr>
        <w:pStyle w:val="0"/>
        <w:spacing w:before="200" w:line-rule="auto"/>
        <w:ind w:firstLine="540"/>
        <w:jc w:val="both"/>
      </w:pPr>
      <w:r>
        <w:rPr>
          <w:sz w:val="20"/>
        </w:rPr>
        <w:t xml:space="preserve">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pPr>
        <w:pStyle w:val="0"/>
        <w:jc w:val="both"/>
      </w:pPr>
      <w:r>
        <w:rPr>
          <w:sz w:val="20"/>
        </w:rPr>
      </w:r>
    </w:p>
    <w:bookmarkStart w:id="3259" w:name="P3259"/>
    <w:bookmarkEnd w:id="3259"/>
    <w:p>
      <w:pPr>
        <w:pStyle w:val="0"/>
        <w:outlineLvl w:val="2"/>
        <w:jc w:val="center"/>
      </w:pPr>
      <w:r>
        <w:rPr>
          <w:sz w:val="20"/>
        </w:rPr>
        <w:t xml:space="preserve">III. Плата за технологическое присоединение</w:t>
      </w:r>
    </w:p>
    <w:p>
      <w:pPr>
        <w:pStyle w:val="0"/>
        <w:jc w:val="center"/>
      </w:pPr>
      <w:r>
        <w:rPr>
          <w:sz w:val="20"/>
        </w:rPr>
        <w:t xml:space="preserve">и порядок расчетов</w:t>
      </w:r>
    </w:p>
    <w:p>
      <w:pPr>
        <w:pStyle w:val="0"/>
        <w:jc w:val="both"/>
      </w:pPr>
      <w:r>
        <w:rPr>
          <w:sz w:val="20"/>
        </w:rPr>
      </w:r>
    </w:p>
    <w:p>
      <w:pPr>
        <w:pStyle w:val="1"/>
        <w:jc w:val="both"/>
      </w:pPr>
      <w:r>
        <w:rPr>
          <w:sz w:val="20"/>
        </w:rPr>
        <w:t xml:space="preserve">    10. Размер  платы  за  технологическое  присоединение  определяется </w:t>
      </w:r>
      <w:hyperlink w:history="0" w:anchor="P3344" w:tooltip="&lt;4&gt; - &lt;5&gt; Сноски исключены.">
        <w:r>
          <w:rPr>
            <w:sz w:val="20"/>
            <w:color w:val="0000ff"/>
          </w:rPr>
          <w:t xml:space="preserve">&lt;5&gt;</w:t>
        </w:r>
      </w:hyperlink>
    </w:p>
    <w:p>
      <w:pPr>
        <w:pStyle w:val="1"/>
        <w:jc w:val="both"/>
      </w:pPr>
      <w:r>
        <w:rPr>
          <w:sz w:val="20"/>
        </w:rPr>
        <w:t xml:space="preserve">в соответствии с решением _________________________________________________</w:t>
      </w:r>
    </w:p>
    <w:p>
      <w:pPr>
        <w:pStyle w:val="1"/>
        <w:jc w:val="both"/>
      </w:pPr>
      <w:r>
        <w:rPr>
          <w:sz w:val="20"/>
        </w:rPr>
        <w:t xml:space="preserve">                             (наименование органа исполнительной власти</w:t>
      </w:r>
    </w:p>
    <w:p>
      <w:pPr>
        <w:pStyle w:val="1"/>
        <w:jc w:val="both"/>
      </w:pPr>
      <w:r>
        <w:rPr>
          <w:sz w:val="20"/>
        </w:rPr>
        <w:t xml:space="preserve">___________________________________________________________________________</w:t>
      </w:r>
    </w:p>
    <w:p>
      <w:pPr>
        <w:pStyle w:val="1"/>
        <w:jc w:val="both"/>
      </w:pPr>
      <w:r>
        <w:rPr>
          <w:sz w:val="20"/>
        </w:rPr>
        <w:t xml:space="preserve">             в области государственного регулирования тарифов)</w:t>
      </w:r>
    </w:p>
    <w:p>
      <w:pPr>
        <w:pStyle w:val="1"/>
        <w:jc w:val="both"/>
      </w:pPr>
      <w:r>
        <w:rPr>
          <w:sz w:val="20"/>
        </w:rPr>
        <w:t xml:space="preserve">от _____________ N _______ и составляет ____________ рублей _______ копеек.</w:t>
      </w:r>
    </w:p>
    <w:p>
      <w:pPr>
        <w:pStyle w:val="1"/>
        <w:jc w:val="both"/>
      </w:pPr>
      <w:r>
        <w:rPr>
          <w:sz w:val="20"/>
        </w:rPr>
        <w:t xml:space="preserve">    11.  Внесение  платы  за  технологическое  присоединение осуществляется</w:t>
      </w:r>
    </w:p>
    <w:p>
      <w:pPr>
        <w:pStyle w:val="1"/>
        <w:jc w:val="both"/>
      </w:pPr>
      <w:r>
        <w:rPr>
          <w:sz w:val="20"/>
        </w:rPr>
        <w:t xml:space="preserve">заявителем в следующем порядке: ___________________________________________</w:t>
      </w:r>
    </w:p>
    <w:p>
      <w:pPr>
        <w:pStyle w:val="1"/>
        <w:jc w:val="both"/>
      </w:pPr>
      <w:r>
        <w:rPr>
          <w:sz w:val="20"/>
        </w:rPr>
        <w:t xml:space="preserve">                                       (указываются порядок и сроки</w:t>
      </w:r>
    </w:p>
    <w:p>
      <w:pPr>
        <w:pStyle w:val="1"/>
        <w:jc w:val="both"/>
      </w:pPr>
      <w:r>
        <w:rPr>
          <w:sz w:val="20"/>
        </w:rPr>
        <w:t xml:space="preserve">__________________________________________________________________________.</w:t>
      </w:r>
    </w:p>
    <w:p>
      <w:pPr>
        <w:pStyle w:val="1"/>
        <w:jc w:val="both"/>
      </w:pPr>
      <w:r>
        <w:rPr>
          <w:sz w:val="20"/>
        </w:rPr>
        <w:t xml:space="preserve">            внесения платы за технологическое присоединение)</w:t>
      </w:r>
    </w:p>
    <w:p>
      <w:pPr>
        <w:pStyle w:val="0"/>
        <w:ind w:firstLine="540"/>
        <w:jc w:val="both"/>
      </w:pPr>
      <w:r>
        <w:rPr>
          <w:sz w:val="20"/>
        </w:rPr>
        <w:t xml:space="preserve">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pPr>
        <w:pStyle w:val="0"/>
        <w:jc w:val="both"/>
      </w:pPr>
      <w:r>
        <w:rPr>
          <w:sz w:val="20"/>
        </w:rPr>
      </w:r>
    </w:p>
    <w:p>
      <w:pPr>
        <w:pStyle w:val="0"/>
        <w:outlineLvl w:val="2"/>
        <w:jc w:val="center"/>
      </w:pPr>
      <w:r>
        <w:rPr>
          <w:sz w:val="20"/>
        </w:rPr>
        <w:t xml:space="preserve">IV. Разграничение балансовой принадлежности электрических</w:t>
      </w:r>
    </w:p>
    <w:p>
      <w:pPr>
        <w:pStyle w:val="0"/>
        <w:jc w:val="center"/>
      </w:pPr>
      <w:r>
        <w:rPr>
          <w:sz w:val="20"/>
        </w:rPr>
        <w:t xml:space="preserve">сетей и эксплуатационной ответственности Сторон</w:t>
      </w:r>
    </w:p>
    <w:p>
      <w:pPr>
        <w:pStyle w:val="0"/>
        <w:jc w:val="both"/>
      </w:pPr>
      <w:r>
        <w:rPr>
          <w:sz w:val="20"/>
        </w:rPr>
      </w:r>
    </w:p>
    <w:p>
      <w:pPr>
        <w:pStyle w:val="0"/>
        <w:ind w:firstLine="540"/>
        <w:jc w:val="both"/>
      </w:pPr>
      <w:r>
        <w:rPr>
          <w:sz w:val="20"/>
        </w:rPr>
        <w:t xml:space="preserve">13. Заявитель несет балансовую и эксплуатационную ответственность до точки присоединения энергопринимающих устройств заявителя </w:t>
      </w:r>
      <w:hyperlink w:history="0" w:anchor="P3345" w:tooltip="&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
        <w:r>
          <w:rPr>
            <w:sz w:val="20"/>
            <w:color w:val="0000ff"/>
          </w:rPr>
          <w:t xml:space="preserve">&lt;6&gt;</w:t>
        </w:r>
      </w:hyperlink>
      <w:r>
        <w:rPr>
          <w:sz w:val="20"/>
        </w:rPr>
        <w:t xml:space="preserve">.</w:t>
      </w:r>
    </w:p>
    <w:p>
      <w:pPr>
        <w:pStyle w:val="0"/>
        <w:jc w:val="both"/>
      </w:pPr>
      <w:r>
        <w:rPr>
          <w:sz w:val="20"/>
        </w:rPr>
      </w:r>
    </w:p>
    <w:p>
      <w:pPr>
        <w:pStyle w:val="0"/>
        <w:outlineLvl w:val="2"/>
        <w:jc w:val="center"/>
      </w:pPr>
      <w:r>
        <w:rPr>
          <w:sz w:val="20"/>
        </w:rPr>
        <w:t xml:space="preserve">V. Условия изменения, расторжения договора</w:t>
      </w:r>
    </w:p>
    <w:p>
      <w:pPr>
        <w:pStyle w:val="0"/>
        <w:jc w:val="center"/>
      </w:pPr>
      <w:r>
        <w:rPr>
          <w:sz w:val="20"/>
        </w:rPr>
        <w:t xml:space="preserve">и ответственность Сторон</w:t>
      </w:r>
    </w:p>
    <w:p>
      <w:pPr>
        <w:pStyle w:val="0"/>
        <w:jc w:val="both"/>
      </w:pPr>
      <w:r>
        <w:rPr>
          <w:sz w:val="20"/>
        </w:rPr>
      </w:r>
    </w:p>
    <w:p>
      <w:pPr>
        <w:pStyle w:val="0"/>
        <w:ind w:firstLine="540"/>
        <w:jc w:val="both"/>
      </w:pPr>
      <w:r>
        <w:rPr>
          <w:sz w:val="20"/>
        </w:rPr>
        <w:t xml:space="preserve">14. Настоящий договор может быть изменен по письменному соглашению Сторон или в судебном порядке.</w:t>
      </w:r>
    </w:p>
    <w:p>
      <w:pPr>
        <w:pStyle w:val="0"/>
        <w:spacing w:before="200" w:line-rule="auto"/>
        <w:ind w:firstLine="540"/>
        <w:jc w:val="both"/>
      </w:pPr>
      <w:r>
        <w:rPr>
          <w:sz w:val="20"/>
        </w:rPr>
        <w:t xml:space="preserve">15. Договор может быть расторгнут по требованию одной из Сторон по основаниям, предусмотренным Гражданским </w:t>
      </w:r>
      <w:hyperlink w:history="0" r:id="rId1112" w:tooltip="&quot;Гражданский кодекс Российской Федерации (часть первая)&quot; от 30.11.1994 N 51-ФЗ (ред. от 25.02.2022)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pPr>
        <w:pStyle w:val="0"/>
        <w:spacing w:before="200" w:line-rule="auto"/>
        <w:ind w:firstLine="540"/>
        <w:jc w:val="both"/>
      </w:pPr>
      <w:r>
        <w:rPr>
          <w:sz w:val="20"/>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bookmarkStart w:id="3287" w:name="P3287"/>
    <w:bookmarkEnd w:id="3287"/>
    <w:p>
      <w:pPr>
        <w:pStyle w:val="0"/>
        <w:spacing w:before="200" w:line-rule="auto"/>
        <w:ind w:firstLine="540"/>
        <w:jc w:val="both"/>
      </w:pPr>
      <w:r>
        <w:rPr>
          <w:sz w:val="20"/>
        </w:rPr>
        <w:t xml:space="preserve">17. Абзац утратил силу.</w:t>
      </w:r>
    </w:p>
    <w:bookmarkStart w:id="3288" w:name="P3288"/>
    <w:bookmarkEnd w:id="3288"/>
    <w:p>
      <w:pPr>
        <w:pStyle w:val="0"/>
        <w:spacing w:before="200" w:line-rule="auto"/>
        <w:ind w:firstLine="540"/>
        <w:jc w:val="both"/>
      </w:pPr>
      <w:r>
        <w:rPr>
          <w:sz w:val="20"/>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pPr>
        <w:pStyle w:val="0"/>
        <w:spacing w:before="200" w:line-rule="auto"/>
        <w:ind w:firstLine="540"/>
        <w:jc w:val="both"/>
      </w:pPr>
      <w:r>
        <w:rPr>
          <w:sz w:val="20"/>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history="0" w:anchor="P3287" w:tooltip="17. Абзац утратил силу.">
        <w:r>
          <w:rPr>
            <w:sz w:val="20"/>
            <w:color w:val="0000ff"/>
          </w:rPr>
          <w:t xml:space="preserve">абзацем первым</w:t>
        </w:r>
      </w:hyperlink>
      <w:r>
        <w:rPr>
          <w:sz w:val="20"/>
        </w:rPr>
        <w:t xml:space="preserve"> или </w:t>
      </w:r>
      <w:hyperlink w:history="0" w:anchor="P3288" w:tooltip="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
        <w:r>
          <w:rPr>
            <w:sz w:val="20"/>
            <w:color w:val="0000ff"/>
          </w:rPr>
          <w:t xml:space="preserve">вторым</w:t>
        </w:r>
      </w:hyperlink>
      <w:r>
        <w:rPr>
          <w:sz w:val="20"/>
        </w:rPr>
        <w:t xml:space="preserve"> настоящего пункта, в случае необоснованного уклонения либо отказа от ее уплаты.</w:t>
      </w:r>
    </w:p>
    <w:p>
      <w:pPr>
        <w:pStyle w:val="0"/>
        <w:spacing w:before="200" w:line-rule="auto"/>
        <w:ind w:firstLine="540"/>
        <w:jc w:val="both"/>
      </w:pPr>
      <w:r>
        <w:rPr>
          <w:sz w:val="20"/>
        </w:rPr>
        <w:t xml:space="preserve">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pPr>
        <w:pStyle w:val="0"/>
        <w:jc w:val="both"/>
      </w:pPr>
      <w:r>
        <w:rPr>
          <w:sz w:val="20"/>
        </w:rPr>
      </w:r>
    </w:p>
    <w:p>
      <w:pPr>
        <w:pStyle w:val="0"/>
        <w:outlineLvl w:val="2"/>
        <w:jc w:val="center"/>
      </w:pPr>
      <w:r>
        <w:rPr>
          <w:sz w:val="20"/>
        </w:rPr>
        <w:t xml:space="preserve">VI. Порядок разрешения споров</w:t>
      </w:r>
    </w:p>
    <w:p>
      <w:pPr>
        <w:pStyle w:val="0"/>
        <w:jc w:val="both"/>
      </w:pPr>
      <w:r>
        <w:rPr>
          <w:sz w:val="20"/>
        </w:rPr>
      </w:r>
    </w:p>
    <w:p>
      <w:pPr>
        <w:pStyle w:val="0"/>
        <w:ind w:firstLine="540"/>
        <w:jc w:val="both"/>
      </w:pPr>
      <w:r>
        <w:rPr>
          <w:sz w:val="20"/>
        </w:rPr>
        <w:t xml:space="preserve">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pPr>
        <w:pStyle w:val="0"/>
        <w:jc w:val="both"/>
      </w:pPr>
      <w:r>
        <w:rPr>
          <w:sz w:val="20"/>
        </w:rPr>
      </w:r>
    </w:p>
    <w:p>
      <w:pPr>
        <w:pStyle w:val="0"/>
        <w:outlineLvl w:val="2"/>
        <w:jc w:val="center"/>
      </w:pPr>
      <w:r>
        <w:rPr>
          <w:sz w:val="20"/>
        </w:rPr>
        <w:t xml:space="preserve">VII. Заключительные положения</w:t>
      </w:r>
    </w:p>
    <w:p>
      <w:pPr>
        <w:pStyle w:val="0"/>
        <w:jc w:val="both"/>
      </w:pPr>
      <w:r>
        <w:rPr>
          <w:sz w:val="20"/>
        </w:rPr>
      </w:r>
    </w:p>
    <w:p>
      <w:pPr>
        <w:pStyle w:val="0"/>
        <w:ind w:firstLine="540"/>
        <w:jc w:val="both"/>
      </w:pPr>
      <w:r>
        <w:rPr>
          <w:sz w:val="20"/>
        </w:rPr>
        <w:t xml:space="preserve">21. Настоящий договор считается заключенным со дня оплаты заявителем счета на оплату технологического присоединения по договору.</w:t>
      </w:r>
    </w:p>
    <w:p>
      <w:pPr>
        <w:pStyle w:val="0"/>
        <w:spacing w:before="200" w:line-rule="auto"/>
        <w:ind w:firstLine="540"/>
        <w:jc w:val="both"/>
      </w:pPr>
      <w:r>
        <w:rPr>
          <w:sz w:val="20"/>
        </w:rPr>
        <w:t xml:space="preserve">22. Настоящий договор составлен и подписан в двух экземплярах, по одному для каждой из Сторон.</w:t>
      </w:r>
    </w:p>
    <w:p>
      <w:pPr>
        <w:pStyle w:val="0"/>
        <w:jc w:val="both"/>
      </w:pPr>
      <w:r>
        <w:rPr>
          <w:sz w:val="20"/>
        </w:rPr>
      </w:r>
    </w:p>
    <w:p>
      <w:pPr>
        <w:pStyle w:val="0"/>
        <w:outlineLvl w:val="2"/>
        <w:jc w:val="center"/>
      </w:pPr>
      <w:r>
        <w:rPr>
          <w:sz w:val="20"/>
        </w:rPr>
        <w:t xml:space="preserve">Реквизиты Сторон</w:t>
      </w:r>
    </w:p>
    <w:p>
      <w:pPr>
        <w:pStyle w:val="0"/>
        <w:jc w:val="both"/>
      </w:pPr>
      <w:r>
        <w:rPr>
          <w:sz w:val="20"/>
        </w:rPr>
      </w:r>
    </w:p>
    <w:tbl>
      <w:tblPr>
        <w:tblInd w:w="0" w:type="dxa"/>
        <w:tblLayout w:type="fixed"/>
        <w:tblCellMar>
          <w:top w:w="102" w:type="dxa"/>
          <w:left w:w="62" w:type="dxa"/>
          <w:bottom w:w="102" w:type="dxa"/>
          <w:right w:w="62" w:type="dxa"/>
        </w:tblCellMar>
      </w:tblPr>
      <w:tblGrid>
        <w:gridCol w:w="4252"/>
        <w:gridCol w:w="360"/>
        <w:gridCol w:w="4422"/>
      </w:tblGrid>
      <w:tr>
        <w:tc>
          <w:tcPr>
            <w:tcW w:w="4252" w:type="dxa"/>
            <w:tcBorders>
              <w:top w:val="nil"/>
              <w:left w:val="nil"/>
              <w:bottom w:val="nil"/>
              <w:right w:val="nil"/>
            </w:tcBorders>
          </w:tcPr>
          <w:p>
            <w:pPr>
              <w:pStyle w:val="0"/>
              <w:jc w:val="both"/>
            </w:pPr>
            <w:r>
              <w:rPr>
                <w:sz w:val="20"/>
              </w:rPr>
              <w:t xml:space="preserve">Сетевая организация</w:t>
            </w:r>
          </w:p>
          <w:p>
            <w:pPr>
              <w:pStyle w:val="0"/>
              <w:jc w:val="both"/>
            </w:pPr>
            <w:r>
              <w:rPr>
                <w:sz w:val="20"/>
              </w:rPr>
              <w:t xml:space="preserve">____________________________________</w:t>
            </w:r>
          </w:p>
          <w:p>
            <w:pPr>
              <w:pStyle w:val="0"/>
              <w:jc w:val="center"/>
            </w:pPr>
            <w:r>
              <w:rPr>
                <w:sz w:val="20"/>
              </w:rPr>
              <w:t xml:space="preserve">(наименование сетевой организации)</w:t>
            </w:r>
          </w:p>
          <w:p>
            <w:pPr>
              <w:pStyle w:val="0"/>
              <w:jc w:val="both"/>
            </w:pPr>
            <w:r>
              <w:rPr>
                <w:sz w:val="20"/>
              </w:rPr>
              <w:t xml:space="preserve">____________________________________</w:t>
            </w:r>
          </w:p>
          <w:p>
            <w:pPr>
              <w:pStyle w:val="0"/>
              <w:jc w:val="center"/>
            </w:pPr>
            <w:r>
              <w:rPr>
                <w:sz w:val="20"/>
              </w:rPr>
              <w:t xml:space="preserve">(место нахождения)</w:t>
            </w:r>
          </w:p>
          <w:p>
            <w:pPr>
              <w:pStyle w:val="0"/>
              <w:jc w:val="both"/>
            </w:pPr>
            <w:r>
              <w:rPr>
                <w:sz w:val="20"/>
              </w:rPr>
              <w:t xml:space="preserve">ИНН/КПП ___________________________</w:t>
            </w:r>
          </w:p>
          <w:p>
            <w:pPr>
              <w:pStyle w:val="0"/>
              <w:jc w:val="both"/>
            </w:pPr>
            <w:r>
              <w:rPr>
                <w:sz w:val="20"/>
              </w:rPr>
              <w:t xml:space="preserve">____________________________________</w:t>
            </w:r>
          </w:p>
          <w:p>
            <w:pPr>
              <w:pStyle w:val="0"/>
              <w:jc w:val="both"/>
            </w:pPr>
            <w:r>
              <w:rPr>
                <w:sz w:val="20"/>
              </w:rPr>
              <w:t xml:space="preserve">р/с __________________________________</w:t>
            </w:r>
          </w:p>
          <w:p>
            <w:pPr>
              <w:pStyle w:val="0"/>
              <w:jc w:val="both"/>
            </w:pPr>
            <w:r>
              <w:rPr>
                <w:sz w:val="20"/>
              </w:rPr>
              <w:t xml:space="preserve">к/с __________________________________</w:t>
            </w:r>
          </w:p>
          <w:p>
            <w:pPr>
              <w:pStyle w:val="0"/>
              <w:jc w:val="both"/>
            </w:pPr>
            <w:r>
              <w:rPr>
                <w:sz w:val="20"/>
              </w:rPr>
              <w:t xml:space="preserve">____________________________________</w:t>
            </w:r>
          </w:p>
          <w:p>
            <w:pPr>
              <w:pStyle w:val="0"/>
              <w:jc w:val="center"/>
            </w:pPr>
            <w:r>
              <w:rPr>
                <w:sz w:val="20"/>
              </w:rPr>
              <w:t xml:space="preserve">(должность, фамилия, имя, отчество лица,</w:t>
            </w:r>
          </w:p>
          <w:p>
            <w:pPr>
              <w:pStyle w:val="0"/>
              <w:jc w:val="both"/>
            </w:pPr>
            <w:r>
              <w:rPr>
                <w:sz w:val="20"/>
              </w:rPr>
              <w:t xml:space="preserve">____________________________________</w:t>
            </w:r>
          </w:p>
          <w:p>
            <w:pPr>
              <w:pStyle w:val="0"/>
              <w:jc w:val="center"/>
            </w:pPr>
            <w:r>
              <w:rPr>
                <w:sz w:val="20"/>
              </w:rPr>
              <w:t xml:space="preserve">действующего от имени сетевой организации)</w:t>
            </w:r>
          </w:p>
        </w:tc>
        <w:tc>
          <w:tcPr>
            <w:tcW w:w="360" w:type="dxa"/>
            <w:tcBorders>
              <w:top w:val="nil"/>
              <w:left w:val="nil"/>
              <w:bottom w:val="nil"/>
              <w:right w:val="nil"/>
            </w:tcBorders>
          </w:tcPr>
          <w:p>
            <w:pPr>
              <w:pStyle w:val="0"/>
            </w:pPr>
            <w:r>
              <w:rPr>
                <w:sz w:val="20"/>
              </w:rPr>
            </w:r>
          </w:p>
        </w:tc>
        <w:tc>
          <w:tcPr>
            <w:tcW w:w="4422" w:type="dxa"/>
            <w:tcBorders>
              <w:top w:val="nil"/>
              <w:left w:val="nil"/>
              <w:bottom w:val="nil"/>
              <w:right w:val="nil"/>
            </w:tcBorders>
          </w:tcPr>
          <w:p>
            <w:pPr>
              <w:pStyle w:val="0"/>
              <w:jc w:val="both"/>
            </w:pPr>
            <w:r>
              <w:rPr>
                <w:sz w:val="20"/>
              </w:rPr>
              <w:t xml:space="preserve">Заявитель</w:t>
            </w:r>
          </w:p>
          <w:p>
            <w:pPr>
              <w:pStyle w:val="0"/>
              <w:jc w:val="both"/>
            </w:pPr>
            <w:r>
              <w:rPr>
                <w:sz w:val="20"/>
              </w:rPr>
              <w:t xml:space="preserve">_____________________________________</w:t>
            </w:r>
          </w:p>
          <w:p>
            <w:pPr>
              <w:pStyle w:val="0"/>
              <w:jc w:val="center"/>
            </w:pPr>
            <w:r>
              <w:rPr>
                <w:sz w:val="20"/>
              </w:rPr>
              <w:t xml:space="preserve">(фамилия, имя, отчество)</w:t>
            </w:r>
          </w:p>
          <w:p>
            <w:pPr>
              <w:pStyle w:val="0"/>
              <w:jc w:val="both"/>
            </w:pPr>
            <w:r>
              <w:rPr>
                <w:sz w:val="20"/>
              </w:rPr>
              <w:t xml:space="preserve">_____________________________________</w:t>
            </w:r>
          </w:p>
          <w:p>
            <w:pPr>
              <w:pStyle w:val="0"/>
              <w:jc w:val="center"/>
            </w:pPr>
            <w:r>
              <w:rPr>
                <w:sz w:val="20"/>
              </w:rPr>
              <w:t xml:space="preserve">(серия, номер, дата и место выдачи паспорта</w:t>
            </w:r>
          </w:p>
          <w:p>
            <w:pPr>
              <w:pStyle w:val="0"/>
              <w:jc w:val="both"/>
            </w:pPr>
            <w:r>
              <w:rPr>
                <w:sz w:val="20"/>
              </w:rPr>
              <w:t xml:space="preserve">_____________________________________</w:t>
            </w:r>
          </w:p>
          <w:p>
            <w:pPr>
              <w:pStyle w:val="0"/>
              <w:jc w:val="center"/>
            </w:pPr>
            <w:r>
              <w:rPr>
                <w:sz w:val="20"/>
              </w:rPr>
              <w:t xml:space="preserve">или иного документа, удостоверяющего</w:t>
            </w:r>
          </w:p>
          <w:p>
            <w:pPr>
              <w:pStyle w:val="0"/>
              <w:jc w:val="both"/>
            </w:pPr>
            <w:r>
              <w:rPr>
                <w:sz w:val="20"/>
              </w:rPr>
              <w:t xml:space="preserve">_____________________________________</w:t>
            </w:r>
          </w:p>
          <w:p>
            <w:pPr>
              <w:pStyle w:val="0"/>
              <w:jc w:val="center"/>
            </w:pPr>
            <w:r>
              <w:rPr>
                <w:sz w:val="20"/>
              </w:rPr>
              <w:t xml:space="preserve">личность в соответствии с законодательством Российской Федерации)</w:t>
            </w:r>
          </w:p>
          <w:p>
            <w:pPr>
              <w:pStyle w:val="0"/>
              <w:jc w:val="both"/>
            </w:pPr>
            <w:r>
              <w:rPr>
                <w:sz w:val="20"/>
              </w:rPr>
              <w:t xml:space="preserve">ИНН (при наличии) ____________________</w:t>
            </w:r>
          </w:p>
          <w:p>
            <w:pPr>
              <w:pStyle w:val="0"/>
              <w:jc w:val="both"/>
            </w:pPr>
            <w:r>
              <w:rPr>
                <w:sz w:val="20"/>
              </w:rPr>
              <w:t xml:space="preserve">_____________________________________</w:t>
            </w:r>
          </w:p>
          <w:p>
            <w:pPr>
              <w:pStyle w:val="0"/>
              <w:jc w:val="both"/>
            </w:pPr>
            <w:r>
              <w:rPr>
                <w:sz w:val="20"/>
              </w:rPr>
              <w:t xml:space="preserve">Место жительства _____________________</w:t>
            </w:r>
          </w:p>
          <w:p>
            <w:pPr>
              <w:pStyle w:val="0"/>
              <w:jc w:val="both"/>
            </w:pPr>
            <w:r>
              <w:rPr>
                <w:sz w:val="20"/>
              </w:rPr>
              <w:t xml:space="preserve">_____________________________________</w:t>
            </w:r>
          </w:p>
          <w:p>
            <w:pPr>
              <w:pStyle w:val="0"/>
              <w:jc w:val="both"/>
            </w:pPr>
            <w:r>
              <w:rPr>
                <w:sz w:val="20"/>
              </w:rPr>
              <w:t xml:space="preserve">_____________________________________</w:t>
            </w:r>
          </w:p>
          <w:p>
            <w:pPr>
              <w:pStyle w:val="0"/>
              <w:jc w:val="both"/>
            </w:pPr>
            <w:r>
              <w:rPr>
                <w:sz w:val="20"/>
              </w:rPr>
              <w:t xml:space="preserve">_____________________________________</w:t>
            </w:r>
          </w:p>
        </w:tc>
      </w:tr>
      <w:tr>
        <w:tc>
          <w:tcPr>
            <w:tcW w:w="4252" w:type="dxa"/>
            <w:tcBorders>
              <w:top w:val="nil"/>
              <w:left w:val="nil"/>
              <w:bottom w:val="nil"/>
              <w:right w:val="nil"/>
            </w:tcBorders>
          </w:tcPr>
          <w:p>
            <w:pPr>
              <w:pStyle w:val="0"/>
              <w:jc w:val="right"/>
            </w:pPr>
            <w:r>
              <w:rPr>
                <w:sz w:val="20"/>
              </w:rPr>
              <w:t xml:space="preserve">_________</w:t>
            </w:r>
          </w:p>
          <w:p>
            <w:pPr>
              <w:pStyle w:val="0"/>
              <w:jc w:val="right"/>
            </w:pPr>
            <w:r>
              <w:rPr>
                <w:sz w:val="20"/>
              </w:rPr>
              <w:t xml:space="preserve">(подпись)</w:t>
            </w:r>
          </w:p>
          <w:p>
            <w:pPr>
              <w:pStyle w:val="0"/>
              <w:jc w:val="both"/>
            </w:pPr>
            <w:r>
              <w:rPr>
                <w:sz w:val="20"/>
              </w:rPr>
              <w:t xml:space="preserve">М.П.</w:t>
            </w:r>
          </w:p>
        </w:tc>
        <w:tc>
          <w:tcPr>
            <w:tcW w:w="360" w:type="dxa"/>
            <w:tcBorders>
              <w:top w:val="nil"/>
              <w:left w:val="nil"/>
              <w:bottom w:val="nil"/>
              <w:right w:val="nil"/>
            </w:tcBorders>
          </w:tcPr>
          <w:p>
            <w:pPr>
              <w:pStyle w:val="0"/>
            </w:pPr>
            <w:r>
              <w:rPr>
                <w:sz w:val="20"/>
              </w:rPr>
            </w:r>
          </w:p>
        </w:tc>
        <w:tc>
          <w:tcPr>
            <w:tcW w:w="4422" w:type="dxa"/>
            <w:tcBorders>
              <w:top w:val="nil"/>
              <w:left w:val="nil"/>
              <w:bottom w:val="nil"/>
              <w:right w:val="nil"/>
            </w:tcBorders>
          </w:tcPr>
          <w:p>
            <w:pPr>
              <w:pStyle w:val="0"/>
              <w:jc w:val="right"/>
            </w:pPr>
            <w:r>
              <w:rPr>
                <w:sz w:val="20"/>
              </w:rPr>
              <w:t xml:space="preserve">_________</w:t>
            </w:r>
          </w:p>
          <w:p>
            <w:pPr>
              <w:pStyle w:val="0"/>
              <w:jc w:val="right"/>
            </w:pPr>
            <w:r>
              <w:rPr>
                <w:sz w:val="20"/>
              </w:rPr>
              <w:t xml:space="preserve">(подпись)</w:t>
            </w:r>
          </w:p>
        </w:tc>
      </w:tr>
    </w:tbl>
    <w:p>
      <w:pPr>
        <w:pStyle w:val="0"/>
        <w:jc w:val="both"/>
      </w:pPr>
      <w:r>
        <w:rPr>
          <w:sz w:val="20"/>
        </w:rPr>
      </w:r>
    </w:p>
    <w:p>
      <w:pPr>
        <w:pStyle w:val="0"/>
        <w:ind w:firstLine="540"/>
        <w:jc w:val="both"/>
      </w:pPr>
      <w:r>
        <w:rPr>
          <w:sz w:val="20"/>
        </w:rPr>
        <w:t xml:space="preserve">--------------------------------</w:t>
      </w:r>
    </w:p>
    <w:bookmarkStart w:id="3341" w:name="P3341"/>
    <w:bookmarkEnd w:id="3341"/>
    <w:p>
      <w:pPr>
        <w:pStyle w:val="0"/>
        <w:spacing w:before="200" w:line-rule="auto"/>
        <w:ind w:firstLine="540"/>
        <w:jc w:val="both"/>
      </w:pPr>
      <w:r>
        <w:rPr>
          <w:sz w:val="20"/>
        </w:rPr>
        <w:t xml:space="preserve">&lt;1&gt;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bookmarkStart w:id="3342" w:name="P3342"/>
    <w:bookmarkEnd w:id="3342"/>
    <w:p>
      <w:pPr>
        <w:pStyle w:val="0"/>
        <w:spacing w:before="200" w:line-rule="auto"/>
        <w:ind w:firstLine="540"/>
        <w:jc w:val="both"/>
      </w:pPr>
      <w:r>
        <w:rPr>
          <w:sz w:val="20"/>
        </w:rPr>
        <w:t xml:space="preserve">&lt;2&gt;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w:t>
      </w:r>
    </w:p>
    <w:bookmarkStart w:id="3343" w:name="P3343"/>
    <w:bookmarkEnd w:id="3343"/>
    <w:p>
      <w:pPr>
        <w:pStyle w:val="0"/>
        <w:spacing w:before="200" w:line-rule="auto"/>
        <w:ind w:firstLine="540"/>
        <w:jc w:val="both"/>
      </w:pPr>
      <w:r>
        <w:rPr>
          <w:sz w:val="20"/>
        </w:rPr>
        <w:t xml:space="preserve">&lt;3&gt; Срок действия технических условий не может составлять менее 2 лет и более 5 лет.</w:t>
      </w:r>
    </w:p>
    <w:bookmarkStart w:id="3344" w:name="P3344"/>
    <w:bookmarkEnd w:id="3344"/>
    <w:p>
      <w:pPr>
        <w:pStyle w:val="0"/>
        <w:spacing w:before="200" w:line-rule="auto"/>
        <w:ind w:firstLine="540"/>
        <w:jc w:val="both"/>
      </w:pPr>
      <w:r>
        <w:rPr>
          <w:sz w:val="20"/>
        </w:rPr>
        <w:t xml:space="preserve">&lt;4&gt; - &lt;5&gt; Сноски исключены.</w:t>
      </w:r>
    </w:p>
    <w:bookmarkStart w:id="3345" w:name="P3345"/>
    <w:bookmarkEnd w:id="3345"/>
    <w:p>
      <w:pPr>
        <w:pStyle w:val="0"/>
        <w:spacing w:before="200" w:line-rule="auto"/>
        <w:ind w:firstLine="540"/>
        <w:jc w:val="both"/>
      </w:pPr>
      <w:r>
        <w:rPr>
          <w:sz w:val="20"/>
        </w:rPr>
        <w:t xml:space="preserve">&lt;6&gt;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w:t>
      </w:r>
    </w:p>
    <w:p>
      <w:pPr>
        <w:pStyle w:val="0"/>
        <w:jc w:val="right"/>
      </w:pPr>
      <w:r>
        <w:rPr>
          <w:sz w:val="20"/>
        </w:rPr>
        <w:t xml:space="preserve">к типовому договору</w:t>
      </w:r>
    </w:p>
    <w:p>
      <w:pPr>
        <w:pStyle w:val="0"/>
        <w:jc w:val="right"/>
      </w:pPr>
      <w:r>
        <w:rPr>
          <w:sz w:val="20"/>
        </w:rPr>
        <w:t xml:space="preserve">об осуществлении технологического</w:t>
      </w:r>
    </w:p>
    <w:p>
      <w:pPr>
        <w:pStyle w:val="0"/>
        <w:jc w:val="right"/>
      </w:pPr>
      <w:r>
        <w:rPr>
          <w:sz w:val="20"/>
        </w:rPr>
        <w:t xml:space="preserve">присоединения к электрическим сетям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113"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color w:val="392c69"/>
              </w:rPr>
              <w:t xml:space="preserve"> Правительства РФ от 30.06.2022 N 1178)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3358" w:name="P3358"/>
    <w:bookmarkEnd w:id="3358"/>
    <w:p>
      <w:pPr>
        <w:pStyle w:val="1"/>
        <w:jc w:val="both"/>
      </w:pPr>
      <w:r>
        <w:rPr>
          <w:sz w:val="20"/>
        </w:rPr>
        <w:t xml:space="preserve">                            ТЕХНИЧЕСКИЕ УСЛОВИЯ</w:t>
      </w:r>
    </w:p>
    <w:p>
      <w:pPr>
        <w:pStyle w:val="1"/>
        <w:jc w:val="both"/>
      </w:pPr>
      <w:r>
        <w:rPr>
          <w:sz w:val="20"/>
        </w:rPr>
        <w:t xml:space="preserve">                  для присоединения к электрическим сетям</w:t>
      </w:r>
    </w:p>
    <w:p>
      <w:pPr>
        <w:pStyle w:val="1"/>
        <w:jc w:val="both"/>
      </w:pPr>
      <w:r>
        <w:rPr>
          <w:sz w:val="20"/>
        </w:rPr>
      </w:r>
    </w:p>
    <w:p>
      <w:pPr>
        <w:pStyle w:val="1"/>
        <w:jc w:val="both"/>
      </w:pPr>
      <w:r>
        <w:rPr>
          <w:sz w:val="20"/>
        </w:rPr>
        <w:t xml:space="preserve">        (для физических лиц в целях технологического присоединения</w:t>
      </w:r>
    </w:p>
    <w:p>
      <w:pPr>
        <w:pStyle w:val="1"/>
        <w:jc w:val="both"/>
      </w:pPr>
      <w:r>
        <w:rPr>
          <w:sz w:val="20"/>
        </w:rPr>
        <w:t xml:space="preserve">        энергопринимающих устройств, максимальная мощность которых</w:t>
      </w:r>
    </w:p>
    <w:p>
      <w:pPr>
        <w:pStyle w:val="1"/>
        <w:jc w:val="both"/>
      </w:pPr>
      <w:r>
        <w:rPr>
          <w:sz w:val="20"/>
        </w:rPr>
        <w:t xml:space="preserve">     составляет до 15 кВт включительно (с учетом ранее присоединенных</w:t>
      </w:r>
    </w:p>
    <w:p>
      <w:pPr>
        <w:pStyle w:val="1"/>
        <w:jc w:val="both"/>
      </w:pPr>
      <w:r>
        <w:rPr>
          <w:sz w:val="20"/>
        </w:rPr>
        <w:t xml:space="preserve">         в данной точке присоединения энергопринимающих устройств)</w:t>
      </w:r>
    </w:p>
    <w:p>
      <w:pPr>
        <w:pStyle w:val="1"/>
        <w:jc w:val="both"/>
      </w:pPr>
      <w:r>
        <w:rPr>
          <w:sz w:val="20"/>
        </w:rPr>
        <w:t xml:space="preserve">       и которые используются для бытовых и иных нужд, не связанных</w:t>
      </w:r>
    </w:p>
    <w:p>
      <w:pPr>
        <w:pStyle w:val="1"/>
        <w:jc w:val="both"/>
      </w:pPr>
      <w:r>
        <w:rPr>
          <w:sz w:val="20"/>
        </w:rPr>
        <w:t xml:space="preserve">            с осуществлением предпринимательской деятельности)</w:t>
      </w:r>
    </w:p>
    <w:p>
      <w:pPr>
        <w:pStyle w:val="1"/>
        <w:jc w:val="both"/>
      </w:pPr>
      <w:r>
        <w:rPr>
          <w:sz w:val="20"/>
        </w:rPr>
      </w:r>
    </w:p>
    <w:p>
      <w:pPr>
        <w:pStyle w:val="1"/>
        <w:jc w:val="both"/>
      </w:pPr>
      <w:r>
        <w:rPr>
          <w:sz w:val="20"/>
        </w:rPr>
        <w:t xml:space="preserve">N                                                    "__" _________ 20__ г.</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сетевой организации, выдавшей технические условия)</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заявителя)</w:t>
      </w:r>
    </w:p>
    <w:p>
      <w:pPr>
        <w:pStyle w:val="1"/>
        <w:jc w:val="both"/>
      </w:pPr>
      <w:r>
        <w:rPr>
          <w:sz w:val="20"/>
        </w:rPr>
        <w:t xml:space="preserve">    1. Наименование энергопринимающих устройств заявителя _________________</w:t>
      </w:r>
    </w:p>
    <w:p>
      <w:pPr>
        <w:pStyle w:val="1"/>
        <w:jc w:val="both"/>
      </w:pPr>
      <w:r>
        <w:rPr>
          <w:sz w:val="20"/>
        </w:rPr>
        <w:t xml:space="preserve">__________________________________________________________________________.</w:t>
      </w:r>
    </w:p>
    <w:p>
      <w:pPr>
        <w:pStyle w:val="1"/>
        <w:jc w:val="both"/>
      </w:pPr>
      <w:r>
        <w:rPr>
          <w:sz w:val="20"/>
        </w:rPr>
        <w:t xml:space="preserve">    2.  Наименование  и место нахождения объектов, в целях электроснабжения</w:t>
      </w:r>
    </w:p>
    <w:p>
      <w:pPr>
        <w:pStyle w:val="1"/>
        <w:jc w:val="both"/>
      </w:pPr>
      <w:r>
        <w:rPr>
          <w:sz w:val="20"/>
        </w:rPr>
        <w:t xml:space="preserve">которых   осуществляется  технологическое  присоединение  энергопринимающих</w:t>
      </w:r>
    </w:p>
    <w:p>
      <w:pPr>
        <w:pStyle w:val="1"/>
        <w:jc w:val="both"/>
      </w:pPr>
      <w:r>
        <w:rPr>
          <w:sz w:val="20"/>
        </w:rPr>
        <w:t xml:space="preserve">устройств заявителя 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3.  Максимальная  мощность  присоединяемых  энергопринимающих устройств</w:t>
      </w:r>
    </w:p>
    <w:p>
      <w:pPr>
        <w:pStyle w:val="1"/>
        <w:jc w:val="both"/>
      </w:pPr>
      <w:r>
        <w:rPr>
          <w:sz w:val="20"/>
        </w:rPr>
        <w:t xml:space="preserve">заявителя составляет ________________________________________________ (кВт)</w:t>
      </w:r>
    </w:p>
    <w:p>
      <w:pPr>
        <w:pStyle w:val="1"/>
        <w:jc w:val="both"/>
      </w:pPr>
      <w:r>
        <w:rPr>
          <w:sz w:val="20"/>
        </w:rPr>
        <w:t xml:space="preserve">                       (если энергопринимающее устройство вводится</w:t>
      </w:r>
    </w:p>
    <w:p>
      <w:pPr>
        <w:pStyle w:val="1"/>
        <w:jc w:val="both"/>
      </w:pPr>
      <w:r>
        <w:rPr>
          <w:sz w:val="20"/>
        </w:rPr>
        <w:t xml:space="preserve">___________________________________________________________________________</w:t>
      </w:r>
    </w:p>
    <w:p>
      <w:pPr>
        <w:pStyle w:val="1"/>
        <w:jc w:val="both"/>
      </w:pPr>
      <w:r>
        <w:rPr>
          <w:sz w:val="20"/>
        </w:rPr>
        <w:t xml:space="preserve">        в эксплуатацию по этапам и очередям, указывается поэтапное</w:t>
      </w:r>
    </w:p>
    <w:p>
      <w:pPr>
        <w:pStyle w:val="1"/>
        <w:jc w:val="both"/>
      </w:pPr>
      <w:r>
        <w:rPr>
          <w:sz w:val="20"/>
        </w:rPr>
        <w:t xml:space="preserve">__________________________________________________________________________.</w:t>
      </w:r>
    </w:p>
    <w:p>
      <w:pPr>
        <w:pStyle w:val="1"/>
        <w:jc w:val="both"/>
      </w:pPr>
      <w:r>
        <w:rPr>
          <w:sz w:val="20"/>
        </w:rPr>
        <w:t xml:space="preserve">                         распределение мощности)</w:t>
      </w:r>
    </w:p>
    <w:p>
      <w:pPr>
        <w:pStyle w:val="1"/>
        <w:jc w:val="both"/>
      </w:pPr>
      <w:r>
        <w:rPr>
          <w:sz w:val="20"/>
        </w:rPr>
        <w:t xml:space="preserve">    4. Категория надежности ______________________________________________.</w:t>
      </w:r>
    </w:p>
    <w:p>
      <w:pPr>
        <w:pStyle w:val="1"/>
        <w:jc w:val="both"/>
      </w:pPr>
      <w:r>
        <w:rPr>
          <w:sz w:val="20"/>
        </w:rPr>
        <w:t xml:space="preserve">    5.  Класс  напряжения  электрических  сетей,  к  которым осуществляется</w:t>
      </w:r>
    </w:p>
    <w:p>
      <w:pPr>
        <w:pStyle w:val="1"/>
        <w:jc w:val="both"/>
      </w:pPr>
      <w:r>
        <w:rPr>
          <w:sz w:val="20"/>
        </w:rPr>
        <w:t xml:space="preserve">технологическое присоединение ____________ (кВ).</w:t>
      </w:r>
    </w:p>
    <w:p>
      <w:pPr>
        <w:pStyle w:val="1"/>
        <w:jc w:val="both"/>
      </w:pPr>
      <w:r>
        <w:rPr>
          <w:sz w:val="20"/>
        </w:rPr>
        <w:t xml:space="preserve">    6. Год ввода в эксплуатацию энергопринимающих устройств заявителя _____</w:t>
      </w:r>
    </w:p>
    <w:p>
      <w:pPr>
        <w:pStyle w:val="1"/>
        <w:jc w:val="both"/>
      </w:pPr>
      <w:r>
        <w:rPr>
          <w:sz w:val="20"/>
        </w:rPr>
        <w:t xml:space="preserve">__________________________________________________________________________.</w:t>
      </w:r>
    </w:p>
    <w:p>
      <w:pPr>
        <w:pStyle w:val="1"/>
        <w:jc w:val="both"/>
      </w:pPr>
      <w:r>
        <w:rPr>
          <w:sz w:val="20"/>
        </w:rPr>
        <w:t xml:space="preserve">    7.  Точка  (точки) присоединения (вводные распределительные устройства,</w:t>
      </w:r>
    </w:p>
    <w:p>
      <w:pPr>
        <w:pStyle w:val="1"/>
        <w:jc w:val="both"/>
      </w:pPr>
      <w:r>
        <w:rPr>
          <w:sz w:val="20"/>
        </w:rPr>
        <w:t xml:space="preserve">линии  электропередачи,  базовые  подстанции,  генераторы)  и  максимальная</w:t>
      </w:r>
    </w:p>
    <w:p>
      <w:pPr>
        <w:pStyle w:val="1"/>
        <w:jc w:val="both"/>
      </w:pPr>
      <w:r>
        <w:rPr>
          <w:sz w:val="20"/>
        </w:rPr>
        <w:t xml:space="preserve">мощность энергопринимающих устройств по каждой точке присоединения ________</w:t>
      </w:r>
    </w:p>
    <w:p>
      <w:pPr>
        <w:pStyle w:val="1"/>
        <w:jc w:val="both"/>
      </w:pPr>
      <w:r>
        <w:rPr>
          <w:sz w:val="20"/>
        </w:rPr>
        <w:t xml:space="preserve">(кВт).</w:t>
      </w:r>
    </w:p>
    <w:p>
      <w:pPr>
        <w:pStyle w:val="1"/>
        <w:jc w:val="both"/>
      </w:pPr>
      <w:r>
        <w:rPr>
          <w:sz w:val="20"/>
        </w:rPr>
        <w:t xml:space="preserve">    8. Основной источник питания _________________________________________.</w:t>
      </w:r>
    </w:p>
    <w:p>
      <w:pPr>
        <w:pStyle w:val="1"/>
        <w:jc w:val="both"/>
      </w:pPr>
      <w:r>
        <w:rPr>
          <w:sz w:val="20"/>
        </w:rPr>
        <w:t xml:space="preserve">    9. Резервный источник питания ________________________________________.</w:t>
      </w:r>
    </w:p>
    <w:p>
      <w:pPr>
        <w:pStyle w:val="1"/>
        <w:jc w:val="both"/>
      </w:pPr>
      <w:r>
        <w:rPr>
          <w:sz w:val="20"/>
        </w:rPr>
        <w:t xml:space="preserve">    10. Сетевая организация осуществляет </w:t>
      </w:r>
      <w:hyperlink w:history="0" w:anchor="P3437" w:tooltip="&lt;1&gt; Указываются обязательства сетевой организации по исполнению технических условий до точки присоединения энергопринимающих устройств заявителя, а также по урегулированию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
        <w:r>
          <w:rPr>
            <w:sz w:val="20"/>
            <w:color w:val="0000ff"/>
          </w:rPr>
          <w:t xml:space="preserve">&lt;1&gt;</w:t>
        </w:r>
      </w:hyperlink>
    </w:p>
    <w:p>
      <w:pPr>
        <w:pStyle w:val="1"/>
        <w:jc w:val="both"/>
      </w:pPr>
      <w:r>
        <w:rPr>
          <w:sz w:val="20"/>
        </w:rPr>
        <w:t xml:space="preserve">___________________________________________________________________________</w:t>
      </w:r>
    </w:p>
    <w:p>
      <w:pPr>
        <w:pStyle w:val="1"/>
        <w:jc w:val="both"/>
      </w:pPr>
      <w:r>
        <w:rPr>
          <w:sz w:val="20"/>
        </w:rPr>
        <w:t xml:space="preserve">    (указываются требования к усилению существующей электрической сети</w:t>
      </w:r>
    </w:p>
    <w:p>
      <w:pPr>
        <w:pStyle w:val="1"/>
        <w:jc w:val="both"/>
      </w:pPr>
      <w:r>
        <w:rPr>
          <w:sz w:val="20"/>
        </w:rPr>
        <w:t xml:space="preserve">___________________________________________________________________________</w:t>
      </w:r>
    </w:p>
    <w:p>
      <w:pPr>
        <w:pStyle w:val="1"/>
        <w:jc w:val="both"/>
      </w:pPr>
      <w:r>
        <w:rPr>
          <w:sz w:val="20"/>
        </w:rPr>
        <w:t xml:space="preserve">    в связи с присоединением новых мощностей (строительство новых линий</w:t>
      </w:r>
    </w:p>
    <w:p>
      <w:pPr>
        <w:pStyle w:val="1"/>
        <w:jc w:val="both"/>
      </w:pPr>
      <w:r>
        <w:rPr>
          <w:sz w:val="20"/>
        </w:rPr>
        <w:t xml:space="preserve">___________________________________________________________________________</w:t>
      </w:r>
    </w:p>
    <w:p>
      <w:pPr>
        <w:pStyle w:val="1"/>
        <w:jc w:val="both"/>
      </w:pPr>
      <w:r>
        <w:rPr>
          <w:sz w:val="20"/>
        </w:rPr>
        <w:t xml:space="preserve">электропередачи, подстанций, увеличение сечения проводов и кабелей, замена</w:t>
      </w:r>
    </w:p>
    <w:p>
      <w:pPr>
        <w:pStyle w:val="1"/>
        <w:jc w:val="both"/>
      </w:pPr>
      <w:r>
        <w:rPr>
          <w:sz w:val="20"/>
        </w:rPr>
        <w:t xml:space="preserve">___________________________________________________________________________</w:t>
      </w:r>
    </w:p>
    <w:p>
      <w:pPr>
        <w:pStyle w:val="1"/>
        <w:jc w:val="both"/>
      </w:pPr>
      <w:r>
        <w:rPr>
          <w:sz w:val="20"/>
        </w:rPr>
        <w:t xml:space="preserve">   или увеличение мощности трансформаторов, расширение распределительных</w:t>
      </w:r>
    </w:p>
    <w:p>
      <w:pPr>
        <w:pStyle w:val="1"/>
        <w:jc w:val="both"/>
      </w:pPr>
      <w:r>
        <w:rPr>
          <w:sz w:val="20"/>
        </w:rPr>
        <w:t xml:space="preserve">___________________________________________________________________________</w:t>
      </w:r>
    </w:p>
    <w:p>
      <w:pPr>
        <w:pStyle w:val="1"/>
        <w:jc w:val="both"/>
      </w:pPr>
      <w:r>
        <w:rPr>
          <w:sz w:val="20"/>
        </w:rPr>
        <w:t xml:space="preserve">       устройств, модернизация оборудования, реконструкция объектов</w:t>
      </w:r>
    </w:p>
    <w:p>
      <w:pPr>
        <w:pStyle w:val="1"/>
        <w:jc w:val="both"/>
      </w:pPr>
      <w:r>
        <w:rPr>
          <w:sz w:val="20"/>
        </w:rPr>
        <w:t xml:space="preserve">__________________________________________________________________________.</w:t>
      </w:r>
    </w:p>
    <w:p>
      <w:pPr>
        <w:pStyle w:val="1"/>
        <w:jc w:val="both"/>
      </w:pPr>
      <w:r>
        <w:rPr>
          <w:sz w:val="20"/>
        </w:rPr>
        <w:t xml:space="preserve">       электросетевого хозяйства, установка устройств регулирования</w:t>
      </w:r>
    </w:p>
    <w:p>
      <w:pPr>
        <w:pStyle w:val="1"/>
        <w:jc w:val="both"/>
      </w:pPr>
      <w:r>
        <w:rPr>
          <w:sz w:val="20"/>
        </w:rPr>
        <w:t xml:space="preserve">      напряжения для обеспечения надежности и качества электрической</w:t>
      </w:r>
    </w:p>
    <w:p>
      <w:pPr>
        <w:pStyle w:val="1"/>
        <w:jc w:val="both"/>
      </w:pPr>
      <w:r>
        <w:rPr>
          <w:sz w:val="20"/>
        </w:rPr>
        <w:t xml:space="preserve">        энергии, а также по договоренности Сторон иные обязанности</w:t>
      </w:r>
    </w:p>
    <w:p>
      <w:pPr>
        <w:pStyle w:val="1"/>
        <w:jc w:val="both"/>
      </w:pPr>
      <w:r>
        <w:rPr>
          <w:sz w:val="20"/>
        </w:rPr>
        <w:t xml:space="preserve">     по исполнению технических условий, предусмотренные </w:t>
      </w:r>
      <w:hyperlink w:history="0" w:anchor="P1524" w:tooltip="25(1). В технических условиях для заявителей, предусмотренных пунктами 12.1 и 14 настоящих Правил, должны быть указаны:">
        <w:r>
          <w:rPr>
            <w:sz w:val="20"/>
            <w:color w:val="0000ff"/>
          </w:rPr>
          <w:t xml:space="preserve">пунктом 25(1)</w:t>
        </w:r>
      </w:hyperlink>
    </w:p>
    <w:p>
      <w:pPr>
        <w:pStyle w:val="1"/>
        <w:jc w:val="both"/>
      </w:pPr>
      <w:r>
        <w:rPr>
          <w:sz w:val="20"/>
        </w:rPr>
        <w:t xml:space="preserve">     Правил технологического присоединения энергопринимающих устройств</w:t>
      </w:r>
    </w:p>
    <w:p>
      <w:pPr>
        <w:pStyle w:val="1"/>
        <w:jc w:val="both"/>
      </w:pPr>
      <w:r>
        <w:rPr>
          <w:sz w:val="20"/>
        </w:rPr>
        <w:t xml:space="preserve">       потребителей электрической энергии, объектов по производству</w:t>
      </w:r>
    </w:p>
    <w:p>
      <w:pPr>
        <w:pStyle w:val="1"/>
        <w:jc w:val="both"/>
      </w:pPr>
      <w:r>
        <w:rPr>
          <w:sz w:val="20"/>
        </w:rPr>
        <w:t xml:space="preserve">    электрической энергии, а также объектов электросетевого хозяйства,</w:t>
      </w:r>
    </w:p>
    <w:p>
      <w:pPr>
        <w:pStyle w:val="1"/>
        <w:jc w:val="both"/>
      </w:pPr>
      <w:r>
        <w:rPr>
          <w:sz w:val="20"/>
        </w:rPr>
        <w:t xml:space="preserve">             принадлежащих сетевым организациям и иным лицам,</w:t>
      </w:r>
    </w:p>
    <w:p>
      <w:pPr>
        <w:pStyle w:val="1"/>
        <w:jc w:val="both"/>
      </w:pPr>
      <w:r>
        <w:rPr>
          <w:sz w:val="20"/>
        </w:rPr>
        <w:t xml:space="preserve">                          к электрическим сетям)</w:t>
      </w:r>
    </w:p>
    <w:p>
      <w:pPr>
        <w:pStyle w:val="1"/>
        <w:jc w:val="both"/>
      </w:pPr>
      <w:r>
        <w:rPr>
          <w:sz w:val="20"/>
        </w:rPr>
        <w:t xml:space="preserve">    11. Заявитель осуществляет </w:t>
      </w:r>
      <w:hyperlink w:history="0" w:anchor="P3438" w:tooltip="&lt;2&gt; Указываются обязательства заявителя по исполнению технических условий до точки присоединения энергопринимающих устройств заявителя, за исключением обязанностей, обязательных для исполнения сетевой организацией за счет ее средств.">
        <w:r>
          <w:rPr>
            <w:sz w:val="20"/>
            <w:color w:val="0000ff"/>
          </w:rPr>
          <w:t xml:space="preserve">&lt;2&gt;</w:t>
        </w:r>
      </w:hyperlink>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12.  Срок  действия  настоящих технических условий составляет _________</w:t>
      </w:r>
    </w:p>
    <w:p>
      <w:pPr>
        <w:pStyle w:val="1"/>
        <w:jc w:val="both"/>
      </w:pPr>
      <w:r>
        <w:rPr>
          <w:sz w:val="20"/>
        </w:rPr>
        <w:t xml:space="preserve">год (года) </w:t>
      </w:r>
      <w:hyperlink w:history="0" w:anchor="P3439" w:tooltip="&lt;3&gt; Срок действия технических условий не может составлять менее 2 лет и более 5 лет.">
        <w:r>
          <w:rPr>
            <w:sz w:val="20"/>
            <w:color w:val="0000ff"/>
          </w:rPr>
          <w:t xml:space="preserve">&lt;3&gt;</w:t>
        </w:r>
      </w:hyperlink>
      <w:r>
        <w:rPr>
          <w:sz w:val="20"/>
        </w:rPr>
        <w:t xml:space="preserve"> со дня заключения договора об осуществлении технологического</w:t>
      </w:r>
    </w:p>
    <w:p>
      <w:pPr>
        <w:pStyle w:val="1"/>
        <w:jc w:val="both"/>
      </w:pPr>
      <w:r>
        <w:rPr>
          <w:sz w:val="20"/>
        </w:rPr>
        <w:t xml:space="preserve">присоединения к электрическим сетям.</w:t>
      </w:r>
    </w:p>
    <w:p>
      <w:pPr>
        <w:pStyle w:val="1"/>
        <w:jc w:val="both"/>
      </w:pPr>
      <w:r>
        <w:rPr>
          <w:sz w:val="20"/>
        </w:rPr>
      </w:r>
    </w:p>
    <w:p>
      <w:pPr>
        <w:pStyle w:val="1"/>
        <w:jc w:val="both"/>
      </w:pPr>
      <w:r>
        <w:rPr>
          <w:sz w:val="20"/>
        </w:rPr>
        <w:t xml:space="preserve">                                 __________________________________________</w:t>
      </w:r>
    </w:p>
    <w:p>
      <w:pPr>
        <w:pStyle w:val="1"/>
        <w:jc w:val="both"/>
      </w:pPr>
      <w:r>
        <w:rPr>
          <w:sz w:val="20"/>
        </w:rPr>
        <w:t xml:space="preserve">                                                 (подпись)</w:t>
      </w:r>
    </w:p>
    <w:p>
      <w:pPr>
        <w:pStyle w:val="1"/>
        <w:jc w:val="both"/>
      </w:pPr>
      <w:r>
        <w:rPr>
          <w:sz w:val="20"/>
        </w:rPr>
        <w:t xml:space="preserve">                                 __________________________________________</w:t>
      </w:r>
    </w:p>
    <w:p>
      <w:pPr>
        <w:pStyle w:val="1"/>
        <w:jc w:val="both"/>
      </w:pPr>
      <w:r>
        <w:rPr>
          <w:sz w:val="20"/>
        </w:rPr>
        <w:t xml:space="preserve">                                  (должность, фамилия, имя, отчество лица,</w:t>
      </w:r>
    </w:p>
    <w:p>
      <w:pPr>
        <w:pStyle w:val="1"/>
        <w:jc w:val="both"/>
      </w:pPr>
      <w:r>
        <w:rPr>
          <w:sz w:val="20"/>
        </w:rPr>
        <w:t xml:space="preserve">                                 __________________________________________</w:t>
      </w:r>
    </w:p>
    <w:p>
      <w:pPr>
        <w:pStyle w:val="1"/>
        <w:jc w:val="both"/>
      </w:pPr>
      <w:r>
        <w:rPr>
          <w:sz w:val="20"/>
        </w:rPr>
        <w:t xml:space="preserve">                                 действующего от имени сетевой организации)</w:t>
      </w:r>
    </w:p>
    <w:p>
      <w:pPr>
        <w:pStyle w:val="1"/>
        <w:jc w:val="both"/>
      </w:pPr>
      <w:r>
        <w:rPr>
          <w:sz w:val="20"/>
        </w:rPr>
      </w:r>
    </w:p>
    <w:p>
      <w:pPr>
        <w:pStyle w:val="1"/>
        <w:jc w:val="both"/>
      </w:pPr>
      <w:r>
        <w:rPr>
          <w:sz w:val="20"/>
        </w:rPr>
        <w:t xml:space="preserve">                                 "__" __________________________ 20__ г.</w:t>
      </w:r>
    </w:p>
    <w:p>
      <w:pPr>
        <w:pStyle w:val="0"/>
        <w:jc w:val="both"/>
      </w:pPr>
      <w:r>
        <w:rPr>
          <w:sz w:val="20"/>
        </w:rPr>
      </w:r>
    </w:p>
    <w:p>
      <w:pPr>
        <w:pStyle w:val="0"/>
        <w:ind w:firstLine="540"/>
        <w:jc w:val="both"/>
      </w:pPr>
      <w:r>
        <w:rPr>
          <w:sz w:val="20"/>
        </w:rPr>
        <w:t xml:space="preserve">--------------------------------</w:t>
      </w:r>
    </w:p>
    <w:bookmarkStart w:id="3437" w:name="P3437"/>
    <w:bookmarkEnd w:id="3437"/>
    <w:p>
      <w:pPr>
        <w:pStyle w:val="0"/>
        <w:spacing w:before="200" w:line-rule="auto"/>
        <w:ind w:firstLine="540"/>
        <w:jc w:val="both"/>
      </w:pPr>
      <w:r>
        <w:rPr>
          <w:sz w:val="20"/>
        </w:rPr>
        <w:t xml:space="preserve">&lt;1&gt; Указываются обязательства сетевой организации по исполнению технических условий до точки присоединения энергопринимающих устройств заявителя, а также по урегулированию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bookmarkStart w:id="3438" w:name="P3438"/>
    <w:bookmarkEnd w:id="3438"/>
    <w:p>
      <w:pPr>
        <w:pStyle w:val="0"/>
        <w:spacing w:before="200" w:line-rule="auto"/>
        <w:ind w:firstLine="540"/>
        <w:jc w:val="both"/>
      </w:pPr>
      <w:r>
        <w:rPr>
          <w:sz w:val="20"/>
        </w:rPr>
        <w:t xml:space="preserve">&lt;2&gt; Указываются обязательства заявителя по исполнению технических условий до точки присоединения энергопринимающих устройств заявителя, за исключением обязанностей, обязательных для исполнения сетевой организацией за счет ее средств.</w:t>
      </w:r>
    </w:p>
    <w:bookmarkStart w:id="3439" w:name="P3439"/>
    <w:bookmarkEnd w:id="3439"/>
    <w:p>
      <w:pPr>
        <w:pStyle w:val="0"/>
        <w:spacing w:before="200" w:line-rule="auto"/>
        <w:ind w:firstLine="540"/>
        <w:jc w:val="both"/>
      </w:pPr>
      <w:r>
        <w:rPr>
          <w:sz w:val="20"/>
        </w:rPr>
        <w:t xml:space="preserve">&lt;3&gt; Срок действия технических условий не может составлять менее 2 лет и более 5 лет.</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8(1)</w:t>
      </w:r>
    </w:p>
    <w:p>
      <w:pPr>
        <w:pStyle w:val="0"/>
        <w:jc w:val="right"/>
      </w:pPr>
      <w:r>
        <w:rPr>
          <w:sz w:val="20"/>
        </w:rPr>
        <w:t xml:space="preserve">к Правилам технологического</w:t>
      </w:r>
    </w:p>
    <w:p>
      <w:pPr>
        <w:pStyle w:val="0"/>
        <w:jc w:val="right"/>
      </w:pPr>
      <w:r>
        <w:rPr>
          <w:sz w:val="20"/>
        </w:rPr>
        <w:t xml:space="preserve">присоединения энергопринимающих</w:t>
      </w:r>
    </w:p>
    <w:p>
      <w:pPr>
        <w:pStyle w:val="0"/>
        <w:jc w:val="right"/>
      </w:pPr>
      <w:r>
        <w:rPr>
          <w:sz w:val="20"/>
        </w:rPr>
        <w:t xml:space="preserve">устройств потребителей</w:t>
      </w:r>
    </w:p>
    <w:p>
      <w:pPr>
        <w:pStyle w:val="0"/>
        <w:jc w:val="right"/>
      </w:pPr>
      <w:r>
        <w:rPr>
          <w:sz w:val="20"/>
        </w:rPr>
        <w:t xml:space="preserve">электрической энергии, объектов</w:t>
      </w:r>
    </w:p>
    <w:p>
      <w:pPr>
        <w:pStyle w:val="0"/>
        <w:jc w:val="right"/>
      </w:pPr>
      <w:r>
        <w:rPr>
          <w:sz w:val="20"/>
        </w:rPr>
        <w:t xml:space="preserve">по производству электрической</w:t>
      </w:r>
    </w:p>
    <w:p>
      <w:pPr>
        <w:pStyle w:val="0"/>
        <w:jc w:val="right"/>
      </w:pPr>
      <w:r>
        <w:rPr>
          <w:sz w:val="20"/>
        </w:rPr>
        <w:t xml:space="preserve">энергии, а также объектов</w:t>
      </w:r>
    </w:p>
    <w:p>
      <w:pPr>
        <w:pStyle w:val="0"/>
        <w:jc w:val="right"/>
      </w:pPr>
      <w:r>
        <w:rPr>
          <w:sz w:val="20"/>
        </w:rPr>
        <w:t xml:space="preserve">электросетевого хозяйства,</w:t>
      </w:r>
    </w:p>
    <w:p>
      <w:pPr>
        <w:pStyle w:val="0"/>
        <w:jc w:val="right"/>
      </w:pPr>
      <w:r>
        <w:rPr>
          <w:sz w:val="20"/>
        </w:rPr>
        <w:t xml:space="preserve">принадлежащих сетевым организациям</w:t>
      </w:r>
    </w:p>
    <w:p>
      <w:pPr>
        <w:pStyle w:val="0"/>
        <w:jc w:val="right"/>
      </w:pPr>
      <w:r>
        <w:rPr>
          <w:sz w:val="20"/>
        </w:rPr>
        <w:t xml:space="preserve">и иным лицам, к электрическим сетям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1114"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Постановлением</w:t>
              </w:r>
            </w:hyperlink>
            <w:r>
              <w:rPr>
                <w:sz w:val="20"/>
                <w:color w:val="392c69"/>
              </w:rPr>
              <w:t xml:space="preserve"> Правительства РФ от 02.03.2021 N 299;</w:t>
            </w:r>
          </w:p>
          <w:p>
            <w:pPr>
              <w:pStyle w:val="0"/>
              <w:jc w:val="center"/>
            </w:pPr>
            <w:r>
              <w:rPr>
                <w:sz w:val="20"/>
                <w:color w:val="392c69"/>
              </w:rPr>
              <w:t xml:space="preserve">в ред. </w:t>
            </w:r>
            <w:hyperlink w:history="0" r:id="rId1115"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color w:val="392c69"/>
              </w:rPr>
              <w:t xml:space="preserve"> Правительства РФ от 30.06.2022 N 1178)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center"/>
      </w:pPr>
      <w:r>
        <w:rPr>
          <w:sz w:val="20"/>
        </w:rPr>
        <w:t xml:space="preserve">ТИПОВОЙ ДОГОВОР</w:t>
      </w:r>
    </w:p>
    <w:p>
      <w:pPr>
        <w:pStyle w:val="0"/>
        <w:jc w:val="center"/>
      </w:pPr>
      <w:r>
        <w:rPr>
          <w:sz w:val="20"/>
        </w:rPr>
        <w:t xml:space="preserve">об осуществлении технологического присоединения</w:t>
      </w:r>
    </w:p>
    <w:p>
      <w:pPr>
        <w:pStyle w:val="0"/>
        <w:jc w:val="center"/>
      </w:pPr>
      <w:r>
        <w:rPr>
          <w:sz w:val="20"/>
        </w:rPr>
        <w:t xml:space="preserve">к электрическим сетям</w:t>
      </w:r>
    </w:p>
    <w:p>
      <w:pPr>
        <w:pStyle w:val="0"/>
        <w:jc w:val="both"/>
      </w:pPr>
      <w:r>
        <w:rPr>
          <w:sz w:val="20"/>
        </w:rPr>
      </w:r>
    </w:p>
    <w:p>
      <w:pPr>
        <w:pStyle w:val="0"/>
        <w:jc w:val="center"/>
      </w:pPr>
      <w:r>
        <w:rPr>
          <w:sz w:val="20"/>
        </w:rPr>
        <w:t xml:space="preserve">(для физических лиц в целях</w:t>
      </w:r>
    </w:p>
    <w:p>
      <w:pPr>
        <w:pStyle w:val="0"/>
        <w:jc w:val="center"/>
      </w:pPr>
      <w:r>
        <w:rPr>
          <w:sz w:val="20"/>
        </w:rPr>
        <w:t xml:space="preserve">технологического присоединения энергопринимающих устройств,</w:t>
      </w:r>
    </w:p>
    <w:p>
      <w:pPr>
        <w:pStyle w:val="0"/>
        <w:jc w:val="center"/>
      </w:pPr>
      <w:r>
        <w:rPr>
          <w:sz w:val="20"/>
        </w:rPr>
        <w:t xml:space="preserve">максимальная мощность которых составляет до 15 кВт</w:t>
      </w:r>
    </w:p>
    <w:p>
      <w:pPr>
        <w:pStyle w:val="0"/>
        <w:jc w:val="center"/>
      </w:pPr>
      <w:r>
        <w:rPr>
          <w:sz w:val="20"/>
        </w:rPr>
        <w:t xml:space="preserve">включительно (с учетом ранее присоединенных в данной точке</w:t>
      </w:r>
    </w:p>
    <w:p>
      <w:pPr>
        <w:pStyle w:val="0"/>
        <w:jc w:val="center"/>
      </w:pPr>
      <w:r>
        <w:rPr>
          <w:sz w:val="20"/>
        </w:rPr>
        <w:t xml:space="preserve">присоединения энергопринимающих устройств) и которые</w:t>
      </w:r>
    </w:p>
    <w:p>
      <w:pPr>
        <w:pStyle w:val="0"/>
        <w:jc w:val="center"/>
      </w:pPr>
      <w:r>
        <w:rPr>
          <w:sz w:val="20"/>
        </w:rPr>
        <w:t xml:space="preserve">используются для бытовых и иных нужд, не связанных</w:t>
      </w:r>
    </w:p>
    <w:p>
      <w:pPr>
        <w:pStyle w:val="0"/>
        <w:jc w:val="center"/>
      </w:pPr>
      <w:r>
        <w:rPr>
          <w:sz w:val="20"/>
        </w:rPr>
        <w:t xml:space="preserve">с осуществлением предпринимательской деятельности,</w:t>
      </w:r>
    </w:p>
    <w:p>
      <w:pPr>
        <w:pStyle w:val="0"/>
        <w:jc w:val="center"/>
      </w:pPr>
      <w:r>
        <w:rPr>
          <w:sz w:val="20"/>
        </w:rPr>
        <w:t xml:space="preserve">и (или) объектов микрогенерации)</w:t>
      </w:r>
    </w:p>
    <w:p>
      <w:pPr>
        <w:pStyle w:val="0"/>
        <w:jc w:val="both"/>
      </w:pPr>
      <w:r>
        <w:rPr>
          <w:sz w:val="20"/>
        </w:rPr>
      </w:r>
    </w:p>
    <w:p>
      <w:pPr>
        <w:pStyle w:val="1"/>
        <w:jc w:val="both"/>
      </w:pPr>
      <w:r>
        <w:rPr>
          <w:sz w:val="20"/>
        </w:rPr>
        <w:t xml:space="preserve">_____________________________               "__" __________________ 20   г.</w:t>
      </w:r>
    </w:p>
    <w:p>
      <w:pPr>
        <w:pStyle w:val="1"/>
        <w:jc w:val="both"/>
      </w:pPr>
      <w:r>
        <w:rPr>
          <w:sz w:val="20"/>
        </w:rPr>
        <w:t xml:space="preserve"> (место заключения договора)                  (дата заключения договора)</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сетевой организации)</w:t>
      </w:r>
    </w:p>
    <w:p>
      <w:pPr>
        <w:pStyle w:val="1"/>
        <w:jc w:val="both"/>
      </w:pPr>
      <w:r>
        <w:rPr>
          <w:sz w:val="20"/>
        </w:rPr>
        <w:t xml:space="preserve">именуемая     в     дальнейшем     сетевой     организацией,     в     лице</w:t>
      </w:r>
    </w:p>
    <w:p>
      <w:pPr>
        <w:pStyle w:val="1"/>
        <w:jc w:val="both"/>
      </w:pPr>
      <w:r>
        <w:rPr>
          <w:sz w:val="20"/>
        </w:rPr>
        <w:t xml:space="preserve">__________________________________________________________________________,</w:t>
      </w:r>
    </w:p>
    <w:p>
      <w:pPr>
        <w:pStyle w:val="1"/>
        <w:jc w:val="both"/>
      </w:pPr>
      <w:r>
        <w:rPr>
          <w:sz w:val="20"/>
        </w:rPr>
        <w:t xml:space="preserve">                    (должность, фамилия, имя, отчество)</w:t>
      </w:r>
    </w:p>
    <w:p>
      <w:pPr>
        <w:pStyle w:val="1"/>
        <w:jc w:val="both"/>
      </w:pPr>
      <w:r>
        <w:rPr>
          <w:sz w:val="20"/>
        </w:rPr>
        <w:t xml:space="preserve">действующего на основании _________________________________________________</w:t>
      </w:r>
    </w:p>
    <w:p>
      <w:pPr>
        <w:pStyle w:val="1"/>
        <w:jc w:val="both"/>
      </w:pPr>
      <w:r>
        <w:rPr>
          <w:sz w:val="20"/>
        </w:rPr>
        <w:t xml:space="preserve">                               (наименование и реквизиты документа)</w:t>
      </w:r>
    </w:p>
    <w:p>
      <w:pPr>
        <w:pStyle w:val="1"/>
        <w:jc w:val="both"/>
      </w:pPr>
      <w:r>
        <w:rPr>
          <w:sz w:val="20"/>
        </w:rPr>
        <w:t xml:space="preserve">с одной стороны, и _______________________________________________________,</w:t>
      </w:r>
    </w:p>
    <w:p>
      <w:pPr>
        <w:pStyle w:val="1"/>
        <w:jc w:val="both"/>
      </w:pPr>
      <w:r>
        <w:rPr>
          <w:sz w:val="20"/>
        </w:rPr>
        <w:t xml:space="preserve">                   (фамилия, имя, отчество заявителя, серия, номер и дата</w:t>
      </w:r>
    </w:p>
    <w:p>
      <w:pPr>
        <w:pStyle w:val="1"/>
        <w:jc w:val="both"/>
      </w:pPr>
      <w:r>
        <w:rPr>
          <w:sz w:val="20"/>
        </w:rPr>
        <w:t xml:space="preserve">                    выдачи паспорта или иного документа, удостоверяющего</w:t>
      </w:r>
    </w:p>
    <w:p>
      <w:pPr>
        <w:pStyle w:val="1"/>
        <w:jc w:val="both"/>
      </w:pPr>
      <w:r>
        <w:rPr>
          <w:sz w:val="20"/>
        </w:rPr>
        <w:t xml:space="preserve">                         личность в соответствии с законодательством</w:t>
      </w:r>
    </w:p>
    <w:p>
      <w:pPr>
        <w:pStyle w:val="1"/>
        <w:jc w:val="both"/>
      </w:pPr>
      <w:r>
        <w:rPr>
          <w:sz w:val="20"/>
        </w:rPr>
        <w:t xml:space="preserve">                                    Российской Федерации)</w:t>
      </w:r>
    </w:p>
    <w:p>
      <w:pPr>
        <w:pStyle w:val="1"/>
        <w:jc w:val="both"/>
      </w:pPr>
      <w:r>
        <w:rPr>
          <w:sz w:val="20"/>
        </w:rPr>
        <w:t xml:space="preserve">именуемый  в  дальнейшем  заявителем,  с  другой  стороны, вместе именуемые</w:t>
      </w:r>
    </w:p>
    <w:p>
      <w:pPr>
        <w:pStyle w:val="1"/>
        <w:jc w:val="both"/>
      </w:pPr>
      <w:r>
        <w:rPr>
          <w:sz w:val="20"/>
        </w:rPr>
        <w:t xml:space="preserve">сторонами, заключили настоящий договор о нижеследующем:</w:t>
      </w:r>
    </w:p>
    <w:p>
      <w:pPr>
        <w:pStyle w:val="0"/>
        <w:jc w:val="both"/>
      </w:pPr>
      <w:r>
        <w:rPr>
          <w:sz w:val="20"/>
        </w:rPr>
      </w:r>
    </w:p>
    <w:p>
      <w:pPr>
        <w:pStyle w:val="0"/>
        <w:outlineLvl w:val="2"/>
        <w:jc w:val="center"/>
      </w:pPr>
      <w:r>
        <w:rPr>
          <w:sz w:val="20"/>
        </w:rPr>
        <w:t xml:space="preserve">I. Предмет договора</w:t>
      </w:r>
    </w:p>
    <w:p>
      <w:pPr>
        <w:pStyle w:val="0"/>
        <w:jc w:val="both"/>
      </w:pPr>
      <w:r>
        <w:rPr>
          <w:sz w:val="20"/>
        </w:rPr>
      </w:r>
    </w:p>
    <w:p>
      <w:pPr>
        <w:pStyle w:val="1"/>
        <w:jc w:val="both"/>
      </w:pPr>
      <w:r>
        <w:rPr>
          <w:sz w:val="20"/>
        </w:rPr>
        <w:t xml:space="preserve">    1.  По  настоящему  договору  сетевая  организация  принимает  на  себя</w:t>
      </w:r>
    </w:p>
    <w:p>
      <w:pPr>
        <w:pStyle w:val="1"/>
        <w:jc w:val="both"/>
      </w:pPr>
      <w:r>
        <w:rPr>
          <w:sz w:val="20"/>
        </w:rPr>
        <w:t xml:space="preserve">обязательства     по     осуществлению    технологического    присоединения</w:t>
      </w:r>
    </w:p>
    <w:p>
      <w:pPr>
        <w:pStyle w:val="1"/>
        <w:jc w:val="both"/>
      </w:pPr>
      <w:r>
        <w:rPr>
          <w:sz w:val="20"/>
        </w:rPr>
        <w:t xml:space="preserve">энергопринимающих    устройств      и  (или)     объектов    микрогенерации</w:t>
      </w:r>
    </w:p>
    <w:p>
      <w:pPr>
        <w:pStyle w:val="1"/>
        <w:jc w:val="both"/>
      </w:pPr>
      <w:r>
        <w:rPr>
          <w:sz w:val="20"/>
        </w:rPr>
        <w:t xml:space="preserve">заявителя        (далее      -       технологическое         присоединение)</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энергопринимающих устройств)</w:t>
      </w:r>
    </w:p>
    <w:p>
      <w:pPr>
        <w:pStyle w:val="1"/>
        <w:jc w:val="both"/>
      </w:pPr>
      <w:r>
        <w:rPr>
          <w:sz w:val="20"/>
        </w:rPr>
        <w:t xml:space="preserve">в  том  числе  по обеспечению готовности объектов электросетевого хозяйства</w:t>
      </w:r>
    </w:p>
    <w:p>
      <w:pPr>
        <w:pStyle w:val="1"/>
        <w:jc w:val="both"/>
      </w:pPr>
      <w:r>
        <w:rPr>
          <w:sz w:val="20"/>
        </w:rPr>
        <w:t xml:space="preserve">(включая  их  проектирование, строительство, реконструкцию) к присоединению</w:t>
      </w:r>
    </w:p>
    <w:p>
      <w:pPr>
        <w:pStyle w:val="1"/>
        <w:jc w:val="both"/>
      </w:pPr>
      <w:r>
        <w:rPr>
          <w:sz w:val="20"/>
        </w:rPr>
        <w:t xml:space="preserve">энергопринимающих устройств и (или) объектов микрогенерации, урегулированию</w:t>
      </w:r>
    </w:p>
    <w:p>
      <w:pPr>
        <w:pStyle w:val="1"/>
        <w:jc w:val="both"/>
      </w:pPr>
      <w:r>
        <w:rPr>
          <w:sz w:val="20"/>
        </w:rPr>
        <w:t xml:space="preserve">отношений   с   третьими   лицами   в  случае  необходимости  строительства</w:t>
      </w:r>
    </w:p>
    <w:p>
      <w:pPr>
        <w:pStyle w:val="1"/>
        <w:jc w:val="both"/>
      </w:pPr>
      <w:r>
        <w:rPr>
          <w:sz w:val="20"/>
        </w:rPr>
        <w:t xml:space="preserve">(модернизации)  такими  лицами  принадлежащих  им  объектов электросетевого</w:t>
      </w:r>
    </w:p>
    <w:p>
      <w:pPr>
        <w:pStyle w:val="1"/>
        <w:jc w:val="both"/>
      </w:pPr>
      <w:r>
        <w:rPr>
          <w:sz w:val="20"/>
        </w:rPr>
        <w:t xml:space="preserve">хозяйства  (энергопринимающих  устройств,  объектов  электроэнергетики),  с</w:t>
      </w:r>
    </w:p>
    <w:p>
      <w:pPr>
        <w:pStyle w:val="1"/>
        <w:jc w:val="both"/>
      </w:pPr>
      <w:r>
        <w:rPr>
          <w:sz w:val="20"/>
        </w:rPr>
        <w:t xml:space="preserve">учетом следующих характеристик:</w:t>
      </w:r>
    </w:p>
    <w:p>
      <w:pPr>
        <w:pStyle w:val="0"/>
        <w:ind w:firstLine="540"/>
        <w:jc w:val="both"/>
      </w:pPr>
      <w:r>
        <w:rPr>
          <w:sz w:val="20"/>
        </w:rPr>
        <w:t xml:space="preserve">максимальная мощность присоединяемых энергопринимающих устройств _______ (кВт);</w:t>
      </w:r>
    </w:p>
    <w:p>
      <w:pPr>
        <w:pStyle w:val="0"/>
        <w:spacing w:before="200" w:line-rule="auto"/>
        <w:ind w:firstLine="540"/>
        <w:jc w:val="both"/>
      </w:pPr>
      <w:r>
        <w:rPr>
          <w:sz w:val="20"/>
        </w:rPr>
        <w:t xml:space="preserve">категория надежности ______;</w:t>
      </w:r>
    </w:p>
    <w:p>
      <w:pPr>
        <w:pStyle w:val="0"/>
        <w:spacing w:before="200" w:line-rule="auto"/>
        <w:ind w:firstLine="540"/>
        <w:jc w:val="both"/>
      </w:pPr>
      <w:r>
        <w:rPr>
          <w:sz w:val="20"/>
        </w:rPr>
        <w:t xml:space="preserve">класс напряжения электрических сетей, к которым осуществляется технологическое присоединение _______ (кВ);</w:t>
      </w:r>
    </w:p>
    <w:p>
      <w:pPr>
        <w:pStyle w:val="0"/>
        <w:spacing w:before="200" w:line-rule="auto"/>
        <w:ind w:firstLine="540"/>
        <w:jc w:val="both"/>
      </w:pPr>
      <w:r>
        <w:rPr>
          <w:sz w:val="20"/>
        </w:rPr>
        <w:t xml:space="preserve">максимальная мощность ранее присоединенных энергопринимающих устройств _______ (кВт) </w:t>
      </w:r>
      <w:hyperlink w:history="0" w:anchor="P3629" w:tooltip="&lt;1&gt; Подлежит указанию, если энергопринимающее устройство (объект микрогенерации)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объектов микрогенерации).">
        <w:r>
          <w:rPr>
            <w:sz w:val="20"/>
            <w:color w:val="0000ff"/>
          </w:rPr>
          <w:t xml:space="preserve">&lt;1&gt;</w:t>
        </w:r>
      </w:hyperlink>
      <w:r>
        <w:rPr>
          <w:sz w:val="20"/>
        </w:rPr>
        <w:t xml:space="preserve">;</w:t>
      </w:r>
    </w:p>
    <w:p>
      <w:pPr>
        <w:pStyle w:val="0"/>
        <w:spacing w:before="200" w:line-rule="auto"/>
        <w:ind w:firstLine="540"/>
        <w:jc w:val="both"/>
      </w:pPr>
      <w:r>
        <w:rPr>
          <w:sz w:val="20"/>
        </w:rPr>
        <w:t xml:space="preserve">максимальная мощность присоединяемых объектов микрогенерации ______ (кВт);</w:t>
      </w:r>
    </w:p>
    <w:p>
      <w:pPr>
        <w:pStyle w:val="0"/>
        <w:spacing w:before="200" w:line-rule="auto"/>
        <w:ind w:firstLine="540"/>
        <w:jc w:val="both"/>
      </w:pPr>
      <w:r>
        <w:rPr>
          <w:sz w:val="20"/>
        </w:rPr>
        <w:t xml:space="preserve">максимальная мощность ранее присоединенных объектов микрогенерации _______ (кВт) </w:t>
      </w:r>
      <w:hyperlink w:history="0" w:anchor="P3629" w:tooltip="&lt;1&gt; Подлежит указанию, если энергопринимающее устройство (объект микрогенерации)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объектов микрогенерации).">
        <w:r>
          <w:rPr>
            <w:sz w:val="20"/>
            <w:color w:val="0000ff"/>
          </w:rPr>
          <w:t xml:space="preserve">&lt;1&gt;</w:t>
        </w:r>
      </w:hyperlink>
      <w:r>
        <w:rPr>
          <w:sz w:val="20"/>
        </w:rPr>
        <w:t xml:space="preserve">.</w:t>
      </w:r>
    </w:p>
    <w:p>
      <w:pPr>
        <w:pStyle w:val="0"/>
        <w:spacing w:before="200" w:line-rule="auto"/>
        <w:ind w:firstLine="540"/>
        <w:jc w:val="both"/>
      </w:pPr>
      <w:r>
        <w:rPr>
          <w:sz w:val="20"/>
        </w:rPr>
        <w:t xml:space="preserve">Заявитель обязуется оплатить расходы на технологическое присоединение в соответствии с условиями настоящего договора.</w:t>
      </w:r>
    </w:p>
    <w:p>
      <w:pPr>
        <w:pStyle w:val="1"/>
        <w:spacing w:before="200" w:line-rule="auto"/>
        <w:jc w:val="both"/>
      </w:pPr>
      <w:r>
        <w:rPr>
          <w:sz w:val="20"/>
        </w:rPr>
        <w:t xml:space="preserve">    2. Технологическое присоединение необходимо для электроснабжения 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объектов заявителя)</w:t>
      </w:r>
    </w:p>
    <w:p>
      <w:pPr>
        <w:pStyle w:val="1"/>
        <w:jc w:val="both"/>
      </w:pPr>
      <w:r>
        <w:rPr>
          <w:sz w:val="20"/>
        </w:rPr>
        <w:t xml:space="preserve">расположенных (которые будут располагаться) 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(место нахождения объектов заявителя)</w:t>
      </w:r>
    </w:p>
    <w:p>
      <w:pPr>
        <w:pStyle w:val="0"/>
        <w:ind w:firstLine="540"/>
        <w:jc w:val="both"/>
      </w:pPr>
      <w:r>
        <w:rPr>
          <w:sz w:val="20"/>
        </w:rP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 метров </w:t>
      </w:r>
      <w:hyperlink w:history="0" w:anchor="P3630" w:tooltip="&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
        <w:r>
          <w:rPr>
            <w:sz w:val="20"/>
            <w:color w:val="0000ff"/>
          </w:rPr>
          <w:t xml:space="preserve">&lt;2&gt;</w:t>
        </w:r>
      </w:hyperlink>
      <w:r>
        <w:rPr>
          <w:sz w:val="20"/>
        </w:rPr>
        <w:t xml:space="preserve"> от границы участка заявителя, на котором располагаются (будут располагаться) присоединяемые объекты заявителя.</w:t>
      </w:r>
    </w:p>
    <w:p>
      <w:pPr>
        <w:pStyle w:val="0"/>
        <w:spacing w:before="200" w:line-rule="auto"/>
        <w:ind w:firstLine="540"/>
        <w:jc w:val="both"/>
      </w:pPr>
      <w:r>
        <w:rPr>
          <w:sz w:val="20"/>
        </w:rPr>
        <w:t xml:space="preserve">4. Технические условия являются неотъемлемой частью настоящего договора и приведены в </w:t>
      </w:r>
      <w:hyperlink w:history="0" w:anchor="P3644" w:tooltip="                            ТЕХНИЧЕСКИЕ УСЛОВИЯ">
        <w:r>
          <w:rPr>
            <w:sz w:val="20"/>
            <w:color w:val="0000ff"/>
          </w:rPr>
          <w:t xml:space="preserve">приложении</w:t>
        </w:r>
      </w:hyperlink>
      <w:r>
        <w:rPr>
          <w:sz w:val="20"/>
        </w:rPr>
        <w:t xml:space="preserve">.</w:t>
      </w:r>
    </w:p>
    <w:p>
      <w:pPr>
        <w:pStyle w:val="0"/>
        <w:spacing w:before="200" w:line-rule="auto"/>
        <w:ind w:firstLine="540"/>
        <w:jc w:val="both"/>
      </w:pPr>
      <w:r>
        <w:rPr>
          <w:sz w:val="20"/>
        </w:rPr>
        <w:t xml:space="preserve">Срок действия технических условий составляет ______ год (года) </w:t>
      </w:r>
      <w:hyperlink w:history="0" w:anchor="P3631" w:tooltip="&lt;3&gt; Срок действия технических условий не может составлять менее 2 лет и более 5 лет.">
        <w:r>
          <w:rPr>
            <w:sz w:val="20"/>
            <w:color w:val="0000ff"/>
          </w:rPr>
          <w:t xml:space="preserve">&lt;3&gt;</w:t>
        </w:r>
      </w:hyperlink>
      <w:r>
        <w:rPr>
          <w:sz w:val="20"/>
        </w:rPr>
        <w:t xml:space="preserve"> со дня заключения настоящего договора.</w:t>
      </w:r>
    </w:p>
    <w:bookmarkStart w:id="3521" w:name="P3521"/>
    <w:bookmarkEnd w:id="3521"/>
    <w:p>
      <w:pPr>
        <w:pStyle w:val="0"/>
        <w:spacing w:before="200" w:line-rule="auto"/>
        <w:ind w:firstLine="540"/>
        <w:jc w:val="both"/>
      </w:pPr>
      <w:r>
        <w:rPr>
          <w:sz w:val="20"/>
        </w:rPr>
        <w:t xml:space="preserve">5. Срок выполнения мероприятий по технологическому присоединению составляет </w:t>
      </w:r>
      <w:hyperlink w:history="0" w:anchor="P3632" w:tooltip="&lt;4&gt; - &lt;5&gt; Сноски исключены.">
        <w:r>
          <w:rPr>
            <w:sz w:val="20"/>
            <w:color w:val="0000ff"/>
          </w:rPr>
          <w:t xml:space="preserve">&lt;4&gt;</w:t>
        </w:r>
      </w:hyperlink>
      <w:r>
        <w:rPr>
          <w:sz w:val="20"/>
        </w:rPr>
        <w:t xml:space="preserve"> ________ со дня заключения настоящего договора.</w:t>
      </w:r>
    </w:p>
    <w:p>
      <w:pPr>
        <w:pStyle w:val="0"/>
        <w:jc w:val="both"/>
      </w:pPr>
      <w:r>
        <w:rPr>
          <w:sz w:val="20"/>
        </w:rPr>
      </w:r>
    </w:p>
    <w:p>
      <w:pPr>
        <w:pStyle w:val="0"/>
        <w:outlineLvl w:val="2"/>
        <w:jc w:val="center"/>
      </w:pPr>
      <w:r>
        <w:rPr>
          <w:sz w:val="20"/>
        </w:rPr>
        <w:t xml:space="preserve">II. Обязанности сторон</w:t>
      </w:r>
    </w:p>
    <w:p>
      <w:pPr>
        <w:pStyle w:val="0"/>
        <w:jc w:val="both"/>
      </w:pPr>
      <w:r>
        <w:rPr>
          <w:sz w:val="20"/>
        </w:rPr>
      </w:r>
    </w:p>
    <w:p>
      <w:pPr>
        <w:pStyle w:val="0"/>
        <w:ind w:firstLine="540"/>
        <w:jc w:val="both"/>
      </w:pPr>
      <w:r>
        <w:rPr>
          <w:sz w:val="20"/>
        </w:rPr>
        <w:t xml:space="preserve">6. Сетевая организация обязуется:</w:t>
      </w:r>
    </w:p>
    <w:p>
      <w:pPr>
        <w:pStyle w:val="0"/>
        <w:spacing w:before="200" w:line-rule="auto"/>
        <w:ind w:firstLine="540"/>
        <w:jc w:val="both"/>
      </w:pPr>
      <w:r>
        <w:rPr>
          <w:sz w:val="20"/>
        </w:rP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bookmarkStart w:id="3527" w:name="P3527"/>
    <w:bookmarkEnd w:id="3527"/>
    <w:p>
      <w:pPr>
        <w:pStyle w:val="0"/>
        <w:spacing w:before="200" w:line-rule="auto"/>
        <w:ind w:firstLine="540"/>
        <w:jc w:val="both"/>
      </w:pPr>
      <w:r>
        <w:rPr>
          <w:sz w:val="20"/>
        </w:rPr>
        <w:t xml:space="preserve">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и (или) объектов микрогенерации заявителя;</w:t>
      </w:r>
    </w:p>
    <w:p>
      <w:pPr>
        <w:pStyle w:val="0"/>
        <w:spacing w:before="200" w:line-rule="auto"/>
        <w:ind w:firstLine="540"/>
        <w:jc w:val="both"/>
      </w:pPr>
      <w:r>
        <w:rPr>
          <w:sz w:val="20"/>
        </w:rPr>
        <w:t xml:space="preserve">не позднее _____ рабочих дней со дня проведения осмотра (обследования), указанного в </w:t>
      </w:r>
      <w:hyperlink w:history="0" w:anchor="P3527" w:tooltip="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и (или) объектов микрогенерации заявителя;">
        <w:r>
          <w:rPr>
            <w:sz w:val="20"/>
            <w:color w:val="0000ff"/>
          </w:rPr>
          <w:t xml:space="preserve">абзаце третьем</w:t>
        </w:r>
      </w:hyperlink>
      <w:r>
        <w:rPr>
          <w:sz w:val="20"/>
        </w:rPr>
        <w:t xml:space="preserve"> настоящего пункта, с соблюдением срока, установленного </w:t>
      </w:r>
      <w:hyperlink w:history="0" w:anchor="P3521" w:tooltip="5. Срок выполнения мероприятий по технологическому присоединению составляет &lt;4&gt; ________ со дня заключения настоящего договора.">
        <w:r>
          <w:rPr>
            <w:sz w:val="20"/>
            <w:color w:val="0000ff"/>
          </w:rPr>
          <w:t xml:space="preserve">пунктом 5</w:t>
        </w:r>
      </w:hyperlink>
      <w:r>
        <w:rPr>
          <w:sz w:val="20"/>
        </w:rPr>
        <w:t xml:space="preserve"> настоящего договора, осуществить фактическое присоединение энергопринимающих устройств и (или) объектов микрогенерации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pPr>
        <w:pStyle w:val="0"/>
        <w:spacing w:before="200" w:line-rule="auto"/>
        <w:ind w:firstLine="540"/>
        <w:jc w:val="both"/>
      </w:pPr>
      <w:r>
        <w:rPr>
          <w:sz w:val="20"/>
        </w:rPr>
        <w:t xml:space="preserve">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pPr>
        <w:pStyle w:val="0"/>
        <w:spacing w:before="200" w:line-rule="auto"/>
        <w:ind w:firstLine="540"/>
        <w:jc w:val="both"/>
      </w:pPr>
      <w:r>
        <w:rPr>
          <w:sz w:val="20"/>
        </w:rPr>
        <w:t xml:space="preserve">8. Заявитель обязуется:</w:t>
      </w:r>
    </w:p>
    <w:p>
      <w:pPr>
        <w:pStyle w:val="0"/>
        <w:spacing w:before="200" w:line-rule="auto"/>
        <w:ind w:firstLine="540"/>
        <w:jc w:val="both"/>
      </w:pPr>
      <w:r>
        <w:rPr>
          <w:sz w:val="20"/>
        </w:rP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pPr>
        <w:pStyle w:val="0"/>
        <w:spacing w:before="200" w:line-rule="auto"/>
        <w:ind w:firstLine="540"/>
        <w:jc w:val="both"/>
      </w:pPr>
      <w:r>
        <w:rPr>
          <w:sz w:val="20"/>
        </w:rPr>
        <w:t xml:space="preserve">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pPr>
        <w:pStyle w:val="0"/>
        <w:spacing w:before="200" w:line-rule="auto"/>
        <w:ind w:firstLine="540"/>
        <w:jc w:val="both"/>
      </w:pPr>
      <w:r>
        <w:rPr>
          <w:sz w:val="20"/>
        </w:rPr>
        <w:t xml:space="preserve">принять участие в осмотре (обследовании) присоединяемых энергопринимающих устройств и (или) объектов микрогенерации сетевой организацией;</w:t>
      </w:r>
    </w:p>
    <w:p>
      <w:pPr>
        <w:pStyle w:val="0"/>
        <w:spacing w:before="200" w:line-rule="auto"/>
        <w:ind w:firstLine="540"/>
        <w:jc w:val="both"/>
      </w:pPr>
      <w:r>
        <w:rPr>
          <w:sz w:val="20"/>
        </w:rPr>
        <w:t xml:space="preserve">после осуществления сетевой организацией фактического присоединения энергопринимающих устройств и (или) объектов микрогенерации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pPr>
        <w:pStyle w:val="0"/>
        <w:spacing w:before="200" w:line-rule="auto"/>
        <w:ind w:firstLine="540"/>
        <w:jc w:val="both"/>
      </w:pPr>
      <w:r>
        <w:rPr>
          <w:sz w:val="20"/>
        </w:rPr>
        <w:t xml:space="preserve">надлежащим образом исполнять указанные в </w:t>
      </w:r>
      <w:hyperlink w:history="0" w:anchor="P3538" w:tooltip="III. Плата за технологическое присоединение">
        <w:r>
          <w:rPr>
            <w:sz w:val="20"/>
            <w:color w:val="0000ff"/>
          </w:rPr>
          <w:t xml:space="preserve">разделе III</w:t>
        </w:r>
      </w:hyperlink>
      <w:r>
        <w:rPr>
          <w:sz w:val="20"/>
        </w:rPr>
        <w:t xml:space="preserve"> настоящего договора обязательства по оплате расходов на технологическое присоединение.</w:t>
      </w:r>
    </w:p>
    <w:p>
      <w:pPr>
        <w:pStyle w:val="0"/>
        <w:spacing w:before="200" w:line-rule="auto"/>
        <w:ind w:firstLine="540"/>
        <w:jc w:val="both"/>
      </w:pPr>
      <w:r>
        <w:rPr>
          <w:sz w:val="20"/>
        </w:rPr>
        <w:t xml:space="preserve">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pPr>
        <w:pStyle w:val="0"/>
        <w:jc w:val="both"/>
      </w:pPr>
      <w:r>
        <w:rPr>
          <w:sz w:val="20"/>
        </w:rPr>
      </w:r>
    </w:p>
    <w:bookmarkStart w:id="3538" w:name="P3538"/>
    <w:bookmarkEnd w:id="3538"/>
    <w:p>
      <w:pPr>
        <w:pStyle w:val="0"/>
        <w:outlineLvl w:val="2"/>
        <w:jc w:val="center"/>
      </w:pPr>
      <w:r>
        <w:rPr>
          <w:sz w:val="20"/>
        </w:rPr>
        <w:t xml:space="preserve">III. Плата за технологическое присоединение</w:t>
      </w:r>
    </w:p>
    <w:p>
      <w:pPr>
        <w:pStyle w:val="0"/>
        <w:jc w:val="center"/>
      </w:pPr>
      <w:r>
        <w:rPr>
          <w:sz w:val="20"/>
        </w:rPr>
        <w:t xml:space="preserve">и порядок расчетов</w:t>
      </w:r>
    </w:p>
    <w:p>
      <w:pPr>
        <w:pStyle w:val="0"/>
        <w:jc w:val="both"/>
      </w:pPr>
      <w:r>
        <w:rPr>
          <w:sz w:val="20"/>
        </w:rPr>
      </w:r>
    </w:p>
    <w:p>
      <w:pPr>
        <w:pStyle w:val="1"/>
        <w:jc w:val="both"/>
      </w:pPr>
      <w:r>
        <w:rPr>
          <w:sz w:val="20"/>
        </w:rPr>
        <w:t xml:space="preserve">    10.  Размер  платы  за технологическое присоединение определяется </w:t>
      </w:r>
      <w:hyperlink w:history="0" w:anchor="P3632" w:tooltip="&lt;4&gt; - &lt;5&gt; Сноски исключены.">
        <w:r>
          <w:rPr>
            <w:sz w:val="20"/>
            <w:color w:val="0000ff"/>
          </w:rPr>
          <w:t xml:space="preserve">&lt;5&gt;</w:t>
        </w:r>
      </w:hyperlink>
      <w:r>
        <w:rPr>
          <w:sz w:val="20"/>
        </w:rPr>
        <w:t xml:space="preserve"> в</w:t>
      </w:r>
    </w:p>
    <w:p>
      <w:pPr>
        <w:pStyle w:val="1"/>
        <w:jc w:val="both"/>
      </w:pPr>
      <w:r>
        <w:rPr>
          <w:sz w:val="20"/>
        </w:rPr>
        <w:t xml:space="preserve">соответствии с решением ___________________________________________________</w:t>
      </w:r>
    </w:p>
    <w:p>
      <w:pPr>
        <w:pStyle w:val="1"/>
        <w:jc w:val="both"/>
      </w:pPr>
      <w:r>
        <w:rPr>
          <w:sz w:val="20"/>
        </w:rPr>
        <w:t xml:space="preserve">                            (наименование органа исполнительной власти</w:t>
      </w:r>
    </w:p>
    <w:p>
      <w:pPr>
        <w:pStyle w:val="1"/>
        <w:jc w:val="both"/>
      </w:pPr>
      <w:r>
        <w:rPr>
          <w:sz w:val="20"/>
        </w:rPr>
        <w:t xml:space="preserve">                         в области государственного регулирования тарифов)</w:t>
      </w:r>
    </w:p>
    <w:p>
      <w:pPr>
        <w:pStyle w:val="1"/>
        <w:jc w:val="both"/>
      </w:pPr>
      <w:r>
        <w:rPr>
          <w:sz w:val="20"/>
        </w:rPr>
        <w:t xml:space="preserve">от _______ N ________ и составляет _________ рублей _____ копеек.</w:t>
      </w:r>
    </w:p>
    <w:p>
      <w:pPr>
        <w:pStyle w:val="1"/>
        <w:jc w:val="both"/>
      </w:pPr>
      <w:r>
        <w:rPr>
          <w:sz w:val="20"/>
        </w:rPr>
        <w:t xml:space="preserve">    11.  Внесение  платы  за  технологическое  присоединение осуществляется</w:t>
      </w:r>
    </w:p>
    <w:p>
      <w:pPr>
        <w:pStyle w:val="1"/>
        <w:jc w:val="both"/>
      </w:pPr>
      <w:r>
        <w:rPr>
          <w:sz w:val="20"/>
        </w:rPr>
        <w:t xml:space="preserve">заявителем в следующем порядке: 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(указываются порядок и сроки внесения платы за технологическое</w:t>
      </w:r>
    </w:p>
    <w:p>
      <w:pPr>
        <w:pStyle w:val="1"/>
        <w:jc w:val="both"/>
      </w:pPr>
      <w:r>
        <w:rPr>
          <w:sz w:val="20"/>
        </w:rPr>
        <w:t xml:space="preserve">                              присоединение)</w:t>
      </w:r>
    </w:p>
    <w:p>
      <w:pPr>
        <w:pStyle w:val="0"/>
        <w:ind w:firstLine="540"/>
        <w:jc w:val="both"/>
      </w:pPr>
      <w:r>
        <w:rPr>
          <w:sz w:val="20"/>
        </w:rPr>
        <w:t xml:space="preserve">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pPr>
        <w:pStyle w:val="0"/>
        <w:jc w:val="both"/>
      </w:pPr>
      <w:r>
        <w:rPr>
          <w:sz w:val="20"/>
        </w:rPr>
      </w:r>
    </w:p>
    <w:p>
      <w:pPr>
        <w:pStyle w:val="0"/>
        <w:outlineLvl w:val="2"/>
        <w:jc w:val="center"/>
      </w:pPr>
      <w:r>
        <w:rPr>
          <w:sz w:val="20"/>
        </w:rPr>
        <w:t xml:space="preserve">IV. Разграничение балансовой принадлежности электрических</w:t>
      </w:r>
    </w:p>
    <w:p>
      <w:pPr>
        <w:pStyle w:val="0"/>
        <w:jc w:val="center"/>
      </w:pPr>
      <w:r>
        <w:rPr>
          <w:sz w:val="20"/>
        </w:rPr>
        <w:t xml:space="preserve">сетей и эксплуатационной ответственности сторон</w:t>
      </w:r>
    </w:p>
    <w:p>
      <w:pPr>
        <w:pStyle w:val="0"/>
        <w:jc w:val="both"/>
      </w:pPr>
      <w:r>
        <w:rPr>
          <w:sz w:val="20"/>
        </w:rPr>
      </w:r>
    </w:p>
    <w:p>
      <w:pPr>
        <w:pStyle w:val="0"/>
        <w:ind w:firstLine="540"/>
        <w:jc w:val="both"/>
      </w:pPr>
      <w:r>
        <w:rPr>
          <w:sz w:val="20"/>
        </w:rP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history="0" w:anchor="P3633" w:tooltip="&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обращения заявителя в сетевую организацию.">
        <w:r>
          <w:rPr>
            <w:sz w:val="20"/>
            <w:color w:val="0000ff"/>
          </w:rPr>
          <w:t xml:space="preserve">&lt;6&gt;</w:t>
        </w:r>
      </w:hyperlink>
      <w:r>
        <w:rPr>
          <w:sz w:val="20"/>
        </w:rPr>
        <w:t xml:space="preserve">.</w:t>
      </w:r>
    </w:p>
    <w:p>
      <w:pPr>
        <w:pStyle w:val="0"/>
        <w:jc w:val="both"/>
      </w:pPr>
      <w:r>
        <w:rPr>
          <w:sz w:val="20"/>
        </w:rPr>
      </w:r>
    </w:p>
    <w:p>
      <w:pPr>
        <w:pStyle w:val="0"/>
        <w:outlineLvl w:val="2"/>
        <w:jc w:val="center"/>
      </w:pPr>
      <w:r>
        <w:rPr>
          <w:sz w:val="20"/>
        </w:rPr>
        <w:t xml:space="preserve">V. Условия изменения, расторжения договора</w:t>
      </w:r>
    </w:p>
    <w:p>
      <w:pPr>
        <w:pStyle w:val="0"/>
        <w:jc w:val="center"/>
      </w:pPr>
      <w:r>
        <w:rPr>
          <w:sz w:val="20"/>
        </w:rPr>
        <w:t xml:space="preserve">и ответственности сторон</w:t>
      </w:r>
    </w:p>
    <w:p>
      <w:pPr>
        <w:pStyle w:val="0"/>
        <w:jc w:val="both"/>
      </w:pPr>
      <w:r>
        <w:rPr>
          <w:sz w:val="20"/>
        </w:rPr>
      </w:r>
    </w:p>
    <w:p>
      <w:pPr>
        <w:pStyle w:val="0"/>
        <w:ind w:firstLine="540"/>
        <w:jc w:val="both"/>
      </w:pPr>
      <w:r>
        <w:rPr>
          <w:sz w:val="20"/>
        </w:rPr>
        <w:t xml:space="preserve">14. Настоящий договор может быть изменен по письменному соглашению сторон или в судебном порядке.</w:t>
      </w:r>
    </w:p>
    <w:p>
      <w:pPr>
        <w:pStyle w:val="0"/>
        <w:spacing w:before="200" w:line-rule="auto"/>
        <w:ind w:firstLine="540"/>
        <w:jc w:val="both"/>
      </w:pPr>
      <w:r>
        <w:rPr>
          <w:sz w:val="20"/>
        </w:rPr>
        <w:t xml:space="preserve">15. Договор может быть расторгнут по требованию одной из сторон по основаниям, предусмотренным Гражданским </w:t>
      </w:r>
      <w:hyperlink w:history="0" r:id="rId1116" w:tooltip="&quot;Гражданский кодекс Российской Федерации (часть первая)&quot; от 30.11.1994 N 51-ФЗ (ред. от 25.02.2022)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pPr>
        <w:pStyle w:val="0"/>
        <w:spacing w:before="200" w:line-rule="auto"/>
        <w:ind w:firstLine="540"/>
        <w:jc w:val="both"/>
      </w:pPr>
      <w:r>
        <w:rPr>
          <w:sz w:val="20"/>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технологическому присоединению, срок осуществления которых по договору наступает ранее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bookmarkStart w:id="3565" w:name="P3565"/>
    <w:bookmarkEnd w:id="3565"/>
    <w:p>
      <w:pPr>
        <w:pStyle w:val="0"/>
        <w:spacing w:before="200" w:line-rule="auto"/>
        <w:ind w:firstLine="540"/>
        <w:jc w:val="both"/>
      </w:pPr>
      <w:r>
        <w:rPr>
          <w:sz w:val="20"/>
        </w:rPr>
        <w:t xml:space="preserve">17. Абзац утратил силу.</w:t>
      </w:r>
    </w:p>
    <w:bookmarkStart w:id="3566" w:name="P3566"/>
    <w:bookmarkEnd w:id="3566"/>
    <w:p>
      <w:pPr>
        <w:pStyle w:val="0"/>
        <w:spacing w:before="200" w:line-rule="auto"/>
        <w:ind w:firstLine="540"/>
        <w:jc w:val="both"/>
      </w:pPr>
      <w:r>
        <w:rPr>
          <w:sz w:val="20"/>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pPr>
        <w:pStyle w:val="0"/>
        <w:spacing w:before="200" w:line-rule="auto"/>
        <w:ind w:firstLine="540"/>
        <w:jc w:val="both"/>
      </w:pPr>
      <w:r>
        <w:rPr>
          <w:sz w:val="20"/>
        </w:rPr>
        <w:t xml:space="preserve">Сторона договора, нарушившая срок осуществления мероприятий по технологическому присоединению, предусмотренный настоящим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history="0" w:anchor="P3565" w:tooltip="17. Абзац утратил силу.">
        <w:r>
          <w:rPr>
            <w:sz w:val="20"/>
            <w:color w:val="0000ff"/>
          </w:rPr>
          <w:t xml:space="preserve">абзацем первым</w:t>
        </w:r>
      </w:hyperlink>
      <w:r>
        <w:rPr>
          <w:sz w:val="20"/>
        </w:rPr>
        <w:t xml:space="preserve"> или </w:t>
      </w:r>
      <w:hyperlink w:history="0" w:anchor="P3566" w:tooltip="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
        <w:r>
          <w:rPr>
            <w:sz w:val="20"/>
            <w:color w:val="0000ff"/>
          </w:rPr>
          <w:t xml:space="preserve">вторым</w:t>
        </w:r>
      </w:hyperlink>
      <w:r>
        <w:rPr>
          <w:sz w:val="20"/>
        </w:rPr>
        <w:t xml:space="preserve"> настоящего пункта, в случае необоснованного уклонения либо отказа от ее уплаты.</w:t>
      </w:r>
    </w:p>
    <w:p>
      <w:pPr>
        <w:pStyle w:val="0"/>
        <w:spacing w:before="200" w:line-rule="auto"/>
        <w:ind w:firstLine="540"/>
        <w:jc w:val="both"/>
      </w:pPr>
      <w:r>
        <w:rPr>
          <w:sz w:val="20"/>
        </w:rPr>
        <w:t xml:space="preserve">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pPr>
        <w:pStyle w:val="0"/>
        <w:jc w:val="both"/>
      </w:pPr>
      <w:r>
        <w:rPr>
          <w:sz w:val="20"/>
        </w:rPr>
      </w:r>
    </w:p>
    <w:p>
      <w:pPr>
        <w:pStyle w:val="0"/>
        <w:outlineLvl w:val="2"/>
        <w:jc w:val="center"/>
      </w:pPr>
      <w:r>
        <w:rPr>
          <w:sz w:val="20"/>
        </w:rPr>
        <w:t xml:space="preserve">VI. Порядок разрешения споров</w:t>
      </w:r>
    </w:p>
    <w:p>
      <w:pPr>
        <w:pStyle w:val="0"/>
        <w:jc w:val="both"/>
      </w:pPr>
      <w:r>
        <w:rPr>
          <w:sz w:val="20"/>
        </w:rPr>
      </w:r>
    </w:p>
    <w:p>
      <w:pPr>
        <w:pStyle w:val="0"/>
        <w:ind w:firstLine="540"/>
        <w:jc w:val="both"/>
      </w:pPr>
      <w:r>
        <w:rPr>
          <w:sz w:val="20"/>
        </w:rPr>
        <w:t xml:space="preserve">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pPr>
        <w:pStyle w:val="0"/>
        <w:jc w:val="both"/>
      </w:pPr>
      <w:r>
        <w:rPr>
          <w:sz w:val="20"/>
        </w:rPr>
      </w:r>
    </w:p>
    <w:p>
      <w:pPr>
        <w:pStyle w:val="0"/>
        <w:outlineLvl w:val="2"/>
        <w:jc w:val="center"/>
      </w:pPr>
      <w:r>
        <w:rPr>
          <w:sz w:val="20"/>
        </w:rPr>
        <w:t xml:space="preserve">VII. Заключительные положения</w:t>
      </w:r>
    </w:p>
    <w:p>
      <w:pPr>
        <w:pStyle w:val="0"/>
        <w:jc w:val="both"/>
      </w:pPr>
      <w:r>
        <w:rPr>
          <w:sz w:val="20"/>
        </w:rPr>
      </w:r>
    </w:p>
    <w:p>
      <w:pPr>
        <w:pStyle w:val="0"/>
        <w:ind w:firstLine="540"/>
        <w:jc w:val="both"/>
      </w:pPr>
      <w:r>
        <w:rPr>
          <w:sz w:val="20"/>
        </w:rPr>
        <w:t xml:space="preserve">21. Настоящий договор считается заключенным с даты поступления подписанного заявителем экземпляра настоящего договора в сетевую организацию.</w:t>
      </w:r>
    </w:p>
    <w:p>
      <w:pPr>
        <w:pStyle w:val="0"/>
        <w:spacing w:before="200" w:line-rule="auto"/>
        <w:ind w:firstLine="540"/>
        <w:jc w:val="both"/>
      </w:pPr>
      <w:r>
        <w:rPr>
          <w:sz w:val="20"/>
        </w:rPr>
        <w:t xml:space="preserve">22. Настоящий договор составлен и подписан в 2 экземплярах, по одному для каждой из сторон.</w:t>
      </w:r>
    </w:p>
    <w:p>
      <w:pPr>
        <w:pStyle w:val="0"/>
        <w:jc w:val="both"/>
      </w:pPr>
      <w:r>
        <w:rPr>
          <w:sz w:val="20"/>
        </w:rPr>
      </w:r>
    </w:p>
    <w:p>
      <w:pPr>
        <w:pStyle w:val="0"/>
        <w:outlineLvl w:val="2"/>
        <w:jc w:val="center"/>
      </w:pPr>
      <w:r>
        <w:rPr>
          <w:sz w:val="20"/>
        </w:rPr>
        <w:t xml:space="preserve">Реквизиты Сторон</w:t>
      </w:r>
    </w:p>
    <w:p>
      <w:pPr>
        <w:pStyle w:val="0"/>
        <w:jc w:val="both"/>
      </w:pPr>
      <w:r>
        <w:rPr>
          <w:sz w:val="20"/>
        </w:rPr>
      </w:r>
    </w:p>
    <w:tbl>
      <w:tblPr>
        <w:tblInd w:w="0" w:type="dxa"/>
        <w:tblLayout w:type="fixed"/>
        <w:tblCellMar>
          <w:top w:w="102" w:type="dxa"/>
          <w:left w:w="62" w:type="dxa"/>
          <w:bottom w:w="102" w:type="dxa"/>
          <w:right w:w="62" w:type="dxa"/>
        </w:tblCellMar>
      </w:tblPr>
      <w:tblGrid>
        <w:gridCol w:w="4397"/>
        <w:gridCol w:w="340"/>
        <w:gridCol w:w="4315"/>
      </w:tblGrid>
      <w:tr>
        <w:tc>
          <w:tcPr>
            <w:tcW w:w="4397" w:type="dxa"/>
            <w:tcBorders>
              <w:top w:val="nil"/>
              <w:left w:val="nil"/>
              <w:bottom w:val="nil"/>
              <w:right w:val="nil"/>
            </w:tcBorders>
          </w:tcPr>
          <w:p>
            <w:pPr>
              <w:pStyle w:val="0"/>
              <w:jc w:val="center"/>
            </w:pPr>
            <w:r>
              <w:rPr>
                <w:sz w:val="20"/>
              </w:rPr>
              <w:t xml:space="preserve">Сетевая организация</w:t>
            </w:r>
          </w:p>
        </w:tc>
        <w:tc>
          <w:tcPr>
            <w:tcW w:w="340" w:type="dxa"/>
            <w:tcBorders>
              <w:top w:val="nil"/>
              <w:left w:val="nil"/>
              <w:bottom w:val="nil"/>
              <w:right w:val="nil"/>
            </w:tcBorders>
          </w:tcPr>
          <w:p>
            <w:pPr>
              <w:pStyle w:val="0"/>
            </w:pPr>
            <w:r>
              <w:rPr>
                <w:sz w:val="20"/>
              </w:rPr>
            </w:r>
          </w:p>
        </w:tc>
        <w:tc>
          <w:tcPr>
            <w:tcW w:w="4315" w:type="dxa"/>
            <w:tcBorders>
              <w:top w:val="nil"/>
              <w:left w:val="nil"/>
              <w:bottom w:val="nil"/>
              <w:right w:val="nil"/>
            </w:tcBorders>
          </w:tcPr>
          <w:p>
            <w:pPr>
              <w:pStyle w:val="0"/>
              <w:jc w:val="center"/>
            </w:pPr>
            <w:r>
              <w:rPr>
                <w:sz w:val="20"/>
              </w:rPr>
              <w:t xml:space="preserve">Заявитель</w:t>
            </w:r>
          </w:p>
        </w:tc>
      </w:tr>
      <w:tr>
        <w:tc>
          <w:tcPr>
            <w:tcW w:w="4397"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4315" w:type="dxa"/>
            <w:tcBorders>
              <w:top w:val="nil"/>
              <w:left w:val="nil"/>
              <w:bottom w:val="single" w:sz="4"/>
              <w:right w:val="nil"/>
            </w:tcBorders>
          </w:tcPr>
          <w:p>
            <w:pPr>
              <w:pStyle w:val="0"/>
            </w:pPr>
            <w:r>
              <w:rPr>
                <w:sz w:val="20"/>
              </w:rPr>
            </w:r>
          </w:p>
        </w:tc>
      </w:tr>
      <w:tr>
        <w:tc>
          <w:tcPr>
            <w:tcW w:w="4397" w:type="dxa"/>
            <w:tcBorders>
              <w:top w:val="single" w:sz="4"/>
              <w:left w:val="nil"/>
              <w:bottom w:val="nil"/>
              <w:right w:val="nil"/>
            </w:tcBorders>
          </w:tcPr>
          <w:p>
            <w:pPr>
              <w:pStyle w:val="0"/>
              <w:jc w:val="center"/>
            </w:pPr>
            <w:r>
              <w:rPr>
                <w:sz w:val="20"/>
              </w:rPr>
              <w:t xml:space="preserve">(наименование сетевой организации)</w:t>
            </w:r>
          </w:p>
        </w:tc>
        <w:tc>
          <w:tcPr>
            <w:tcW w:w="340" w:type="dxa"/>
            <w:tcBorders>
              <w:top w:val="nil"/>
              <w:left w:val="nil"/>
              <w:bottom w:val="nil"/>
              <w:right w:val="nil"/>
            </w:tcBorders>
          </w:tcPr>
          <w:p>
            <w:pPr>
              <w:pStyle w:val="0"/>
            </w:pPr>
            <w:r>
              <w:rPr>
                <w:sz w:val="20"/>
              </w:rPr>
            </w:r>
          </w:p>
        </w:tc>
        <w:tc>
          <w:tcPr>
            <w:tcW w:w="4315" w:type="dxa"/>
            <w:tcBorders>
              <w:top w:val="single" w:sz="4"/>
              <w:left w:val="nil"/>
              <w:bottom w:val="nil"/>
              <w:right w:val="nil"/>
            </w:tcBorders>
          </w:tcPr>
          <w:p>
            <w:pPr>
              <w:pStyle w:val="0"/>
              <w:jc w:val="center"/>
            </w:pPr>
            <w:r>
              <w:rPr>
                <w:sz w:val="20"/>
              </w:rPr>
              <w:t xml:space="preserve">(фамилия, имя, отчество)</w:t>
            </w:r>
          </w:p>
        </w:tc>
      </w:tr>
      <w:tr>
        <w:tc>
          <w:tcPr>
            <w:tcW w:w="4397"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4315" w:type="dxa"/>
            <w:tcBorders>
              <w:top w:val="nil"/>
              <w:left w:val="nil"/>
              <w:bottom w:val="single" w:sz="4"/>
              <w:right w:val="nil"/>
            </w:tcBorders>
          </w:tcPr>
          <w:p>
            <w:pPr>
              <w:pStyle w:val="0"/>
            </w:pPr>
            <w:r>
              <w:rPr>
                <w:sz w:val="20"/>
              </w:rPr>
            </w:r>
          </w:p>
        </w:tc>
      </w:tr>
      <w:tr>
        <w:tc>
          <w:tcPr>
            <w:tcW w:w="4397" w:type="dxa"/>
            <w:tcBorders>
              <w:top w:val="single" w:sz="4"/>
              <w:left w:val="nil"/>
              <w:bottom w:val="nil"/>
              <w:right w:val="nil"/>
            </w:tcBorders>
          </w:tcPr>
          <w:p>
            <w:pPr>
              <w:pStyle w:val="0"/>
              <w:jc w:val="center"/>
            </w:pPr>
            <w:r>
              <w:rPr>
                <w:sz w:val="20"/>
              </w:rPr>
              <w:t xml:space="preserve">(место нахождения)</w:t>
            </w:r>
          </w:p>
          <w:p>
            <w:pPr>
              <w:pStyle w:val="0"/>
            </w:pPr>
            <w:r>
              <w:rPr>
                <w:sz w:val="20"/>
              </w:rPr>
              <w:t xml:space="preserve">ИНН/КПП _________________________</w:t>
            </w:r>
          </w:p>
        </w:tc>
        <w:tc>
          <w:tcPr>
            <w:tcW w:w="340" w:type="dxa"/>
            <w:tcBorders>
              <w:top w:val="nil"/>
              <w:left w:val="nil"/>
              <w:bottom w:val="nil"/>
              <w:right w:val="nil"/>
            </w:tcBorders>
          </w:tcPr>
          <w:p>
            <w:pPr>
              <w:pStyle w:val="0"/>
            </w:pPr>
            <w:r>
              <w:rPr>
                <w:sz w:val="20"/>
              </w:rPr>
            </w:r>
          </w:p>
        </w:tc>
        <w:tc>
          <w:tcPr>
            <w:tcW w:w="4315" w:type="dxa"/>
            <w:tcBorders>
              <w:top w:val="single" w:sz="4"/>
              <w:left w:val="nil"/>
              <w:bottom w:val="nil"/>
              <w:right w:val="nil"/>
            </w:tcBorders>
            <w:vMerge w:val="restart"/>
          </w:tcPr>
          <w:p>
            <w:pPr>
              <w:pStyle w:val="0"/>
              <w:jc w:val="center"/>
            </w:pPr>
            <w:r>
              <w:rPr>
                <w:sz w:val="20"/>
              </w:rPr>
              <w:t xml:space="preserve">(серия, номер, дата и место выдачи паспорта или иного документа, удостоверяющего личность в соответствии с законодательством Российской Федерации)</w:t>
            </w:r>
          </w:p>
        </w:tc>
      </w:tr>
      <w:tr>
        <w:tc>
          <w:tcPr>
            <w:tcW w:w="4397"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Borders>
              <w:top w:val="single" w:sz="4"/>
              <w:left w:val="nil"/>
              <w:bottom w:val="nil"/>
              <w:right w:val="nil"/>
            </w:tcBorders>
            <w:vMerge w:val="continue"/>
          </w:tcPr>
          <w:p/>
        </w:tc>
      </w:tr>
      <w:tr>
        <w:tc>
          <w:tcPr>
            <w:tcW w:w="4397" w:type="dxa"/>
            <w:tcBorders>
              <w:top w:val="single" w:sz="4"/>
              <w:left w:val="nil"/>
              <w:bottom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Borders>
              <w:top w:val="single" w:sz="4"/>
              <w:left w:val="nil"/>
              <w:bottom w:val="nil"/>
              <w:right w:val="nil"/>
            </w:tcBorders>
            <w:vMerge w:val="continue"/>
          </w:tcPr>
          <w:p/>
        </w:tc>
      </w:tr>
      <w:tr>
        <w:tc>
          <w:tcPr>
            <w:tcW w:w="4397" w:type="dxa"/>
            <w:tcBorders>
              <w:top w:val="nil"/>
              <w:left w:val="nil"/>
              <w:bottom w:val="nil"/>
              <w:right w:val="nil"/>
            </w:tcBorders>
          </w:tcPr>
          <w:p>
            <w:pPr>
              <w:pStyle w:val="0"/>
            </w:pPr>
            <w:r>
              <w:rPr>
                <w:sz w:val="20"/>
              </w:rPr>
              <w:t xml:space="preserve">р/с ________________________________</w:t>
            </w:r>
          </w:p>
        </w:tc>
        <w:tc>
          <w:tcPr>
            <w:tcW w:w="340" w:type="dxa"/>
            <w:tcBorders>
              <w:top w:val="nil"/>
              <w:left w:val="nil"/>
              <w:bottom w:val="nil"/>
              <w:right w:val="nil"/>
            </w:tcBorders>
            <w:vMerge w:val="restart"/>
          </w:tcPr>
          <w:p>
            <w:pPr>
              <w:pStyle w:val="0"/>
            </w:pPr>
            <w:r>
              <w:rPr>
                <w:sz w:val="20"/>
              </w:rPr>
            </w:r>
          </w:p>
        </w:tc>
        <w:tc>
          <w:tcPr>
            <w:tcW w:w="4315" w:type="dxa"/>
            <w:tcBorders>
              <w:top w:val="nil"/>
              <w:left w:val="nil"/>
              <w:bottom w:val="nil"/>
              <w:right w:val="nil"/>
            </w:tcBorders>
          </w:tcPr>
          <w:p>
            <w:pPr>
              <w:pStyle w:val="0"/>
            </w:pPr>
            <w:r>
              <w:rPr>
                <w:sz w:val="20"/>
              </w:rPr>
              <w:t xml:space="preserve">ИНН (при наличии)</w:t>
            </w:r>
          </w:p>
        </w:tc>
      </w:tr>
      <w:tr>
        <w:tc>
          <w:tcPr>
            <w:tcW w:w="4397" w:type="dxa"/>
            <w:tcBorders>
              <w:top w:val="nil"/>
              <w:left w:val="nil"/>
              <w:bottom w:val="nil"/>
              <w:right w:val="nil"/>
            </w:tcBorders>
          </w:tcPr>
          <w:p>
            <w:pPr>
              <w:pStyle w:val="0"/>
            </w:pPr>
            <w:r>
              <w:rPr>
                <w:sz w:val="20"/>
              </w:rPr>
              <w:t xml:space="preserve">к/с ________________________________</w:t>
            </w:r>
          </w:p>
        </w:tc>
        <w:tc>
          <w:tcPr>
            <w:tcBorders>
              <w:top w:val="nil"/>
              <w:left w:val="nil"/>
              <w:bottom w:val="nil"/>
              <w:right w:val="nil"/>
            </w:tcBorders>
            <w:vMerge w:val="continue"/>
          </w:tcPr>
          <w:p/>
        </w:tc>
        <w:tc>
          <w:tcPr>
            <w:tcW w:w="4315" w:type="dxa"/>
            <w:tcBorders>
              <w:top w:val="nil"/>
              <w:left w:val="nil"/>
              <w:bottom w:val="single" w:sz="4"/>
              <w:right w:val="nil"/>
            </w:tcBorders>
          </w:tcPr>
          <w:p>
            <w:pPr>
              <w:pStyle w:val="0"/>
            </w:pPr>
            <w:r>
              <w:rPr>
                <w:sz w:val="20"/>
              </w:rPr>
            </w:r>
          </w:p>
        </w:tc>
      </w:tr>
      <w:tr>
        <w:tc>
          <w:tcPr>
            <w:tcW w:w="4397"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4315" w:type="dxa"/>
            <w:tcBorders>
              <w:top w:val="single" w:sz="4"/>
              <w:left w:val="nil"/>
              <w:bottom w:val="nil"/>
              <w:right w:val="nil"/>
            </w:tcBorders>
          </w:tcPr>
          <w:p>
            <w:pPr>
              <w:pStyle w:val="0"/>
            </w:pPr>
            <w:r>
              <w:rPr>
                <w:sz w:val="20"/>
              </w:rPr>
              <w:t xml:space="preserve">Место жительства __________________</w:t>
            </w:r>
          </w:p>
        </w:tc>
      </w:tr>
      <w:tr>
        <w:tc>
          <w:tcPr>
            <w:tcW w:w="4397" w:type="dxa"/>
            <w:tcBorders>
              <w:top w:val="single" w:sz="4"/>
              <w:left w:val="nil"/>
              <w:bottom w:val="single" w:sz="4"/>
              <w:right w:val="nil"/>
            </w:tcBorders>
            <w:vMerge w:val="restart"/>
          </w:tcPr>
          <w:p>
            <w:pPr>
              <w:pStyle w:val="0"/>
              <w:jc w:val="center"/>
            </w:pPr>
            <w:r>
              <w:rPr>
                <w:sz w:val="20"/>
              </w:rPr>
              <w:t xml:space="preserve">(должность, фамилия, имя, отчество лица,</w:t>
            </w:r>
          </w:p>
        </w:tc>
        <w:tc>
          <w:tcPr>
            <w:tcW w:w="340" w:type="dxa"/>
            <w:tcBorders>
              <w:top w:val="nil"/>
              <w:left w:val="nil"/>
              <w:bottom w:val="nil"/>
              <w:right w:val="nil"/>
            </w:tcBorders>
          </w:tcPr>
          <w:p>
            <w:pPr>
              <w:pStyle w:val="0"/>
            </w:pPr>
            <w:r>
              <w:rPr>
                <w:sz w:val="20"/>
              </w:rPr>
            </w:r>
          </w:p>
        </w:tc>
        <w:tc>
          <w:tcPr>
            <w:tcW w:w="4315" w:type="dxa"/>
            <w:tcBorders>
              <w:top w:val="nil"/>
              <w:left w:val="nil"/>
              <w:bottom w:val="single" w:sz="4"/>
              <w:right w:val="nil"/>
            </w:tcBorders>
          </w:tcPr>
          <w:p>
            <w:pPr>
              <w:pStyle w:val="0"/>
            </w:pPr>
            <w:r>
              <w:rPr>
                <w:sz w:val="20"/>
              </w:rPr>
            </w:r>
          </w:p>
        </w:tc>
      </w:tr>
      <w:tr>
        <w:tblPrEx>
          <w:tblBorders>
            <w:insideH w:val="single" w:sz="4"/>
          </w:tblBorders>
        </w:tblPrEx>
        <w:tc>
          <w:tcPr>
            <w:tcBorders>
              <w:top w:val="single" w:sz="4"/>
              <w:left w:val="nil"/>
              <w:bottom w:val="single" w:sz="4"/>
              <w:right w:val="nil"/>
            </w:tcBorders>
            <w:vMerge w:val="continue"/>
          </w:tcPr>
          <w:p/>
        </w:tc>
        <w:tc>
          <w:tcPr>
            <w:tcW w:w="340" w:type="dxa"/>
            <w:tcBorders>
              <w:top w:val="nil"/>
              <w:left w:val="nil"/>
              <w:bottom w:val="nil"/>
              <w:right w:val="nil"/>
            </w:tcBorders>
          </w:tcPr>
          <w:p>
            <w:pPr>
              <w:pStyle w:val="0"/>
            </w:pPr>
            <w:r>
              <w:rPr>
                <w:sz w:val="20"/>
              </w:rPr>
            </w:r>
          </w:p>
        </w:tc>
        <w:tc>
          <w:tcPr>
            <w:tcW w:w="4315" w:type="dxa"/>
            <w:tcBorders>
              <w:top w:val="single" w:sz="4"/>
              <w:left w:val="nil"/>
              <w:bottom w:val="single" w:sz="4"/>
              <w:right w:val="nil"/>
            </w:tcBorders>
          </w:tcPr>
          <w:p>
            <w:pPr>
              <w:pStyle w:val="0"/>
            </w:pPr>
            <w:r>
              <w:rPr>
                <w:sz w:val="20"/>
              </w:rPr>
            </w:r>
          </w:p>
        </w:tc>
      </w:tr>
      <w:tr>
        <w:tc>
          <w:tcPr>
            <w:tcW w:w="4397" w:type="dxa"/>
            <w:tcBorders>
              <w:top w:val="single" w:sz="4"/>
              <w:left w:val="nil"/>
              <w:bottom w:val="nil"/>
              <w:right w:val="nil"/>
            </w:tcBorders>
          </w:tcPr>
          <w:p>
            <w:pPr>
              <w:pStyle w:val="0"/>
              <w:jc w:val="center"/>
            </w:pPr>
            <w:r>
              <w:rPr>
                <w:sz w:val="20"/>
              </w:rPr>
              <w:t xml:space="preserve">действующего от имени сетевой организации)</w:t>
            </w:r>
          </w:p>
        </w:tc>
        <w:tc>
          <w:tcPr>
            <w:tcW w:w="340" w:type="dxa"/>
            <w:tcBorders>
              <w:top w:val="nil"/>
              <w:left w:val="nil"/>
              <w:bottom w:val="nil"/>
              <w:right w:val="nil"/>
            </w:tcBorders>
          </w:tcPr>
          <w:p>
            <w:pPr>
              <w:pStyle w:val="0"/>
            </w:pPr>
            <w:r>
              <w:rPr>
                <w:sz w:val="20"/>
              </w:rPr>
            </w:r>
          </w:p>
        </w:tc>
        <w:tc>
          <w:tcPr>
            <w:tcW w:w="4315" w:type="dxa"/>
            <w:tcBorders>
              <w:top w:val="single" w:sz="4"/>
              <w:left w:val="nil"/>
              <w:bottom w:val="nil"/>
              <w:right w:val="nil"/>
            </w:tcBorders>
          </w:tcPr>
          <w:p>
            <w:pPr>
              <w:pStyle w:val="0"/>
            </w:pPr>
            <w:r>
              <w:rPr>
                <w:sz w:val="20"/>
              </w:rPr>
            </w:r>
          </w:p>
        </w:tc>
      </w:tr>
      <w:tr>
        <w:tc>
          <w:tcPr>
            <w:tcW w:w="4397"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4315" w:type="dxa"/>
            <w:tcBorders>
              <w:top w:val="nil"/>
              <w:left w:val="nil"/>
              <w:bottom w:val="single" w:sz="4"/>
              <w:right w:val="nil"/>
            </w:tcBorders>
          </w:tcPr>
          <w:p>
            <w:pPr>
              <w:pStyle w:val="0"/>
            </w:pPr>
            <w:r>
              <w:rPr>
                <w:sz w:val="20"/>
              </w:rPr>
            </w:r>
          </w:p>
        </w:tc>
      </w:tr>
      <w:tr>
        <w:tc>
          <w:tcPr>
            <w:tcW w:w="4397"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4315" w:type="dxa"/>
            <w:tcBorders>
              <w:top w:val="single" w:sz="4"/>
              <w:left w:val="nil"/>
              <w:bottom w:val="nil"/>
              <w:right w:val="nil"/>
            </w:tcBorders>
          </w:tcPr>
          <w:p>
            <w:pPr>
              <w:pStyle w:val="0"/>
              <w:jc w:val="center"/>
            </w:pPr>
            <w:r>
              <w:rPr>
                <w:sz w:val="20"/>
              </w:rPr>
              <w:t xml:space="preserve">(подпись)</w:t>
            </w:r>
          </w:p>
        </w:tc>
      </w:tr>
      <w:tr>
        <w:tc>
          <w:tcPr>
            <w:tcW w:w="4397" w:type="dxa"/>
            <w:tcBorders>
              <w:top w:val="nil"/>
              <w:left w:val="nil"/>
              <w:bottom w:val="nil"/>
              <w:right w:val="nil"/>
            </w:tcBorders>
          </w:tcPr>
          <w:p>
            <w:pPr>
              <w:pStyle w:val="0"/>
            </w:pPr>
            <w:r>
              <w:rPr>
                <w:sz w:val="20"/>
              </w:rPr>
              <w:t xml:space="preserve">М.П.</w:t>
            </w:r>
          </w:p>
        </w:tc>
        <w:tc>
          <w:tcPr>
            <w:tcW w:w="340" w:type="dxa"/>
            <w:tcBorders>
              <w:top w:val="nil"/>
              <w:left w:val="nil"/>
              <w:bottom w:val="nil"/>
              <w:right w:val="nil"/>
            </w:tcBorders>
          </w:tcPr>
          <w:p>
            <w:pPr>
              <w:pStyle w:val="0"/>
            </w:pPr>
            <w:r>
              <w:rPr>
                <w:sz w:val="20"/>
              </w:rPr>
            </w:r>
          </w:p>
        </w:tc>
        <w:tc>
          <w:tcPr>
            <w:tcW w:w="4315" w:type="dxa"/>
            <w:tcBorders>
              <w:top w:val="nil"/>
              <w:left w:val="nil"/>
              <w:bottom w:val="nil"/>
              <w:right w:val="nil"/>
            </w:tcBorders>
          </w:tcPr>
          <w:p>
            <w:pPr>
              <w:pStyle w:val="0"/>
            </w:pPr>
            <w:r>
              <w:rPr>
                <w:sz w:val="20"/>
              </w:rPr>
            </w:r>
          </w:p>
        </w:tc>
      </w:tr>
    </w:tbl>
    <w:p>
      <w:pPr>
        <w:pStyle w:val="0"/>
        <w:jc w:val="both"/>
      </w:pPr>
      <w:r>
        <w:rPr>
          <w:sz w:val="20"/>
        </w:rPr>
      </w:r>
    </w:p>
    <w:p>
      <w:pPr>
        <w:pStyle w:val="0"/>
        <w:ind w:firstLine="540"/>
        <w:jc w:val="both"/>
      </w:pPr>
      <w:r>
        <w:rPr>
          <w:sz w:val="20"/>
        </w:rPr>
        <w:t xml:space="preserve">--------------------------------</w:t>
      </w:r>
    </w:p>
    <w:bookmarkStart w:id="3629" w:name="P3629"/>
    <w:bookmarkEnd w:id="3629"/>
    <w:p>
      <w:pPr>
        <w:pStyle w:val="0"/>
        <w:spacing w:before="200" w:line-rule="auto"/>
        <w:ind w:firstLine="540"/>
        <w:jc w:val="both"/>
      </w:pPr>
      <w:r>
        <w:rPr>
          <w:sz w:val="20"/>
        </w:rPr>
        <w:t xml:space="preserve">&lt;1&gt; Подлежит указанию, если энергопринимающее устройство (объект микрогенерации)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(объектов микрогенерации).</w:t>
      </w:r>
    </w:p>
    <w:bookmarkStart w:id="3630" w:name="P3630"/>
    <w:bookmarkEnd w:id="3630"/>
    <w:p>
      <w:pPr>
        <w:pStyle w:val="0"/>
        <w:spacing w:before="200" w:line-rule="auto"/>
        <w:ind w:firstLine="540"/>
        <w:jc w:val="both"/>
      </w:pPr>
      <w:r>
        <w:rPr>
          <w:sz w:val="20"/>
        </w:rPr>
        <w:t xml:space="preserve">&lt;2&gt;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p>
    <w:bookmarkStart w:id="3631" w:name="P3631"/>
    <w:bookmarkEnd w:id="3631"/>
    <w:p>
      <w:pPr>
        <w:pStyle w:val="0"/>
        <w:spacing w:before="200" w:line-rule="auto"/>
        <w:ind w:firstLine="540"/>
        <w:jc w:val="both"/>
      </w:pPr>
      <w:r>
        <w:rPr>
          <w:sz w:val="20"/>
        </w:rPr>
        <w:t xml:space="preserve">&lt;3&gt; Срок действия технических условий не может составлять менее 2 лет и более 5 лет.</w:t>
      </w:r>
    </w:p>
    <w:bookmarkStart w:id="3632" w:name="P3632"/>
    <w:bookmarkEnd w:id="3632"/>
    <w:p>
      <w:pPr>
        <w:pStyle w:val="0"/>
        <w:spacing w:before="200" w:line-rule="auto"/>
        <w:ind w:firstLine="540"/>
        <w:jc w:val="both"/>
      </w:pPr>
      <w:r>
        <w:rPr>
          <w:sz w:val="20"/>
        </w:rPr>
        <w:t xml:space="preserve">&lt;4&gt; - &lt;5&gt; Сноски исключены.</w:t>
      </w:r>
    </w:p>
    <w:bookmarkStart w:id="3633" w:name="P3633"/>
    <w:bookmarkEnd w:id="3633"/>
    <w:p>
      <w:pPr>
        <w:pStyle w:val="0"/>
        <w:spacing w:before="200" w:line-rule="auto"/>
        <w:ind w:firstLine="540"/>
        <w:jc w:val="both"/>
      </w:pPr>
      <w:r>
        <w:rPr>
          <w:sz w:val="20"/>
        </w:rPr>
        <w:t xml:space="preserve">&lt;6&gt;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обращения заявителя в сетевую организацию.</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w:t>
      </w:r>
    </w:p>
    <w:p>
      <w:pPr>
        <w:pStyle w:val="0"/>
        <w:jc w:val="right"/>
      </w:pPr>
      <w:r>
        <w:rPr>
          <w:sz w:val="20"/>
        </w:rPr>
        <w:t xml:space="preserve">к типовому договору об осуществлении</w:t>
      </w:r>
    </w:p>
    <w:p>
      <w:pPr>
        <w:pStyle w:val="0"/>
        <w:jc w:val="right"/>
      </w:pPr>
      <w:r>
        <w:rPr>
          <w:sz w:val="20"/>
        </w:rPr>
        <w:t xml:space="preserve">технологического присоединения</w:t>
      </w:r>
    </w:p>
    <w:p>
      <w:pPr>
        <w:pStyle w:val="0"/>
        <w:jc w:val="right"/>
      </w:pPr>
      <w:r>
        <w:rPr>
          <w:sz w:val="20"/>
        </w:rPr>
        <w:t xml:space="preserve">к электрическим сетям</w:t>
      </w:r>
    </w:p>
    <w:p>
      <w:pPr>
        <w:pStyle w:val="0"/>
        <w:jc w:val="both"/>
      </w:pPr>
      <w:r>
        <w:rPr>
          <w:sz w:val="20"/>
        </w:rPr>
      </w:r>
    </w:p>
    <w:bookmarkStart w:id="3644" w:name="P3644"/>
    <w:bookmarkEnd w:id="3644"/>
    <w:p>
      <w:pPr>
        <w:pStyle w:val="1"/>
        <w:jc w:val="both"/>
      </w:pPr>
      <w:r>
        <w:rPr>
          <w:sz w:val="20"/>
        </w:rPr>
        <w:t xml:space="preserve">                            ТЕХНИЧЕСКИЕ УСЛОВИЯ</w:t>
      </w:r>
    </w:p>
    <w:p>
      <w:pPr>
        <w:pStyle w:val="1"/>
        <w:jc w:val="both"/>
      </w:pPr>
      <w:r>
        <w:rPr>
          <w:sz w:val="20"/>
        </w:rPr>
        <w:t xml:space="preserve">                  для присоединения к электрическим сетям</w:t>
      </w:r>
    </w:p>
    <w:p>
      <w:pPr>
        <w:pStyle w:val="1"/>
        <w:jc w:val="both"/>
      </w:pPr>
      <w:r>
        <w:rPr>
          <w:sz w:val="20"/>
        </w:rPr>
      </w:r>
    </w:p>
    <w:p>
      <w:pPr>
        <w:pStyle w:val="1"/>
        <w:jc w:val="both"/>
      </w:pPr>
      <w:r>
        <w:rPr>
          <w:sz w:val="20"/>
        </w:rPr>
        <w:t xml:space="preserve">        (для физических лиц в целях технологического присоединения</w:t>
      </w:r>
    </w:p>
    <w:p>
      <w:pPr>
        <w:pStyle w:val="1"/>
        <w:jc w:val="both"/>
      </w:pPr>
      <w:r>
        <w:rPr>
          <w:sz w:val="20"/>
        </w:rPr>
        <w:t xml:space="preserve">        энергопринимающих устройств, максимальная мощность которых</w:t>
      </w:r>
    </w:p>
    <w:p>
      <w:pPr>
        <w:pStyle w:val="1"/>
        <w:jc w:val="both"/>
      </w:pPr>
      <w:r>
        <w:rPr>
          <w:sz w:val="20"/>
        </w:rPr>
        <w:t xml:space="preserve">     составляет до 15 кВт включительно (с учетом ранее присоединенных</w:t>
      </w:r>
    </w:p>
    <w:p>
      <w:pPr>
        <w:pStyle w:val="1"/>
        <w:jc w:val="both"/>
      </w:pPr>
      <w:r>
        <w:rPr>
          <w:sz w:val="20"/>
        </w:rPr>
        <w:t xml:space="preserve">         в данной точке присоединения энергопринимающих устройств)</w:t>
      </w:r>
    </w:p>
    <w:p>
      <w:pPr>
        <w:pStyle w:val="1"/>
        <w:jc w:val="both"/>
      </w:pPr>
      <w:r>
        <w:rPr>
          <w:sz w:val="20"/>
        </w:rPr>
        <w:t xml:space="preserve">              и которые используются для бытовых и иных нужд,</w:t>
      </w:r>
    </w:p>
    <w:p>
      <w:pPr>
        <w:pStyle w:val="1"/>
        <w:jc w:val="both"/>
      </w:pPr>
      <w:r>
        <w:rPr>
          <w:sz w:val="20"/>
        </w:rPr>
        <w:t xml:space="preserve">             не связанных с осуществлением предпринимательской</w:t>
      </w:r>
    </w:p>
    <w:p>
      <w:pPr>
        <w:pStyle w:val="1"/>
        <w:jc w:val="both"/>
      </w:pPr>
      <w:r>
        <w:rPr>
          <w:sz w:val="20"/>
        </w:rPr>
        <w:t xml:space="preserve">              деятельности, и (или) объектов микрогенерации)</w:t>
      </w:r>
    </w:p>
    <w:p>
      <w:pPr>
        <w:pStyle w:val="0"/>
        <w:jc w:val="both"/>
      </w:pPr>
      <w:r>
        <w:rPr>
          <w:sz w:val="20"/>
        </w:rPr>
      </w:r>
    </w:p>
    <w:tbl>
      <w:tblPr>
        <w:tblInd w:w="0" w:type="dxa"/>
        <w:tblLayout w:type="fixed"/>
        <w:tblCellMar>
          <w:top w:w="102" w:type="dxa"/>
          <w:left w:w="62" w:type="dxa"/>
          <w:bottom w:w="102" w:type="dxa"/>
          <w:right w:w="62" w:type="dxa"/>
        </w:tblCellMar>
      </w:tblPr>
      <w:tblGrid>
        <w:gridCol w:w="1502"/>
        <w:gridCol w:w="3175"/>
        <w:gridCol w:w="4365"/>
      </w:tblGrid>
      <w:tr>
        <w:tc>
          <w:tcPr>
            <w:tcW w:w="1502" w:type="dxa"/>
            <w:vAlign w:val="center"/>
            <w:tcBorders>
              <w:top w:val="nil"/>
              <w:left w:val="nil"/>
              <w:bottom w:val="nil"/>
              <w:right w:val="nil"/>
            </w:tcBorders>
          </w:tcPr>
          <w:p>
            <w:pPr>
              <w:pStyle w:val="0"/>
            </w:pPr>
            <w:r>
              <w:rPr>
                <w:sz w:val="20"/>
              </w:rPr>
              <w:t xml:space="preserve">N</w:t>
            </w:r>
          </w:p>
        </w:tc>
        <w:tc>
          <w:tcPr>
            <w:tcW w:w="3175" w:type="dxa"/>
            <w:tcBorders>
              <w:top w:val="nil"/>
              <w:left w:val="nil"/>
              <w:bottom w:val="nil"/>
              <w:right w:val="nil"/>
            </w:tcBorders>
          </w:tcPr>
          <w:p>
            <w:pPr>
              <w:pStyle w:val="0"/>
            </w:pPr>
            <w:r>
              <w:rPr>
                <w:sz w:val="20"/>
              </w:rPr>
            </w:r>
          </w:p>
        </w:tc>
        <w:tc>
          <w:tcPr>
            <w:tcW w:w="4365" w:type="dxa"/>
            <w:vAlign w:val="center"/>
            <w:tcBorders>
              <w:top w:val="nil"/>
              <w:left w:val="nil"/>
              <w:bottom w:val="nil"/>
              <w:right w:val="nil"/>
            </w:tcBorders>
          </w:tcPr>
          <w:p>
            <w:pPr>
              <w:pStyle w:val="0"/>
            </w:pPr>
            <w:r>
              <w:rPr>
                <w:sz w:val="20"/>
              </w:rPr>
              <w:t xml:space="preserve">"__" ______________ 20__ г.</w:t>
            </w:r>
          </w:p>
        </w:tc>
      </w:tr>
    </w:tbl>
    <w:p>
      <w:pPr>
        <w:pStyle w:val="0"/>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сетевой организации, выдавшей технические условия)</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заявителя)</w:t>
      </w:r>
    </w:p>
    <w:p>
      <w:pPr>
        <w:pStyle w:val="1"/>
        <w:jc w:val="both"/>
      </w:pPr>
      <w:r>
        <w:rPr>
          <w:sz w:val="20"/>
        </w:rPr>
        <w:t xml:space="preserve">    1. Наименование энергопринимающих устройств заявителя _________________</w:t>
      </w:r>
    </w:p>
    <w:p>
      <w:pPr>
        <w:pStyle w:val="1"/>
        <w:jc w:val="both"/>
      </w:pPr>
      <w:r>
        <w:rPr>
          <w:sz w:val="20"/>
        </w:rPr>
        <w:t xml:space="preserve">__________________________________________________________________________.</w:t>
      </w:r>
    </w:p>
    <w:p>
      <w:pPr>
        <w:pStyle w:val="1"/>
        <w:jc w:val="both"/>
      </w:pPr>
      <w:r>
        <w:rPr>
          <w:sz w:val="20"/>
        </w:rPr>
        <w:t xml:space="preserve">    2. Наименование объектов микрогенерации заявителя 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3.  Наименование  и место нахождения объектов, в целях электроснабжения</w:t>
      </w:r>
    </w:p>
    <w:p>
      <w:pPr>
        <w:pStyle w:val="1"/>
        <w:jc w:val="both"/>
      </w:pPr>
      <w:r>
        <w:rPr>
          <w:sz w:val="20"/>
        </w:rPr>
        <w:t xml:space="preserve">которых   осуществляется  технологическое  присоединение  энергопринимающих</w:t>
      </w:r>
    </w:p>
    <w:p>
      <w:pPr>
        <w:pStyle w:val="1"/>
        <w:jc w:val="both"/>
      </w:pPr>
      <w:r>
        <w:rPr>
          <w:sz w:val="20"/>
        </w:rPr>
        <w:t xml:space="preserve">устройств и (или) объектов микрогенерации заявителя 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4.  Максимальная  мощность  присоединяемых  энергопринимающих устройств</w:t>
      </w:r>
    </w:p>
    <w:p>
      <w:pPr>
        <w:pStyle w:val="1"/>
        <w:jc w:val="both"/>
      </w:pPr>
      <w:r>
        <w:rPr>
          <w:sz w:val="20"/>
        </w:rPr>
        <w:t xml:space="preserve">заявителя составляет _______________________________________________ (кВт).</w:t>
      </w:r>
    </w:p>
    <w:p>
      <w:pPr>
        <w:pStyle w:val="1"/>
        <w:jc w:val="both"/>
      </w:pPr>
      <w:r>
        <w:rPr>
          <w:sz w:val="20"/>
        </w:rPr>
        <w:t xml:space="preserve">                      (если энергопринимающее устройство вводится в</w:t>
      </w:r>
    </w:p>
    <w:p>
      <w:pPr>
        <w:pStyle w:val="1"/>
        <w:jc w:val="both"/>
      </w:pPr>
      <w:r>
        <w:rPr>
          <w:sz w:val="20"/>
        </w:rPr>
        <w:t xml:space="preserve">                     эксплуатацию по этапам и очередям, указывается</w:t>
      </w:r>
    </w:p>
    <w:p>
      <w:pPr>
        <w:pStyle w:val="1"/>
        <w:jc w:val="both"/>
      </w:pPr>
      <w:r>
        <w:rPr>
          <w:sz w:val="20"/>
        </w:rPr>
        <w:t xml:space="preserve">                            поэтапное распределение мощности)</w:t>
      </w:r>
    </w:p>
    <w:p>
      <w:pPr>
        <w:pStyle w:val="1"/>
        <w:jc w:val="both"/>
      </w:pPr>
      <w:r>
        <w:rPr>
          <w:sz w:val="20"/>
        </w:rPr>
        <w:t xml:space="preserve">    5.   Максимальная   мощность   присоединяемых  объектов  микрогенерации</w:t>
      </w:r>
    </w:p>
    <w:p>
      <w:pPr>
        <w:pStyle w:val="1"/>
        <w:jc w:val="both"/>
      </w:pPr>
      <w:r>
        <w:rPr>
          <w:sz w:val="20"/>
        </w:rPr>
        <w:t xml:space="preserve">заявителя составляет _______________________________________________ (кВт).</w:t>
      </w:r>
    </w:p>
    <w:p>
      <w:pPr>
        <w:pStyle w:val="1"/>
        <w:jc w:val="both"/>
      </w:pPr>
      <w:r>
        <w:rPr>
          <w:sz w:val="20"/>
        </w:rPr>
        <w:t xml:space="preserve">                         (если объекты микрогенерации вводятся в</w:t>
      </w:r>
    </w:p>
    <w:p>
      <w:pPr>
        <w:pStyle w:val="1"/>
        <w:jc w:val="both"/>
      </w:pPr>
      <w:r>
        <w:rPr>
          <w:sz w:val="20"/>
        </w:rPr>
        <w:t xml:space="preserve">                     эксплуатацию по этапам и очередям, указывается</w:t>
      </w:r>
    </w:p>
    <w:p>
      <w:pPr>
        <w:pStyle w:val="1"/>
        <w:jc w:val="both"/>
      </w:pPr>
      <w:r>
        <w:rPr>
          <w:sz w:val="20"/>
        </w:rPr>
        <w:t xml:space="preserve">                            поэтапное распределение мощности)</w:t>
      </w:r>
    </w:p>
    <w:p>
      <w:pPr>
        <w:pStyle w:val="1"/>
        <w:jc w:val="both"/>
      </w:pPr>
      <w:r>
        <w:rPr>
          <w:sz w:val="20"/>
        </w:rPr>
        <w:t xml:space="preserve">    6. Категория надежности ______________________________________________.</w:t>
      </w:r>
    </w:p>
    <w:p>
      <w:pPr>
        <w:pStyle w:val="1"/>
        <w:jc w:val="both"/>
      </w:pPr>
      <w:r>
        <w:rPr>
          <w:sz w:val="20"/>
        </w:rPr>
        <w:t xml:space="preserve">    7.  Класс  напряжения  электрических  сетей,  к  которым осуществляется</w:t>
      </w:r>
    </w:p>
    <w:p>
      <w:pPr>
        <w:pStyle w:val="1"/>
        <w:jc w:val="both"/>
      </w:pPr>
      <w:r>
        <w:rPr>
          <w:sz w:val="20"/>
        </w:rPr>
        <w:t xml:space="preserve">технологическое присоединение ______ (кВ).</w:t>
      </w:r>
    </w:p>
    <w:p>
      <w:pPr>
        <w:pStyle w:val="1"/>
        <w:jc w:val="both"/>
      </w:pPr>
      <w:r>
        <w:rPr>
          <w:sz w:val="20"/>
        </w:rPr>
        <w:t xml:space="preserve">    8.  Год  ввода  в  эксплуатацию  энергопринимающих  устройств  и  (или)</w:t>
      </w:r>
    </w:p>
    <w:p>
      <w:pPr>
        <w:pStyle w:val="1"/>
        <w:jc w:val="both"/>
      </w:pPr>
      <w:r>
        <w:rPr>
          <w:sz w:val="20"/>
        </w:rPr>
        <w:t xml:space="preserve">объектов микрогенерации заявителя __________.</w:t>
      </w:r>
    </w:p>
    <w:p>
      <w:pPr>
        <w:pStyle w:val="1"/>
        <w:jc w:val="both"/>
      </w:pPr>
      <w:r>
        <w:rPr>
          <w:sz w:val="20"/>
        </w:rPr>
        <w:t xml:space="preserve">    9.  Точка  (точки) присоединения (вводные распределительные устройства,</w:t>
      </w:r>
    </w:p>
    <w:p>
      <w:pPr>
        <w:pStyle w:val="1"/>
        <w:jc w:val="both"/>
      </w:pPr>
      <w:r>
        <w:rPr>
          <w:sz w:val="20"/>
        </w:rPr>
        <w:t xml:space="preserve">линии  электропередачи,  базовые  подстанции,  генераторы)  и  максимальная</w:t>
      </w:r>
    </w:p>
    <w:p>
      <w:pPr>
        <w:pStyle w:val="1"/>
        <w:jc w:val="both"/>
      </w:pPr>
      <w:r>
        <w:rPr>
          <w:sz w:val="20"/>
        </w:rPr>
        <w:t xml:space="preserve">мощность энергопринимающих устройств по каждой точке присоединения ________</w:t>
      </w:r>
    </w:p>
    <w:p>
      <w:pPr>
        <w:pStyle w:val="1"/>
        <w:jc w:val="both"/>
      </w:pPr>
      <w:r>
        <w:rPr>
          <w:sz w:val="20"/>
        </w:rPr>
        <w:t xml:space="preserve">(кВт).</w:t>
      </w:r>
    </w:p>
    <w:p>
      <w:pPr>
        <w:pStyle w:val="1"/>
        <w:jc w:val="both"/>
      </w:pPr>
      <w:r>
        <w:rPr>
          <w:sz w:val="20"/>
        </w:rPr>
        <w:t xml:space="preserve">    10.  Точка (точки) присоединения (вводные распределительные устройства,</w:t>
      </w:r>
    </w:p>
    <w:p>
      <w:pPr>
        <w:pStyle w:val="1"/>
        <w:jc w:val="both"/>
      </w:pPr>
      <w:r>
        <w:rPr>
          <w:sz w:val="20"/>
        </w:rPr>
        <w:t xml:space="preserve">линии  электропередачи,  базовые  подстанции,  генераторы)  и  максимальная</w:t>
      </w:r>
    </w:p>
    <w:p>
      <w:pPr>
        <w:pStyle w:val="1"/>
        <w:jc w:val="both"/>
      </w:pPr>
      <w:r>
        <w:rPr>
          <w:sz w:val="20"/>
        </w:rPr>
        <w:t xml:space="preserve">мощность  объектов  микрогенерации  по  каждой  точке присоединения _______</w:t>
      </w:r>
    </w:p>
    <w:p>
      <w:pPr>
        <w:pStyle w:val="1"/>
        <w:jc w:val="both"/>
      </w:pPr>
      <w:r>
        <w:rPr>
          <w:sz w:val="20"/>
        </w:rPr>
        <w:t xml:space="preserve">(кВт).</w:t>
      </w:r>
    </w:p>
    <w:p>
      <w:pPr>
        <w:pStyle w:val="1"/>
        <w:jc w:val="both"/>
      </w:pPr>
      <w:r>
        <w:rPr>
          <w:sz w:val="20"/>
        </w:rPr>
        <w:t xml:space="preserve">    11. Основной источник питания ________________________________________.</w:t>
      </w:r>
    </w:p>
    <w:p>
      <w:pPr>
        <w:pStyle w:val="1"/>
        <w:jc w:val="both"/>
      </w:pPr>
      <w:r>
        <w:rPr>
          <w:sz w:val="20"/>
        </w:rPr>
        <w:t xml:space="preserve">    12. Резервный источник питания _______________________________________.</w:t>
      </w:r>
    </w:p>
    <w:p>
      <w:pPr>
        <w:pStyle w:val="1"/>
        <w:jc w:val="both"/>
      </w:pPr>
      <w:r>
        <w:rPr>
          <w:sz w:val="20"/>
        </w:rPr>
        <w:t xml:space="preserve">    13. Сетевая организация осуществляет </w:t>
      </w:r>
      <w:hyperlink w:history="0" w:anchor="P3731" w:tooltip="&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и (или) объекты микрогенерации заявителя, включая урегулирование отношений с иными лицами.">
        <w:r>
          <w:rPr>
            <w:sz w:val="20"/>
            <w:color w:val="0000ff"/>
          </w:rPr>
          <w:t xml:space="preserve">&lt;1&gt;</w:t>
        </w:r>
      </w:hyperlink>
    </w:p>
    <w:p>
      <w:pPr>
        <w:pStyle w:val="1"/>
        <w:jc w:val="both"/>
      </w:pPr>
      <w:r>
        <w:rPr>
          <w:sz w:val="20"/>
        </w:rPr>
        <w:t xml:space="preserve">__________________________________________________________________________.</w:t>
      </w:r>
    </w:p>
    <w:p>
      <w:pPr>
        <w:pStyle w:val="1"/>
        <w:jc w:val="both"/>
      </w:pPr>
      <w:r>
        <w:rPr>
          <w:sz w:val="20"/>
        </w:rPr>
        <w:t xml:space="preserve">(указываются требования к усилению существующей электрической сети в связи</w:t>
      </w:r>
    </w:p>
    <w:p>
      <w:pPr>
        <w:pStyle w:val="1"/>
        <w:jc w:val="both"/>
      </w:pPr>
      <w:r>
        <w:rPr>
          <w:sz w:val="20"/>
        </w:rPr>
        <w:t xml:space="preserve">        с присоединением новых мощностей (строительство новых линий</w:t>
      </w:r>
    </w:p>
    <w:p>
      <w:pPr>
        <w:pStyle w:val="1"/>
        <w:jc w:val="both"/>
      </w:pPr>
      <w:r>
        <w:rPr>
          <w:sz w:val="20"/>
        </w:rPr>
        <w:t xml:space="preserve">электропередачи, подстанций, увеличение сечения проводов и кабелей, замена</w:t>
      </w:r>
    </w:p>
    <w:p>
      <w:pPr>
        <w:pStyle w:val="1"/>
        <w:jc w:val="both"/>
      </w:pPr>
      <w:r>
        <w:rPr>
          <w:sz w:val="20"/>
        </w:rPr>
        <w:t xml:space="preserve">   или увеличение мощности трансформаторов, расширение распределительных</w:t>
      </w:r>
    </w:p>
    <w:p>
      <w:pPr>
        <w:pStyle w:val="1"/>
        <w:jc w:val="both"/>
      </w:pPr>
      <w:r>
        <w:rPr>
          <w:sz w:val="20"/>
        </w:rPr>
        <w:t xml:space="preserve">       устройств, модернизация оборудования, реконструкция объектов</w:t>
      </w:r>
    </w:p>
    <w:p>
      <w:pPr>
        <w:pStyle w:val="1"/>
        <w:jc w:val="both"/>
      </w:pPr>
      <w:r>
        <w:rPr>
          <w:sz w:val="20"/>
        </w:rPr>
        <w:t xml:space="preserve">  электросетевого хозяйства, установка устройств регулирования напряжения</w:t>
      </w:r>
    </w:p>
    <w:p>
      <w:pPr>
        <w:pStyle w:val="1"/>
        <w:jc w:val="both"/>
      </w:pPr>
      <w:r>
        <w:rPr>
          <w:sz w:val="20"/>
        </w:rPr>
        <w:t xml:space="preserve">   для обеспечения надежности и качества электрической энергии, в случае</w:t>
      </w:r>
    </w:p>
    <w:p>
      <w:pPr>
        <w:pStyle w:val="1"/>
        <w:jc w:val="both"/>
      </w:pPr>
      <w:r>
        <w:rPr>
          <w:sz w:val="20"/>
        </w:rPr>
        <w:t xml:space="preserve">   присоединения объектов микрогенерации указываются также требования по</w:t>
      </w:r>
    </w:p>
    <w:p>
      <w:pPr>
        <w:pStyle w:val="1"/>
        <w:jc w:val="both"/>
      </w:pPr>
      <w:r>
        <w:rPr>
          <w:sz w:val="20"/>
        </w:rPr>
        <w:t xml:space="preserve"> обеспечению технического ограничения выдачи электрической энергии в сеть</w:t>
      </w:r>
    </w:p>
    <w:p>
      <w:pPr>
        <w:pStyle w:val="1"/>
        <w:jc w:val="both"/>
      </w:pPr>
      <w:r>
        <w:rPr>
          <w:sz w:val="20"/>
        </w:rPr>
        <w:t xml:space="preserve">  с максимальной мощностью, не превышающей величину максимальной мощности</w:t>
      </w:r>
    </w:p>
    <w:p>
      <w:pPr>
        <w:pStyle w:val="1"/>
        <w:jc w:val="both"/>
      </w:pPr>
      <w:r>
        <w:rPr>
          <w:sz w:val="20"/>
        </w:rPr>
        <w:t xml:space="preserve">  энергопринимающих устройств потребителя электрической энергии, которому</w:t>
      </w:r>
    </w:p>
    <w:p>
      <w:pPr>
        <w:pStyle w:val="1"/>
        <w:jc w:val="both"/>
      </w:pPr>
      <w:r>
        <w:rPr>
          <w:sz w:val="20"/>
        </w:rPr>
        <w:t xml:space="preserve"> принадлежат на праве собственности или на ином законном основании объекты</w:t>
      </w:r>
    </w:p>
    <w:p>
      <w:pPr>
        <w:pStyle w:val="1"/>
        <w:jc w:val="both"/>
      </w:pPr>
      <w:r>
        <w:rPr>
          <w:sz w:val="20"/>
        </w:rPr>
        <w:t xml:space="preserve"> микрогенерации, и составляющей не более 15 кВт, а также по договоренности</w:t>
      </w:r>
    </w:p>
    <w:p>
      <w:pPr>
        <w:pStyle w:val="1"/>
        <w:jc w:val="both"/>
      </w:pPr>
      <w:r>
        <w:rPr>
          <w:sz w:val="20"/>
        </w:rPr>
        <w:t xml:space="preserve">сторон иные обязанности по исполнению технических условий, предусмотренные</w:t>
      </w:r>
    </w:p>
    <w:p>
      <w:pPr>
        <w:pStyle w:val="1"/>
        <w:jc w:val="both"/>
      </w:pPr>
      <w:r>
        <w:rPr>
          <w:sz w:val="20"/>
        </w:rPr>
        <w:t xml:space="preserve">    </w:t>
      </w:r>
      <w:hyperlink w:history="0" w:anchor="P1524" w:tooltip="25(1). В технических условиях для заявителей, предусмотренных пунктами 12.1 и 14 настоящих Правил, должны быть указаны:">
        <w:r>
          <w:rPr>
            <w:sz w:val="20"/>
            <w:color w:val="0000ff"/>
          </w:rPr>
          <w:t xml:space="preserve">пунктами 25(1)</w:t>
        </w:r>
      </w:hyperlink>
      <w:r>
        <w:rPr>
          <w:sz w:val="20"/>
        </w:rPr>
        <w:t xml:space="preserve">, </w:t>
      </w:r>
      <w:hyperlink w:history="0" w:anchor="P1552" w:tooltip="25(6). В технических условиях для заявителей, предусмотренных пунктами 13(2) и 13(4) настоящих Правил, должны быть указаны:">
        <w:r>
          <w:rPr>
            <w:sz w:val="20"/>
            <w:color w:val="0000ff"/>
          </w:rPr>
          <w:t xml:space="preserve">25(6)</w:t>
        </w:r>
      </w:hyperlink>
      <w:r>
        <w:rPr>
          <w:sz w:val="20"/>
        </w:rPr>
        <w:t xml:space="preserve"> и </w:t>
      </w:r>
      <w:hyperlink w:history="0" w:anchor="P1559" w:tooltip="25(7). В технических условиях для заявителей, предусмотренных пунктами 13(3) и 13(5) настоящих Правил, должны быть указаны:">
        <w:r>
          <w:rPr>
            <w:sz w:val="20"/>
            <w:color w:val="0000ff"/>
          </w:rPr>
          <w:t xml:space="preserve">25(7)</w:t>
        </w:r>
      </w:hyperlink>
      <w:r>
        <w:rPr>
          <w:sz w:val="20"/>
        </w:rPr>
        <w:t xml:space="preserve"> Правил технологического присоединения</w:t>
      </w:r>
    </w:p>
    <w:p>
      <w:pPr>
        <w:pStyle w:val="1"/>
        <w:jc w:val="both"/>
      </w:pPr>
      <w:r>
        <w:rPr>
          <w:sz w:val="20"/>
        </w:rPr>
        <w:t xml:space="preserve"> энергопринимающих устройств потребителей электрической энергии, объектов</w:t>
      </w:r>
    </w:p>
    <w:p>
      <w:pPr>
        <w:pStyle w:val="1"/>
        <w:jc w:val="both"/>
      </w:pPr>
      <w:r>
        <w:rPr>
          <w:sz w:val="20"/>
        </w:rPr>
        <w:t xml:space="preserve">  по производству электрической энергии, а также объектов электросетевого</w:t>
      </w:r>
    </w:p>
    <w:p>
      <w:pPr>
        <w:pStyle w:val="1"/>
        <w:jc w:val="both"/>
      </w:pPr>
      <w:r>
        <w:rPr>
          <w:sz w:val="20"/>
        </w:rPr>
        <w:t xml:space="preserve">        хозяйства, принадлежащих сетевым организациям и иным лицам,</w:t>
      </w:r>
    </w:p>
    <w:p>
      <w:pPr>
        <w:pStyle w:val="1"/>
        <w:jc w:val="both"/>
      </w:pPr>
      <w:r>
        <w:rPr>
          <w:sz w:val="20"/>
        </w:rPr>
        <w:t xml:space="preserve">                          к электрическим сетям)</w:t>
      </w:r>
    </w:p>
    <w:p>
      <w:pPr>
        <w:pStyle w:val="1"/>
        <w:jc w:val="both"/>
      </w:pPr>
      <w:r>
        <w:rPr>
          <w:sz w:val="20"/>
        </w:rPr>
        <w:t xml:space="preserve">    14. Заявитель осуществляет </w:t>
      </w:r>
      <w:hyperlink w:history="0" w:anchor="P3732" w:tooltip="&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и (или) объекты микрогенерации заявителя, за исключением обязанностей, обязательных для исполнения сетевой организацией за счет ее средств.">
        <w:r>
          <w:rPr>
            <w:sz w:val="20"/>
            <w:color w:val="0000ff"/>
          </w:rPr>
          <w:t xml:space="preserve">&lt;2&gt;</w:t>
        </w:r>
      </w:hyperlink>
      <w:r>
        <w:rPr>
          <w:sz w:val="20"/>
        </w:rPr>
        <w:t xml:space="preserve"> _______________________________________.</w:t>
      </w:r>
    </w:p>
    <w:p>
      <w:pPr>
        <w:pStyle w:val="1"/>
        <w:jc w:val="both"/>
      </w:pPr>
      <w:r>
        <w:rPr>
          <w:sz w:val="20"/>
        </w:rPr>
        <w:t xml:space="preserve">    15.  Срок  действия  настоящих технических условий составляет _________</w:t>
      </w:r>
    </w:p>
    <w:p>
      <w:pPr>
        <w:pStyle w:val="1"/>
        <w:jc w:val="both"/>
      </w:pPr>
      <w:r>
        <w:rPr>
          <w:sz w:val="20"/>
        </w:rPr>
        <w:t xml:space="preserve">года (лет) </w:t>
      </w:r>
      <w:hyperlink w:history="0" w:anchor="P3733" w:tooltip="&lt;3&gt; Срок действия технических условий не может составлять менее 2 лет и более 5 лет.">
        <w:r>
          <w:rPr>
            <w:sz w:val="20"/>
            <w:color w:val="0000ff"/>
          </w:rPr>
          <w:t xml:space="preserve">&lt;3&gt;</w:t>
        </w:r>
      </w:hyperlink>
      <w:r>
        <w:rPr>
          <w:sz w:val="20"/>
        </w:rPr>
        <w:t xml:space="preserve"> со дня заключения договора об осуществлении технологического</w:t>
      </w:r>
    </w:p>
    <w:p>
      <w:pPr>
        <w:pStyle w:val="1"/>
        <w:jc w:val="both"/>
      </w:pPr>
      <w:r>
        <w:rPr>
          <w:sz w:val="20"/>
        </w:rPr>
        <w:t xml:space="preserve">присоединения к электрическим сетям.</w:t>
      </w:r>
    </w:p>
    <w:p>
      <w:pPr>
        <w:pStyle w:val="0"/>
        <w:jc w:val="both"/>
      </w:pPr>
      <w:r>
        <w:rPr>
          <w:sz w:val="20"/>
        </w:rPr>
      </w:r>
    </w:p>
    <w:tbl>
      <w:tblPr>
        <w:tblInd w:w="0" w:type="dxa"/>
        <w:tblLayout w:type="fixed"/>
        <w:tblCellMar>
          <w:top w:w="102" w:type="dxa"/>
          <w:left w:w="62" w:type="dxa"/>
          <w:bottom w:w="102" w:type="dxa"/>
          <w:right w:w="62" w:type="dxa"/>
        </w:tblCellMar>
      </w:tblPr>
      <w:tblGrid>
        <w:gridCol w:w="5280"/>
      </w:tblGrid>
      <w:tr>
        <w:tblPrEx>
          <w:tblBorders>
            <w:insideH w:val="single" w:sz="4"/>
          </w:tblBorders>
        </w:tblPrEx>
        <w:tc>
          <w:tcPr>
            <w:tcW w:w="5280" w:type="dxa"/>
            <w:tcBorders>
              <w:top w:val="nil"/>
              <w:left w:val="nil"/>
              <w:bottom w:val="single" w:sz="4"/>
              <w:right w:val="nil"/>
            </w:tcBorders>
          </w:tcPr>
          <w:p>
            <w:pPr>
              <w:pStyle w:val="0"/>
            </w:pPr>
            <w:r>
              <w:rPr>
                <w:sz w:val="20"/>
              </w:rPr>
            </w:r>
          </w:p>
        </w:tc>
      </w:tr>
      <w:tr>
        <w:tc>
          <w:tcPr>
            <w:tcW w:w="5280" w:type="dxa"/>
            <w:vAlign w:val="center"/>
            <w:tcBorders>
              <w:top w:val="single" w:sz="4"/>
              <w:left w:val="nil"/>
              <w:bottom w:val="nil"/>
              <w:right w:val="nil"/>
            </w:tcBorders>
          </w:tcPr>
          <w:p>
            <w:pPr>
              <w:pStyle w:val="0"/>
              <w:jc w:val="center"/>
            </w:pPr>
            <w:r>
              <w:rPr>
                <w:sz w:val="20"/>
              </w:rPr>
              <w:t xml:space="preserve">(подпись)</w:t>
            </w:r>
          </w:p>
        </w:tc>
      </w:tr>
      <w:tr>
        <w:tc>
          <w:tcPr>
            <w:tcW w:w="5280" w:type="dxa"/>
            <w:tcBorders>
              <w:top w:val="nil"/>
              <w:left w:val="nil"/>
              <w:bottom w:val="single" w:sz="4"/>
              <w:right w:val="nil"/>
            </w:tcBorders>
          </w:tcPr>
          <w:p>
            <w:pPr>
              <w:pStyle w:val="0"/>
            </w:pPr>
            <w:r>
              <w:rPr>
                <w:sz w:val="20"/>
              </w:rPr>
            </w:r>
          </w:p>
        </w:tc>
      </w:tr>
      <w:tr>
        <w:tc>
          <w:tcPr>
            <w:tcW w:w="5280" w:type="dxa"/>
            <w:vAlign w:val="bottom"/>
            <w:tcBorders>
              <w:top w:val="single" w:sz="4"/>
              <w:left w:val="nil"/>
              <w:bottom w:val="nil"/>
              <w:right w:val="nil"/>
            </w:tcBorders>
          </w:tcPr>
          <w:p>
            <w:pPr>
              <w:pStyle w:val="0"/>
              <w:jc w:val="center"/>
            </w:pPr>
            <w:r>
              <w:rPr>
                <w:sz w:val="20"/>
              </w:rPr>
              <w:t xml:space="preserve">(должность, фамилия, имя, отчество лица,</w:t>
            </w:r>
          </w:p>
        </w:tc>
      </w:tr>
      <w:tr>
        <w:tc>
          <w:tcPr>
            <w:tcW w:w="5280" w:type="dxa"/>
            <w:tcBorders>
              <w:top w:val="nil"/>
              <w:left w:val="nil"/>
              <w:bottom w:val="single" w:sz="4"/>
              <w:right w:val="nil"/>
            </w:tcBorders>
          </w:tcPr>
          <w:p>
            <w:pPr>
              <w:pStyle w:val="0"/>
            </w:pPr>
            <w:r>
              <w:rPr>
                <w:sz w:val="20"/>
              </w:rPr>
            </w:r>
          </w:p>
        </w:tc>
      </w:tr>
      <w:tr>
        <w:tc>
          <w:tcPr>
            <w:tcW w:w="5280" w:type="dxa"/>
            <w:vAlign w:val="center"/>
            <w:tcBorders>
              <w:top w:val="single" w:sz="4"/>
              <w:left w:val="nil"/>
              <w:bottom w:val="nil"/>
              <w:right w:val="nil"/>
            </w:tcBorders>
          </w:tcPr>
          <w:p>
            <w:pPr>
              <w:pStyle w:val="0"/>
              <w:jc w:val="center"/>
            </w:pPr>
            <w:r>
              <w:rPr>
                <w:sz w:val="20"/>
              </w:rPr>
              <w:t xml:space="preserve">действующего от имени сетевой организации)</w:t>
            </w:r>
          </w:p>
        </w:tc>
      </w:tr>
      <w:tr>
        <w:tc>
          <w:tcPr>
            <w:tcW w:w="5280" w:type="dxa"/>
            <w:tcBorders>
              <w:top w:val="nil"/>
              <w:left w:val="nil"/>
              <w:bottom w:val="nil"/>
              <w:right w:val="nil"/>
            </w:tcBorders>
          </w:tcPr>
          <w:p>
            <w:pPr>
              <w:pStyle w:val="0"/>
              <w:jc w:val="center"/>
            </w:pPr>
            <w:r>
              <w:rPr>
                <w:sz w:val="20"/>
              </w:rPr>
              <w:t xml:space="preserve">"__" _________ 20__ г.</w:t>
            </w:r>
          </w:p>
        </w:tc>
      </w:tr>
    </w:tbl>
    <w:p>
      <w:pPr>
        <w:pStyle w:val="0"/>
        <w:jc w:val="both"/>
      </w:pPr>
      <w:r>
        <w:rPr>
          <w:sz w:val="20"/>
        </w:rPr>
      </w:r>
    </w:p>
    <w:p>
      <w:pPr>
        <w:pStyle w:val="0"/>
        <w:ind w:firstLine="540"/>
        <w:jc w:val="both"/>
      </w:pPr>
      <w:r>
        <w:rPr>
          <w:sz w:val="20"/>
        </w:rPr>
        <w:t xml:space="preserve">--------------------------------</w:t>
      </w:r>
    </w:p>
    <w:bookmarkStart w:id="3731" w:name="P3731"/>
    <w:bookmarkEnd w:id="3731"/>
    <w:p>
      <w:pPr>
        <w:pStyle w:val="0"/>
        <w:spacing w:before="200" w:line-rule="auto"/>
        <w:ind w:firstLine="540"/>
        <w:jc w:val="both"/>
      </w:pPr>
      <w:r>
        <w:rPr>
          <w:sz w:val="20"/>
        </w:rPr>
        <w:t xml:space="preserve">&lt;1&gt;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и (или) объекты микрогенерации заявителя, включая урегулирование отношений с иными лицами.</w:t>
      </w:r>
    </w:p>
    <w:bookmarkStart w:id="3732" w:name="P3732"/>
    <w:bookmarkEnd w:id="3732"/>
    <w:p>
      <w:pPr>
        <w:pStyle w:val="0"/>
        <w:spacing w:before="200" w:line-rule="auto"/>
        <w:ind w:firstLine="540"/>
        <w:jc w:val="both"/>
      </w:pPr>
      <w:r>
        <w:rPr>
          <w:sz w:val="20"/>
        </w:rPr>
        <w:t xml:space="preserve">&lt;2&gt;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и (или) объекты микрогенерации заявителя, за исключением обязанностей, обязательных для исполнения сетевой организацией за счет ее средств.</w:t>
      </w:r>
    </w:p>
    <w:bookmarkStart w:id="3733" w:name="P3733"/>
    <w:bookmarkEnd w:id="3733"/>
    <w:p>
      <w:pPr>
        <w:pStyle w:val="0"/>
        <w:spacing w:before="200" w:line-rule="auto"/>
        <w:ind w:firstLine="540"/>
        <w:jc w:val="both"/>
      </w:pPr>
      <w:r>
        <w:rPr>
          <w:sz w:val="20"/>
        </w:rPr>
        <w:t xml:space="preserve">&lt;3&gt; Срок действия технических условий не может составлять менее 2 лет и более 5 лет.</w:t>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1"/>
        <w:jc w:val="right"/>
      </w:pPr>
      <w:r>
        <w:rPr>
          <w:sz w:val="20"/>
        </w:rPr>
        <w:t xml:space="preserve">Приложение N 9</w:t>
      </w:r>
    </w:p>
    <w:p>
      <w:pPr>
        <w:pStyle w:val="0"/>
        <w:jc w:val="right"/>
      </w:pPr>
      <w:r>
        <w:rPr>
          <w:sz w:val="20"/>
        </w:rPr>
        <w:t xml:space="preserve">к Правилам технологического</w:t>
      </w:r>
    </w:p>
    <w:p>
      <w:pPr>
        <w:pStyle w:val="0"/>
        <w:jc w:val="right"/>
      </w:pPr>
      <w:r>
        <w:rPr>
          <w:sz w:val="20"/>
        </w:rPr>
        <w:t xml:space="preserve">присоединения энергопринимающих</w:t>
      </w:r>
    </w:p>
    <w:p>
      <w:pPr>
        <w:pStyle w:val="0"/>
        <w:jc w:val="right"/>
      </w:pPr>
      <w:r>
        <w:rPr>
          <w:sz w:val="20"/>
        </w:rPr>
        <w:t xml:space="preserve">устройств потребителей</w:t>
      </w:r>
    </w:p>
    <w:p>
      <w:pPr>
        <w:pStyle w:val="0"/>
        <w:jc w:val="right"/>
      </w:pPr>
      <w:r>
        <w:rPr>
          <w:sz w:val="20"/>
        </w:rPr>
        <w:t xml:space="preserve">электрической энергии, объектов</w:t>
      </w:r>
    </w:p>
    <w:p>
      <w:pPr>
        <w:pStyle w:val="0"/>
        <w:jc w:val="right"/>
      </w:pPr>
      <w:r>
        <w:rPr>
          <w:sz w:val="20"/>
        </w:rPr>
        <w:t xml:space="preserve">по производству электрической</w:t>
      </w:r>
    </w:p>
    <w:p>
      <w:pPr>
        <w:pStyle w:val="0"/>
        <w:jc w:val="right"/>
      </w:pPr>
      <w:r>
        <w:rPr>
          <w:sz w:val="20"/>
        </w:rPr>
        <w:t xml:space="preserve">энергии, а также объектов</w:t>
      </w:r>
    </w:p>
    <w:p>
      <w:pPr>
        <w:pStyle w:val="0"/>
        <w:jc w:val="right"/>
      </w:pPr>
      <w:r>
        <w:rPr>
          <w:sz w:val="20"/>
        </w:rPr>
        <w:t xml:space="preserve">электросетевого хозяйства,</w:t>
      </w:r>
    </w:p>
    <w:p>
      <w:pPr>
        <w:pStyle w:val="0"/>
        <w:jc w:val="right"/>
      </w:pPr>
      <w:r>
        <w:rPr>
          <w:sz w:val="20"/>
        </w:rPr>
        <w:t xml:space="preserve">принадлежащих сетевым организациям</w:t>
      </w:r>
    </w:p>
    <w:p>
      <w:pPr>
        <w:pStyle w:val="0"/>
        <w:jc w:val="right"/>
      </w:pPr>
      <w:r>
        <w:rPr>
          <w:sz w:val="20"/>
        </w:rPr>
        <w:t xml:space="preserve">и иным лицам, к электрическим сетям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11.06.2015 </w:t>
            </w:r>
            <w:hyperlink w:history="0" r:id="rId1117" w:tooltip="Постановление Правительства РФ от 11.06.2015 N 588 (ред. от 10.03.2020, с изм. от 30.06.2022) &quot;О внесении изменений в постановление Правительства Российской Федерации от 27 декабря 2004 г. N 861&quot; {КонсультантПлюс}">
              <w:r>
                <w:rPr>
                  <w:sz w:val="20"/>
                  <w:color w:val="0000ff"/>
                </w:rPr>
                <w:t xml:space="preserve">N 588</w:t>
              </w:r>
            </w:hyperlink>
            <w:r>
              <w:rPr>
                <w:sz w:val="20"/>
                <w:color w:val="392c69"/>
              </w:rPr>
              <w:t xml:space="preserve">,</w:t>
            </w:r>
          </w:p>
          <w:p>
            <w:pPr>
              <w:pStyle w:val="0"/>
              <w:jc w:val="center"/>
            </w:pPr>
            <w:r>
              <w:rPr>
                <w:sz w:val="20"/>
                <w:color w:val="392c69"/>
              </w:rPr>
              <w:t xml:space="preserve">от 05.10.2016 </w:t>
            </w:r>
            <w:hyperlink w:history="0" r:id="rId1118" w:tooltip="Постановление Правительства РФ от 05.10.2016 N 999 (с изм. от 30.06.2022) &quot;О внесении изменений в акты Правительства Российской Федерации по вопросам формирования мер ответственности за несоблюдение сроков осуществления мероприятий по технологическому присоединению&quot; {КонсультантПлюс}">
              <w:r>
                <w:rPr>
                  <w:sz w:val="20"/>
                  <w:color w:val="0000ff"/>
                </w:rPr>
                <w:t xml:space="preserve">N 999</w:t>
              </w:r>
            </w:hyperlink>
            <w:r>
              <w:rPr>
                <w:sz w:val="20"/>
                <w:color w:val="392c69"/>
              </w:rPr>
              <w:t xml:space="preserve">, от 07.05.2017 </w:t>
            </w:r>
            <w:hyperlink w:history="0" r:id="rId1119"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N 542</w:t>
              </w:r>
            </w:hyperlink>
            <w:r>
              <w:rPr>
                <w:sz w:val="20"/>
                <w:color w:val="392c69"/>
              </w:rPr>
              <w:t xml:space="preserve">, от 27.12.2017 </w:t>
            </w:r>
            <w:hyperlink w:history="0" r:id="rId1120"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1661</w:t>
              </w:r>
            </w:hyperlink>
            <w:r>
              <w:rPr>
                <w:sz w:val="20"/>
                <w:color w:val="392c69"/>
              </w:rPr>
              <w:t xml:space="preserve">,</w:t>
            </w:r>
          </w:p>
          <w:p>
            <w:pPr>
              <w:pStyle w:val="0"/>
              <w:jc w:val="center"/>
            </w:pPr>
            <w:r>
              <w:rPr>
                <w:sz w:val="20"/>
                <w:color w:val="392c69"/>
              </w:rPr>
              <w:t xml:space="preserve">от 30.06.2022 </w:t>
            </w:r>
            <w:hyperlink w:history="0" r:id="rId1121"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1178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0"/>
        </w:rPr>
      </w:r>
    </w:p>
    <w:bookmarkStart w:id="3754" w:name="P3754"/>
    <w:bookmarkEnd w:id="3754"/>
    <w:p>
      <w:pPr>
        <w:pStyle w:val="0"/>
        <w:jc w:val="center"/>
      </w:pPr>
      <w:r>
        <w:rPr>
          <w:sz w:val="20"/>
        </w:rPr>
        <w:t xml:space="preserve">ТИПОВОЙ ДОГОВОР</w:t>
      </w:r>
    </w:p>
    <w:p>
      <w:pPr>
        <w:pStyle w:val="0"/>
        <w:jc w:val="center"/>
      </w:pPr>
      <w:r>
        <w:rPr>
          <w:sz w:val="20"/>
        </w:rPr>
        <w:t xml:space="preserve">об осуществлении технологического присоединения</w:t>
      </w:r>
    </w:p>
    <w:p>
      <w:pPr>
        <w:pStyle w:val="0"/>
        <w:jc w:val="center"/>
      </w:pPr>
      <w:r>
        <w:rPr>
          <w:sz w:val="20"/>
        </w:rPr>
        <w:t xml:space="preserve">к электрическим сетям</w:t>
      </w:r>
    </w:p>
    <w:p>
      <w:pPr>
        <w:pStyle w:val="0"/>
        <w:jc w:val="both"/>
      </w:pPr>
      <w:r>
        <w:rPr>
          <w:sz w:val="20"/>
        </w:rPr>
      </w:r>
    </w:p>
    <w:p>
      <w:pPr>
        <w:pStyle w:val="0"/>
        <w:jc w:val="center"/>
      </w:pPr>
      <w:r>
        <w:rPr>
          <w:sz w:val="20"/>
        </w:rPr>
        <w:t xml:space="preserve">(для юридических лиц или индивидуальных предпринимателей</w:t>
      </w:r>
    </w:p>
    <w:p>
      <w:pPr>
        <w:pStyle w:val="0"/>
        <w:jc w:val="center"/>
      </w:pPr>
      <w:r>
        <w:rPr>
          <w:sz w:val="20"/>
        </w:rPr>
        <w:t xml:space="preserve">в целях технологического присоединения энергопринимающих</w:t>
      </w:r>
    </w:p>
    <w:p>
      <w:pPr>
        <w:pStyle w:val="0"/>
        <w:jc w:val="center"/>
      </w:pPr>
      <w:r>
        <w:rPr>
          <w:sz w:val="20"/>
        </w:rPr>
        <w:t xml:space="preserve">устройств, максимальная мощность которых составляет до 150</w:t>
      </w:r>
    </w:p>
    <w:p>
      <w:pPr>
        <w:pStyle w:val="0"/>
        <w:jc w:val="center"/>
      </w:pPr>
      <w:r>
        <w:rPr>
          <w:sz w:val="20"/>
        </w:rPr>
        <w:t xml:space="preserve">кВт включительно (с учетом ранее присоединенных в данной</w:t>
      </w:r>
    </w:p>
    <w:p>
      <w:pPr>
        <w:pStyle w:val="0"/>
        <w:jc w:val="center"/>
      </w:pPr>
      <w:r>
        <w:rPr>
          <w:sz w:val="20"/>
        </w:rPr>
        <w:t xml:space="preserve">точке присоединения энергопринимающих устройств)</w:t>
      </w:r>
    </w:p>
    <w:p>
      <w:pPr>
        <w:pStyle w:val="0"/>
        <w:jc w:val="both"/>
      </w:pPr>
      <w:r>
        <w:rPr>
          <w:sz w:val="20"/>
        </w:rPr>
      </w:r>
    </w:p>
    <w:p>
      <w:pPr>
        <w:pStyle w:val="1"/>
        <w:jc w:val="both"/>
      </w:pPr>
      <w:r>
        <w:rPr>
          <w:sz w:val="20"/>
        </w:rPr>
        <w:t xml:space="preserve">___________________________                      "__" _____________ 20__ г.</w:t>
      </w:r>
    </w:p>
    <w:p>
      <w:pPr>
        <w:pStyle w:val="1"/>
        <w:jc w:val="both"/>
      </w:pPr>
      <w:r>
        <w:rPr>
          <w:sz w:val="20"/>
        </w:rPr>
        <w:t xml:space="preserve">(место заключения договора)                      (дата заключения договора)</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сетевой организации)</w:t>
      </w:r>
    </w:p>
    <w:p>
      <w:pPr>
        <w:pStyle w:val="1"/>
        <w:jc w:val="both"/>
      </w:pPr>
      <w:r>
        <w:rPr>
          <w:sz w:val="20"/>
        </w:rPr>
        <w:t xml:space="preserve">именуемая в дальнейшем сетевой организацией, в лице 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(должность, фамилия, имя, отчество)</w:t>
      </w:r>
    </w:p>
    <w:p>
      <w:pPr>
        <w:pStyle w:val="1"/>
        <w:jc w:val="both"/>
      </w:pPr>
      <w:r>
        <w:rPr>
          <w:sz w:val="20"/>
        </w:rPr>
        <w:t xml:space="preserve">действующего на основании 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и реквизиты документа)</w:t>
      </w:r>
    </w:p>
    <w:p>
      <w:pPr>
        <w:pStyle w:val="1"/>
        <w:jc w:val="both"/>
      </w:pPr>
      <w:r>
        <w:rPr>
          <w:sz w:val="20"/>
        </w:rPr>
        <w:t xml:space="preserve">с одной стороны, и ________________________________________________________</w:t>
      </w:r>
    </w:p>
    <w:p>
      <w:pPr>
        <w:pStyle w:val="1"/>
        <w:jc w:val="both"/>
      </w:pPr>
      <w:r>
        <w:rPr>
          <w:sz w:val="20"/>
        </w:rPr>
        <w:t xml:space="preserve">                           (полное наименование юридического лица,</w:t>
      </w:r>
    </w:p>
    <w:p>
      <w:pPr>
        <w:pStyle w:val="1"/>
        <w:jc w:val="both"/>
      </w:pPr>
      <w:r>
        <w:rPr>
          <w:sz w:val="20"/>
        </w:rPr>
        <w:t xml:space="preserve">                            номер записи в Едином государственном</w:t>
      </w:r>
    </w:p>
    <w:p>
      <w:pPr>
        <w:pStyle w:val="1"/>
        <w:jc w:val="both"/>
      </w:pPr>
      <w:r>
        <w:rPr>
          <w:sz w:val="20"/>
        </w:rPr>
        <w:t xml:space="preserve">___________________________________________________________________________</w:t>
      </w:r>
    </w:p>
    <w:p>
      <w:pPr>
        <w:pStyle w:val="1"/>
        <w:jc w:val="both"/>
      </w:pPr>
      <w:r>
        <w:rPr>
          <w:sz w:val="20"/>
        </w:rPr>
        <w:t xml:space="preserve">    реестре юридических лиц с указанием фамилии, имени, отчества лица,</w:t>
      </w:r>
    </w:p>
    <w:p>
      <w:pPr>
        <w:pStyle w:val="1"/>
        <w:jc w:val="both"/>
      </w:pPr>
      <w:r>
        <w:rPr>
          <w:sz w:val="20"/>
        </w:rPr>
        <w:t xml:space="preserve">              действующего от имени этого юридического лица,</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наименования и реквизитов документа, на основании которого</w:t>
      </w:r>
    </w:p>
    <w:p>
      <w:pPr>
        <w:pStyle w:val="1"/>
        <w:jc w:val="both"/>
      </w:pPr>
      <w:r>
        <w:rPr>
          <w:sz w:val="20"/>
        </w:rPr>
        <w:t xml:space="preserve">                 он действует, либо фамилия, имя, отчество</w:t>
      </w:r>
    </w:p>
    <w:p>
      <w:pPr>
        <w:pStyle w:val="1"/>
        <w:jc w:val="both"/>
      </w:pPr>
      <w:r>
        <w:rPr>
          <w:sz w:val="20"/>
        </w:rPr>
        <w:t xml:space="preserve">___________________________________________________________________________</w:t>
      </w:r>
    </w:p>
    <w:p>
      <w:pPr>
        <w:pStyle w:val="1"/>
        <w:jc w:val="both"/>
      </w:pPr>
      <w:r>
        <w:rPr>
          <w:sz w:val="20"/>
        </w:rPr>
        <w:t xml:space="preserve">          индивидуального предпринимателя, номер записи в Едином</w:t>
      </w:r>
    </w:p>
    <w:p>
      <w:pPr>
        <w:pStyle w:val="1"/>
        <w:jc w:val="both"/>
      </w:pPr>
      <w:r>
        <w:rPr>
          <w:sz w:val="20"/>
        </w:rPr>
        <w:t xml:space="preserve">                          государственном реестре</w:t>
      </w:r>
    </w:p>
    <w:p>
      <w:pPr>
        <w:pStyle w:val="1"/>
        <w:jc w:val="both"/>
      </w:pPr>
      <w:r>
        <w:rPr>
          <w:sz w:val="20"/>
        </w:rPr>
        <w:t xml:space="preserve">__________________________________________________________________________,</w:t>
      </w:r>
    </w:p>
    <w:p>
      <w:pPr>
        <w:pStyle w:val="1"/>
        <w:jc w:val="both"/>
      </w:pPr>
      <w:r>
        <w:rPr>
          <w:sz w:val="20"/>
        </w:rPr>
        <w:t xml:space="preserve">       индивидуальных предпринимателей и дата ее внесения в реестр)</w:t>
      </w:r>
    </w:p>
    <w:p>
      <w:pPr>
        <w:pStyle w:val="1"/>
        <w:jc w:val="both"/>
      </w:pPr>
      <w:r>
        <w:rPr>
          <w:sz w:val="20"/>
        </w:rPr>
        <w:t xml:space="preserve">именуемый  в  дальнейшем  заявителем,  с другой стороны,  вместе  именуемые</w:t>
      </w:r>
    </w:p>
    <w:p>
      <w:pPr>
        <w:pStyle w:val="1"/>
        <w:jc w:val="both"/>
      </w:pPr>
      <w:r>
        <w:rPr>
          <w:sz w:val="20"/>
        </w:rPr>
        <w:t xml:space="preserve">Сторонами, заключили настоящий договор о нижеследующем:</w:t>
      </w:r>
    </w:p>
    <w:p>
      <w:pPr>
        <w:pStyle w:val="0"/>
        <w:jc w:val="both"/>
      </w:pPr>
      <w:r>
        <w:rPr>
          <w:sz w:val="20"/>
        </w:rPr>
      </w:r>
    </w:p>
    <w:p>
      <w:pPr>
        <w:pStyle w:val="0"/>
        <w:outlineLvl w:val="2"/>
        <w:jc w:val="center"/>
      </w:pPr>
      <w:r>
        <w:rPr>
          <w:sz w:val="20"/>
        </w:rPr>
        <w:t xml:space="preserve">I. Предмет договора</w:t>
      </w:r>
    </w:p>
    <w:p>
      <w:pPr>
        <w:pStyle w:val="0"/>
        <w:jc w:val="both"/>
      </w:pPr>
      <w:r>
        <w:rPr>
          <w:sz w:val="20"/>
        </w:rPr>
      </w:r>
    </w:p>
    <w:p>
      <w:pPr>
        <w:pStyle w:val="1"/>
        <w:jc w:val="both"/>
      </w:pPr>
      <w:r>
        <w:rPr>
          <w:sz w:val="20"/>
        </w:rPr>
        <w:t xml:space="preserve">    1.  По  настоящему  договору  сетевая  организация  принимает  на  себя</w:t>
      </w:r>
    </w:p>
    <w:p>
      <w:pPr>
        <w:pStyle w:val="1"/>
        <w:jc w:val="both"/>
      </w:pPr>
      <w:r>
        <w:rPr>
          <w:sz w:val="20"/>
        </w:rPr>
        <w:t xml:space="preserve">обязательства     по     осуществлению    технологического    присоединения</w:t>
      </w:r>
    </w:p>
    <w:p>
      <w:pPr>
        <w:pStyle w:val="1"/>
        <w:jc w:val="both"/>
      </w:pPr>
      <w:r>
        <w:rPr>
          <w:sz w:val="20"/>
        </w:rPr>
        <w:t xml:space="preserve">энергопринимающих    устройств    заявителя    (далее   -   технологическое</w:t>
      </w:r>
    </w:p>
    <w:p>
      <w:pPr>
        <w:pStyle w:val="1"/>
        <w:jc w:val="both"/>
      </w:pPr>
      <w:r>
        <w:rPr>
          <w:sz w:val="20"/>
        </w:rPr>
        <w:t xml:space="preserve">присоединение) ____________________________________________________________</w:t>
      </w:r>
    </w:p>
    <w:p>
      <w:pPr>
        <w:pStyle w:val="1"/>
        <w:jc w:val="both"/>
      </w:pPr>
      <w:r>
        <w:rPr>
          <w:sz w:val="20"/>
        </w:rPr>
        <w:t xml:space="preserve">                       (наименование энергопринимающих устройств)</w:t>
      </w:r>
    </w:p>
    <w:p>
      <w:pPr>
        <w:pStyle w:val="1"/>
        <w:jc w:val="both"/>
      </w:pPr>
      <w:r>
        <w:rPr>
          <w:sz w:val="20"/>
        </w:rPr>
        <w:t xml:space="preserve">__________________________________________________________________________,</w:t>
      </w:r>
    </w:p>
    <w:p>
      <w:pPr>
        <w:pStyle w:val="1"/>
        <w:jc w:val="both"/>
      </w:pPr>
      <w:r>
        <w:rPr>
          <w:sz w:val="20"/>
        </w:rPr>
        <w:t xml:space="preserve">в   том   числе  по   обеспечению   готовности   объектов   электросетевого</w:t>
      </w:r>
    </w:p>
    <w:p>
      <w:pPr>
        <w:pStyle w:val="1"/>
        <w:jc w:val="both"/>
      </w:pPr>
      <w:r>
        <w:rPr>
          <w:sz w:val="20"/>
        </w:rPr>
        <w:t xml:space="preserve">хозяйства  (включая  их  проектирование,  строительство,  реконструкцию)  к</w:t>
      </w:r>
    </w:p>
    <w:p>
      <w:pPr>
        <w:pStyle w:val="1"/>
        <w:jc w:val="both"/>
      </w:pPr>
      <w:r>
        <w:rPr>
          <w:sz w:val="20"/>
        </w:rPr>
        <w:t xml:space="preserve">присоединению   энергопринимающих  устройств,  урегулированию  отношений  с</w:t>
      </w:r>
    </w:p>
    <w:p>
      <w:pPr>
        <w:pStyle w:val="1"/>
        <w:jc w:val="both"/>
      </w:pPr>
      <w:r>
        <w:rPr>
          <w:sz w:val="20"/>
        </w:rPr>
        <w:t xml:space="preserve">третьими  лицами в случае необходимости строительства (модернизации) такими</w:t>
      </w:r>
    </w:p>
    <w:p>
      <w:pPr>
        <w:pStyle w:val="1"/>
        <w:jc w:val="both"/>
      </w:pPr>
      <w:r>
        <w:rPr>
          <w:sz w:val="20"/>
        </w:rPr>
        <w:t xml:space="preserve">лицами     принадлежащих     им    объектов    электросетевого    хозяйства</w:t>
      </w:r>
    </w:p>
    <w:p>
      <w:pPr>
        <w:pStyle w:val="1"/>
        <w:jc w:val="both"/>
      </w:pPr>
      <w:r>
        <w:rPr>
          <w:sz w:val="20"/>
        </w:rPr>
        <w:t xml:space="preserve">(энергопринимающих   устройств,   объектов   электроэнергетики),  с  учетом</w:t>
      </w:r>
    </w:p>
    <w:p>
      <w:pPr>
        <w:pStyle w:val="1"/>
        <w:jc w:val="both"/>
      </w:pPr>
      <w:r>
        <w:rPr>
          <w:sz w:val="20"/>
        </w:rPr>
        <w:t xml:space="preserve">следующих характеристик:</w:t>
      </w:r>
    </w:p>
    <w:p>
      <w:pPr>
        <w:pStyle w:val="0"/>
        <w:ind w:firstLine="540"/>
        <w:jc w:val="both"/>
      </w:pPr>
      <w:r>
        <w:rPr>
          <w:sz w:val="20"/>
        </w:rPr>
        <w:t xml:space="preserve">максимальная мощность присоединяемых энергопринимающих устройств ________ (кВт);</w:t>
      </w:r>
    </w:p>
    <w:p>
      <w:pPr>
        <w:pStyle w:val="0"/>
        <w:spacing w:before="200" w:line-rule="auto"/>
        <w:ind w:firstLine="540"/>
        <w:jc w:val="both"/>
      </w:pPr>
      <w:r>
        <w:rPr>
          <w:sz w:val="20"/>
        </w:rPr>
        <w:t xml:space="preserve">категория надежности _______;</w:t>
      </w:r>
    </w:p>
    <w:p>
      <w:pPr>
        <w:pStyle w:val="0"/>
        <w:spacing w:before="200" w:line-rule="auto"/>
        <w:ind w:firstLine="540"/>
        <w:jc w:val="both"/>
      </w:pPr>
      <w:r>
        <w:rPr>
          <w:sz w:val="20"/>
        </w:rPr>
        <w:t xml:space="preserve">класс напряжения электрических сетей, к которым осуществляется присоединение _____ (кВ);</w:t>
      </w:r>
    </w:p>
    <w:p>
      <w:pPr>
        <w:pStyle w:val="0"/>
        <w:spacing w:before="200" w:line-rule="auto"/>
        <w:ind w:firstLine="540"/>
        <w:jc w:val="both"/>
      </w:pPr>
      <w:r>
        <w:rPr>
          <w:sz w:val="20"/>
        </w:rPr>
        <w:t xml:space="preserve">максимальная мощность ранее присоединенных энергопринимающих устройств ___________ кВт </w:t>
      </w:r>
      <w:hyperlink w:history="0" w:anchor="P3933" w:tooltip="&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w:r>
          <w:rPr>
            <w:sz w:val="20"/>
            <w:color w:val="0000ff"/>
          </w:rPr>
          <w:t xml:space="preserve">&lt;1&gt;</w:t>
        </w:r>
      </w:hyperlink>
      <w:r>
        <w:rPr>
          <w:sz w:val="20"/>
        </w:rPr>
        <w:t xml:space="preserve">.</w:t>
      </w:r>
    </w:p>
    <w:p>
      <w:pPr>
        <w:pStyle w:val="0"/>
        <w:spacing w:before="200" w:line-rule="auto"/>
        <w:ind w:firstLine="540"/>
        <w:jc w:val="both"/>
      </w:pPr>
      <w:r>
        <w:rPr>
          <w:sz w:val="20"/>
        </w:rPr>
        <w:t xml:space="preserve">Заявитель обязуется оплатить расходы на технологическое присоединение в соответствии с условиями настоящего договора.</w:t>
      </w:r>
    </w:p>
    <w:p>
      <w:pPr>
        <w:pStyle w:val="1"/>
        <w:spacing w:before="200" w:line-rule="auto"/>
        <w:jc w:val="both"/>
      </w:pPr>
      <w:r>
        <w:rPr>
          <w:sz w:val="20"/>
        </w:rPr>
        <w:t xml:space="preserve">    2. Технологическое присоединение необходимо для электроснабжения 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объектов заявителя)</w:t>
      </w:r>
    </w:p>
    <w:p>
      <w:pPr>
        <w:pStyle w:val="1"/>
        <w:jc w:val="both"/>
      </w:pPr>
      <w:r>
        <w:rPr>
          <w:sz w:val="20"/>
        </w:rPr>
        <w:t xml:space="preserve">расположенных (которые будут располагаться) 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(место нахождения объектов заявителя)</w:t>
      </w:r>
    </w:p>
    <w:p>
      <w:pPr>
        <w:pStyle w:val="0"/>
        <w:ind w:firstLine="540"/>
        <w:jc w:val="both"/>
      </w:pPr>
      <w:r>
        <w:rPr>
          <w:sz w:val="20"/>
        </w:rP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w:t>
      </w:r>
      <w:hyperlink w:history="0" w:anchor="P3934" w:tooltip="&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
        <w:r>
          <w:rPr>
            <w:sz w:val="20"/>
            <w:color w:val="0000ff"/>
          </w:rPr>
          <w:t xml:space="preserve">&lt;2&gt;</w:t>
        </w:r>
      </w:hyperlink>
      <w:r>
        <w:rPr>
          <w:sz w:val="20"/>
        </w:rPr>
        <w:t xml:space="preserve"> от границы участка заявителя, на котором располагаются (будут располагаться) присоединяемые объекты заявителя.</w:t>
      </w:r>
    </w:p>
    <w:p>
      <w:pPr>
        <w:pStyle w:val="0"/>
        <w:spacing w:before="200" w:line-rule="auto"/>
        <w:ind w:firstLine="540"/>
        <w:jc w:val="both"/>
      </w:pPr>
      <w:r>
        <w:rPr>
          <w:sz w:val="20"/>
        </w:rPr>
        <w:t xml:space="preserve">4. </w:t>
      </w:r>
      <w:hyperlink w:history="0" w:anchor="P3951" w:tooltip="                            ТЕХНИЧЕСКИЕ УСЛОВИЯ">
        <w:r>
          <w:rPr>
            <w:sz w:val="20"/>
            <w:color w:val="0000ff"/>
          </w:rPr>
          <w:t xml:space="preserve">Технические условия</w:t>
        </w:r>
      </w:hyperlink>
      <w:r>
        <w:rPr>
          <w:sz w:val="20"/>
        </w:rPr>
        <w:t xml:space="preserve"> являются неотъемлемой частью настоящего договора и приведены в приложении.</w:t>
      </w:r>
    </w:p>
    <w:p>
      <w:pPr>
        <w:pStyle w:val="0"/>
        <w:spacing w:before="200" w:line-rule="auto"/>
        <w:ind w:firstLine="540"/>
        <w:jc w:val="both"/>
      </w:pPr>
      <w:r>
        <w:rPr>
          <w:sz w:val="20"/>
        </w:rPr>
        <w:t xml:space="preserve">Срок действия технических условий составляет _______ год (года) </w:t>
      </w:r>
      <w:hyperlink w:history="0" w:anchor="P3936" w:tooltip="&lt;3&gt; Срок действия технических условий не может составлять менее 2 лет и более 5 лет.">
        <w:r>
          <w:rPr>
            <w:sz w:val="20"/>
            <w:color w:val="0000ff"/>
          </w:rPr>
          <w:t xml:space="preserve">&lt;3&gt;</w:t>
        </w:r>
      </w:hyperlink>
      <w:r>
        <w:rPr>
          <w:sz w:val="20"/>
        </w:rPr>
        <w:t xml:space="preserve"> со дня заключения настоящего договора.</w:t>
      </w:r>
    </w:p>
    <w:bookmarkStart w:id="3821" w:name="P3821"/>
    <w:bookmarkEnd w:id="3821"/>
    <w:p>
      <w:pPr>
        <w:pStyle w:val="0"/>
        <w:spacing w:before="200" w:line-rule="auto"/>
        <w:ind w:firstLine="540"/>
        <w:jc w:val="both"/>
      </w:pPr>
      <w:r>
        <w:rPr>
          <w:sz w:val="20"/>
        </w:rPr>
        <w:t xml:space="preserve">5. Срок выполнения мероприятий по технологическому присоединению составляет __________ </w:t>
      </w:r>
      <w:hyperlink w:history="0" w:anchor="P3937" w:tooltip="&lt;4&gt; - &lt;5&gt; Сноски исключены.">
        <w:r>
          <w:rPr>
            <w:sz w:val="20"/>
            <w:color w:val="0000ff"/>
          </w:rPr>
          <w:t xml:space="preserve">&lt;4&gt;</w:t>
        </w:r>
      </w:hyperlink>
      <w:r>
        <w:rPr>
          <w:sz w:val="20"/>
        </w:rPr>
        <w:t xml:space="preserve"> со дня заключения настоящего договора.</w:t>
      </w:r>
    </w:p>
    <w:p>
      <w:pPr>
        <w:pStyle w:val="0"/>
        <w:jc w:val="both"/>
      </w:pPr>
      <w:r>
        <w:rPr>
          <w:sz w:val="20"/>
        </w:rPr>
      </w:r>
    </w:p>
    <w:p>
      <w:pPr>
        <w:pStyle w:val="0"/>
        <w:outlineLvl w:val="2"/>
        <w:jc w:val="center"/>
      </w:pPr>
      <w:r>
        <w:rPr>
          <w:sz w:val="20"/>
        </w:rPr>
        <w:t xml:space="preserve">II. Обязанности Сторон</w:t>
      </w:r>
    </w:p>
    <w:p>
      <w:pPr>
        <w:pStyle w:val="0"/>
        <w:jc w:val="both"/>
      </w:pPr>
      <w:r>
        <w:rPr>
          <w:sz w:val="20"/>
        </w:rPr>
      </w:r>
    </w:p>
    <w:p>
      <w:pPr>
        <w:pStyle w:val="0"/>
        <w:ind w:firstLine="540"/>
        <w:jc w:val="both"/>
      </w:pPr>
      <w:r>
        <w:rPr>
          <w:sz w:val="20"/>
        </w:rPr>
        <w:t xml:space="preserve">6. Сетевая организация обязуется:</w:t>
      </w:r>
    </w:p>
    <w:p>
      <w:pPr>
        <w:pStyle w:val="0"/>
        <w:spacing w:before="200" w:line-rule="auto"/>
        <w:ind w:firstLine="540"/>
        <w:jc w:val="both"/>
      </w:pPr>
      <w:r>
        <w:rPr>
          <w:sz w:val="20"/>
        </w:rP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bookmarkStart w:id="3827" w:name="P3827"/>
    <w:bookmarkEnd w:id="3827"/>
    <w:p>
      <w:pPr>
        <w:pStyle w:val="0"/>
        <w:spacing w:before="200" w:line-rule="auto"/>
        <w:ind w:firstLine="540"/>
        <w:jc w:val="both"/>
      </w:pPr>
      <w:r>
        <w:rPr>
          <w:sz w:val="20"/>
        </w:rPr>
        <w:t xml:space="preserve">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w:t>
      </w:r>
    </w:p>
    <w:p>
      <w:pPr>
        <w:pStyle w:val="0"/>
        <w:spacing w:before="200" w:line-rule="auto"/>
        <w:ind w:firstLine="540"/>
        <w:jc w:val="both"/>
      </w:pPr>
      <w:r>
        <w:rPr>
          <w:sz w:val="20"/>
        </w:rPr>
        <w:t xml:space="preserve">не позднее ________ рабочих дней со дня проведения осмотра (обследования), указанного в </w:t>
      </w:r>
      <w:hyperlink w:history="0" w:anchor="P3827" w:tooltip="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
        <w:r>
          <w:rPr>
            <w:sz w:val="20"/>
            <w:color w:val="0000ff"/>
          </w:rPr>
          <w:t xml:space="preserve">абзаце третьем</w:t>
        </w:r>
      </w:hyperlink>
      <w:r>
        <w:rPr>
          <w:sz w:val="20"/>
        </w:rPr>
        <w:t xml:space="preserve"> настоящего пункта, с соблюдением срока, установленного </w:t>
      </w:r>
      <w:hyperlink w:history="0" w:anchor="P3821" w:tooltip="5. Срок выполнения мероприятий по технологическому присоединению составляет __________ &lt;4&gt; со дня заключения настоящего договора.">
        <w:r>
          <w:rPr>
            <w:sz w:val="20"/>
            <w:color w:val="0000ff"/>
          </w:rPr>
          <w:t xml:space="preserve">пунктом 5</w:t>
        </w:r>
      </w:hyperlink>
      <w:r>
        <w:rPr>
          <w:sz w:val="20"/>
        </w:rP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pPr>
        <w:pStyle w:val="0"/>
        <w:spacing w:before="200" w:line-rule="auto"/>
        <w:ind w:firstLine="540"/>
        <w:jc w:val="both"/>
      </w:pPr>
      <w:r>
        <w:rPr>
          <w:sz w:val="20"/>
        </w:rPr>
        <w:t xml:space="preserve">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pPr>
        <w:pStyle w:val="0"/>
        <w:spacing w:before="200" w:line-rule="auto"/>
        <w:ind w:firstLine="540"/>
        <w:jc w:val="both"/>
      </w:pPr>
      <w:r>
        <w:rPr>
          <w:sz w:val="20"/>
        </w:rPr>
        <w:t xml:space="preserve">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pPr>
        <w:pStyle w:val="0"/>
        <w:spacing w:before="200" w:line-rule="auto"/>
        <w:ind w:firstLine="540"/>
        <w:jc w:val="both"/>
      </w:pPr>
      <w:r>
        <w:rPr>
          <w:sz w:val="20"/>
        </w:rPr>
        <w:t xml:space="preserve">8. Заявитель обязуется:</w:t>
      </w:r>
    </w:p>
    <w:p>
      <w:pPr>
        <w:pStyle w:val="0"/>
        <w:spacing w:before="200" w:line-rule="auto"/>
        <w:ind w:firstLine="540"/>
        <w:jc w:val="both"/>
      </w:pPr>
      <w:r>
        <w:rPr>
          <w:sz w:val="20"/>
        </w:rP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pPr>
        <w:pStyle w:val="0"/>
        <w:spacing w:before="200" w:line-rule="auto"/>
        <w:ind w:firstLine="540"/>
        <w:jc w:val="both"/>
      </w:pPr>
      <w:r>
        <w:rPr>
          <w:sz w:val="20"/>
        </w:rPr>
        <w:t xml:space="preserve">в случае осуществления технологического присоединения энергопринимающих устройств на уровне напряжения выше 0,4 кВ -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pPr>
        <w:pStyle w:val="0"/>
        <w:spacing w:before="200" w:line-rule="auto"/>
        <w:ind w:firstLine="540"/>
        <w:jc w:val="both"/>
      </w:pPr>
      <w:r>
        <w:rPr>
          <w:sz w:val="20"/>
        </w:rPr>
        <w:t xml:space="preserve">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pPr>
        <w:pStyle w:val="0"/>
        <w:spacing w:before="200" w:line-rule="auto"/>
        <w:ind w:firstLine="540"/>
        <w:jc w:val="both"/>
      </w:pPr>
      <w:r>
        <w:rPr>
          <w:sz w:val="20"/>
        </w:rP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pPr>
        <w:pStyle w:val="0"/>
        <w:spacing w:before="200" w:line-rule="auto"/>
        <w:ind w:firstLine="540"/>
        <w:jc w:val="both"/>
      </w:pPr>
      <w:r>
        <w:rPr>
          <w:sz w:val="20"/>
        </w:rPr>
        <w:t xml:space="preserve">надлежащим образом исполнять указанные в </w:t>
      </w:r>
      <w:hyperlink w:history="0" w:anchor="P3840" w:tooltip="III. Плата за технологическое присоединение">
        <w:r>
          <w:rPr>
            <w:sz w:val="20"/>
            <w:color w:val="0000ff"/>
          </w:rPr>
          <w:t xml:space="preserve">разделе III</w:t>
        </w:r>
      </w:hyperlink>
      <w:r>
        <w:rPr>
          <w:sz w:val="20"/>
        </w:rPr>
        <w:t xml:space="preserve"> настоящего договора обязательства по оплате расходов на технологическое присоединение;</w:t>
      </w:r>
    </w:p>
    <w:p>
      <w:pPr>
        <w:pStyle w:val="0"/>
        <w:spacing w:before="200" w:line-rule="auto"/>
        <w:ind w:firstLine="540"/>
        <w:jc w:val="both"/>
      </w:pPr>
      <w:r>
        <w:rPr>
          <w:sz w:val="20"/>
        </w:rPr>
        <w:t xml:space="preserve">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pPr>
        <w:pStyle w:val="0"/>
        <w:spacing w:before="200" w:line-rule="auto"/>
        <w:ind w:firstLine="540"/>
        <w:jc w:val="both"/>
      </w:pPr>
      <w:r>
        <w:rPr>
          <w:sz w:val="20"/>
        </w:rPr>
        <w:t xml:space="preserve">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pPr>
        <w:pStyle w:val="0"/>
        <w:jc w:val="both"/>
      </w:pPr>
      <w:r>
        <w:rPr>
          <w:sz w:val="20"/>
        </w:rPr>
      </w:r>
    </w:p>
    <w:bookmarkStart w:id="3840" w:name="P3840"/>
    <w:bookmarkEnd w:id="3840"/>
    <w:p>
      <w:pPr>
        <w:pStyle w:val="0"/>
        <w:outlineLvl w:val="2"/>
        <w:jc w:val="center"/>
      </w:pPr>
      <w:r>
        <w:rPr>
          <w:sz w:val="20"/>
        </w:rPr>
        <w:t xml:space="preserve">III. Плата за технологическое присоединение</w:t>
      </w:r>
    </w:p>
    <w:p>
      <w:pPr>
        <w:pStyle w:val="0"/>
        <w:jc w:val="center"/>
      </w:pPr>
      <w:r>
        <w:rPr>
          <w:sz w:val="20"/>
        </w:rPr>
        <w:t xml:space="preserve">и порядок расчетов</w:t>
      </w:r>
    </w:p>
    <w:p>
      <w:pPr>
        <w:pStyle w:val="0"/>
        <w:jc w:val="both"/>
      </w:pPr>
      <w:r>
        <w:rPr>
          <w:sz w:val="20"/>
        </w:rPr>
      </w:r>
    </w:p>
    <w:p>
      <w:pPr>
        <w:pStyle w:val="1"/>
        <w:jc w:val="both"/>
      </w:pPr>
      <w:r>
        <w:rPr>
          <w:sz w:val="20"/>
        </w:rPr>
        <w:t xml:space="preserve">    10. Размер  платы  за  технологическое  присоединение  определяется </w:t>
      </w:r>
      <w:hyperlink w:history="0" w:anchor="P3937" w:tooltip="&lt;4&gt; - &lt;5&gt; Сноски исключены.">
        <w:r>
          <w:rPr>
            <w:sz w:val="20"/>
            <w:color w:val="0000ff"/>
          </w:rPr>
          <w:t xml:space="preserve">&lt;5&gt;</w:t>
        </w:r>
      </w:hyperlink>
    </w:p>
    <w:p>
      <w:pPr>
        <w:pStyle w:val="1"/>
        <w:jc w:val="both"/>
      </w:pPr>
      <w:r>
        <w:rPr>
          <w:sz w:val="20"/>
        </w:rPr>
        <w:t xml:space="preserve">в соответствии с решением 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органа исполнительной власти в области государственного</w:t>
      </w:r>
    </w:p>
    <w:p>
      <w:pPr>
        <w:pStyle w:val="1"/>
        <w:jc w:val="both"/>
      </w:pPr>
      <w:r>
        <w:rPr>
          <w:sz w:val="20"/>
        </w:rPr>
        <w:t xml:space="preserve">                          регулирования тарифов)</w:t>
      </w:r>
    </w:p>
    <w:p>
      <w:pPr>
        <w:pStyle w:val="1"/>
        <w:jc w:val="both"/>
      </w:pPr>
      <w:r>
        <w:rPr>
          <w:sz w:val="20"/>
        </w:rPr>
        <w:t xml:space="preserve">от ___________ N ________ и составляет _________ рублей ______ копеек.</w:t>
      </w:r>
    </w:p>
    <w:p>
      <w:pPr>
        <w:pStyle w:val="1"/>
        <w:jc w:val="both"/>
      </w:pPr>
      <w:r>
        <w:rPr>
          <w:sz w:val="20"/>
        </w:rPr>
        <w:t xml:space="preserve">    11.  Внесение  платы  за  технологическое  присоединение осуществляется</w:t>
      </w:r>
    </w:p>
    <w:p>
      <w:pPr>
        <w:pStyle w:val="1"/>
        <w:jc w:val="both"/>
      </w:pPr>
      <w:r>
        <w:rPr>
          <w:sz w:val="20"/>
        </w:rPr>
        <w:t xml:space="preserve">заявителем в следующем порядке: ___________________________________________</w:t>
      </w:r>
    </w:p>
    <w:p>
      <w:pPr>
        <w:pStyle w:val="1"/>
        <w:jc w:val="both"/>
      </w:pPr>
      <w:r>
        <w:rPr>
          <w:sz w:val="20"/>
        </w:rPr>
        <w:t xml:space="preserve">                                (указываются порядок и сроки внесения платы</w:t>
      </w:r>
    </w:p>
    <w:p>
      <w:pPr>
        <w:pStyle w:val="1"/>
        <w:jc w:val="both"/>
      </w:pPr>
      <w:r>
        <w:rPr>
          <w:sz w:val="20"/>
        </w:rPr>
        <w:t xml:space="preserve">__________________________________________________________________________.</w:t>
      </w:r>
    </w:p>
    <w:p>
      <w:pPr>
        <w:pStyle w:val="1"/>
        <w:jc w:val="both"/>
      </w:pPr>
      <w:r>
        <w:rPr>
          <w:sz w:val="20"/>
        </w:rPr>
        <w:t xml:space="preserve">                     за технологическое присоединение)</w:t>
      </w:r>
    </w:p>
    <w:p>
      <w:pPr>
        <w:pStyle w:val="0"/>
        <w:ind w:firstLine="540"/>
        <w:jc w:val="both"/>
      </w:pPr>
      <w:r>
        <w:rPr>
          <w:sz w:val="20"/>
        </w:rPr>
        <w:t xml:space="preserve">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pPr>
        <w:pStyle w:val="0"/>
        <w:jc w:val="both"/>
      </w:pPr>
      <w:r>
        <w:rPr>
          <w:sz w:val="20"/>
        </w:rPr>
      </w:r>
    </w:p>
    <w:p>
      <w:pPr>
        <w:pStyle w:val="0"/>
        <w:outlineLvl w:val="2"/>
        <w:jc w:val="center"/>
      </w:pPr>
      <w:r>
        <w:rPr>
          <w:sz w:val="20"/>
        </w:rPr>
        <w:t xml:space="preserve">IV. Разграничение балансовой принадлежности электрических</w:t>
      </w:r>
    </w:p>
    <w:p>
      <w:pPr>
        <w:pStyle w:val="0"/>
        <w:jc w:val="center"/>
      </w:pPr>
      <w:r>
        <w:rPr>
          <w:sz w:val="20"/>
        </w:rPr>
        <w:t xml:space="preserve">сетей и эксплуатационной ответственности Сторон</w:t>
      </w:r>
    </w:p>
    <w:p>
      <w:pPr>
        <w:pStyle w:val="0"/>
        <w:jc w:val="both"/>
      </w:pPr>
      <w:r>
        <w:rPr>
          <w:sz w:val="20"/>
        </w:rPr>
      </w:r>
    </w:p>
    <w:p>
      <w:pPr>
        <w:pStyle w:val="0"/>
        <w:ind w:firstLine="540"/>
        <w:jc w:val="both"/>
      </w:pPr>
      <w:r>
        <w:rPr>
          <w:sz w:val="20"/>
        </w:rPr>
        <w:t xml:space="preserve">13. Заявитель несет балансовую и эксплуатационную ответственность до точки присоединения энергопринимающих устройств заявителя </w:t>
      </w:r>
      <w:hyperlink w:history="0" w:anchor="P3938" w:tooltip="&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
        <w:r>
          <w:rPr>
            <w:sz w:val="20"/>
            <w:color w:val="0000ff"/>
          </w:rPr>
          <w:t xml:space="preserve">&lt;6&gt;</w:t>
        </w:r>
      </w:hyperlink>
      <w:r>
        <w:rPr>
          <w:sz w:val="20"/>
        </w:rPr>
        <w:t xml:space="preserve">.</w:t>
      </w:r>
    </w:p>
    <w:p>
      <w:pPr>
        <w:pStyle w:val="0"/>
        <w:jc w:val="both"/>
      </w:pPr>
      <w:r>
        <w:rPr>
          <w:sz w:val="20"/>
        </w:rPr>
      </w:r>
    </w:p>
    <w:p>
      <w:pPr>
        <w:pStyle w:val="0"/>
        <w:outlineLvl w:val="2"/>
        <w:jc w:val="center"/>
      </w:pPr>
      <w:r>
        <w:rPr>
          <w:sz w:val="20"/>
        </w:rPr>
        <w:t xml:space="preserve">V. Условия изменения, расторжения договора</w:t>
      </w:r>
    </w:p>
    <w:p>
      <w:pPr>
        <w:pStyle w:val="0"/>
        <w:jc w:val="center"/>
      </w:pPr>
      <w:r>
        <w:rPr>
          <w:sz w:val="20"/>
        </w:rPr>
        <w:t xml:space="preserve">и ответственность Сторон</w:t>
      </w:r>
    </w:p>
    <w:p>
      <w:pPr>
        <w:pStyle w:val="0"/>
        <w:jc w:val="both"/>
      </w:pPr>
      <w:r>
        <w:rPr>
          <w:sz w:val="20"/>
        </w:rPr>
      </w:r>
    </w:p>
    <w:p>
      <w:pPr>
        <w:pStyle w:val="0"/>
        <w:ind w:firstLine="540"/>
        <w:jc w:val="both"/>
      </w:pPr>
      <w:r>
        <w:rPr>
          <w:sz w:val="20"/>
        </w:rPr>
        <w:t xml:space="preserve">14. Настоящий договор может быть изменен по письменному соглашению Сторон или в судебном порядке.</w:t>
      </w:r>
    </w:p>
    <w:p>
      <w:pPr>
        <w:pStyle w:val="0"/>
        <w:spacing w:before="200" w:line-rule="auto"/>
        <w:ind w:firstLine="540"/>
        <w:jc w:val="both"/>
      </w:pPr>
      <w:r>
        <w:rPr>
          <w:sz w:val="20"/>
        </w:rPr>
        <w:t xml:space="preserve">15. Настоящий договор может быть расторгнут по требованию одной из Сторон по основаниям, предусмотренным Гражданским </w:t>
      </w:r>
      <w:hyperlink w:history="0" r:id="rId1122" w:tooltip="&quot;Гражданский кодекс Российской Федерации (часть первая)&quot; от 30.11.1994 N 51-ФЗ (ред. от 25.02.2022)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pPr>
        <w:pStyle w:val="0"/>
        <w:spacing w:before="200" w:line-rule="auto"/>
        <w:ind w:firstLine="540"/>
        <w:jc w:val="both"/>
      </w:pPr>
      <w:r>
        <w:rPr>
          <w:sz w:val="20"/>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bookmarkStart w:id="3868" w:name="P3868"/>
    <w:bookmarkEnd w:id="3868"/>
    <w:p>
      <w:pPr>
        <w:pStyle w:val="0"/>
        <w:spacing w:before="200" w:line-rule="auto"/>
        <w:ind w:firstLine="540"/>
        <w:jc w:val="both"/>
      </w:pPr>
      <w:r>
        <w:rPr>
          <w:sz w:val="20"/>
        </w:rPr>
        <w:t xml:space="preserve">17. Абзац утратил силу.</w:t>
      </w:r>
    </w:p>
    <w:bookmarkStart w:id="3869" w:name="P3869"/>
    <w:bookmarkEnd w:id="3869"/>
    <w:p>
      <w:pPr>
        <w:pStyle w:val="0"/>
        <w:spacing w:before="200" w:line-rule="auto"/>
        <w:ind w:firstLine="540"/>
        <w:jc w:val="both"/>
      </w:pPr>
      <w:r>
        <w:rPr>
          <w:sz w:val="20"/>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pPr>
        <w:pStyle w:val="0"/>
        <w:spacing w:before="200" w:line-rule="auto"/>
        <w:ind w:firstLine="540"/>
        <w:jc w:val="both"/>
      </w:pPr>
      <w:r>
        <w:rPr>
          <w:sz w:val="20"/>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history="0" w:anchor="P3868" w:tooltip="17. Абзац утратил силу.">
        <w:r>
          <w:rPr>
            <w:sz w:val="20"/>
            <w:color w:val="0000ff"/>
          </w:rPr>
          <w:t xml:space="preserve">абзацем первым</w:t>
        </w:r>
      </w:hyperlink>
      <w:r>
        <w:rPr>
          <w:sz w:val="20"/>
        </w:rPr>
        <w:t xml:space="preserve"> или </w:t>
      </w:r>
      <w:hyperlink w:history="0" w:anchor="P3869" w:tooltip="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
        <w:r>
          <w:rPr>
            <w:sz w:val="20"/>
            <w:color w:val="0000ff"/>
          </w:rPr>
          <w:t xml:space="preserve">вторым</w:t>
        </w:r>
      </w:hyperlink>
      <w:r>
        <w:rPr>
          <w:sz w:val="20"/>
        </w:rPr>
        <w:t xml:space="preserve"> настоящего пункта, в случае необоснованного уклонения либо отказа от ее уплаты.</w:t>
      </w:r>
    </w:p>
    <w:p>
      <w:pPr>
        <w:pStyle w:val="0"/>
        <w:spacing w:before="200" w:line-rule="auto"/>
        <w:ind w:firstLine="540"/>
        <w:jc w:val="both"/>
      </w:pPr>
      <w:r>
        <w:rPr>
          <w:sz w:val="20"/>
        </w:rPr>
        <w:t xml:space="preserve">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pPr>
        <w:pStyle w:val="0"/>
        <w:jc w:val="both"/>
      </w:pPr>
      <w:r>
        <w:rPr>
          <w:sz w:val="20"/>
        </w:rPr>
      </w:r>
    </w:p>
    <w:p>
      <w:pPr>
        <w:pStyle w:val="0"/>
        <w:outlineLvl w:val="2"/>
        <w:jc w:val="center"/>
      </w:pPr>
      <w:r>
        <w:rPr>
          <w:sz w:val="20"/>
        </w:rPr>
        <w:t xml:space="preserve">VI. Порядок разрешения споров</w:t>
      </w:r>
    </w:p>
    <w:p>
      <w:pPr>
        <w:pStyle w:val="0"/>
        <w:jc w:val="both"/>
      </w:pPr>
      <w:r>
        <w:rPr>
          <w:sz w:val="20"/>
        </w:rPr>
      </w:r>
    </w:p>
    <w:p>
      <w:pPr>
        <w:pStyle w:val="0"/>
        <w:ind w:firstLine="540"/>
        <w:jc w:val="both"/>
      </w:pPr>
      <w:r>
        <w:rPr>
          <w:sz w:val="20"/>
        </w:rPr>
        <w:t xml:space="preserve">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pPr>
        <w:pStyle w:val="0"/>
        <w:jc w:val="both"/>
      </w:pPr>
      <w:r>
        <w:rPr>
          <w:sz w:val="20"/>
        </w:rPr>
      </w:r>
    </w:p>
    <w:p>
      <w:pPr>
        <w:pStyle w:val="0"/>
        <w:outlineLvl w:val="2"/>
        <w:jc w:val="center"/>
      </w:pPr>
      <w:r>
        <w:rPr>
          <w:sz w:val="20"/>
        </w:rPr>
        <w:t xml:space="preserve">VII. Заключительные положения</w:t>
      </w:r>
    </w:p>
    <w:p>
      <w:pPr>
        <w:pStyle w:val="0"/>
        <w:jc w:val="both"/>
      </w:pPr>
      <w:r>
        <w:rPr>
          <w:sz w:val="20"/>
        </w:rPr>
      </w:r>
    </w:p>
    <w:p>
      <w:pPr>
        <w:pStyle w:val="0"/>
        <w:ind w:firstLine="540"/>
        <w:jc w:val="both"/>
      </w:pPr>
      <w:r>
        <w:rPr>
          <w:sz w:val="20"/>
        </w:rPr>
        <w:t xml:space="preserve">21. Настоящий договор считается заключенным со дня оплаты заявителем счета на оплату технологического присоединения по договору.</w:t>
      </w:r>
    </w:p>
    <w:p>
      <w:pPr>
        <w:pStyle w:val="0"/>
        <w:spacing w:before="200" w:line-rule="auto"/>
        <w:ind w:firstLine="540"/>
        <w:jc w:val="both"/>
      </w:pPr>
      <w:r>
        <w:rPr>
          <w:sz w:val="20"/>
        </w:rPr>
        <w:t xml:space="preserve">22. Настоящий договор составлен и подписан в двух экземплярах, по одному для каждой из Сторон.</w:t>
      </w:r>
    </w:p>
    <w:p>
      <w:pPr>
        <w:pStyle w:val="0"/>
        <w:jc w:val="both"/>
      </w:pPr>
      <w:r>
        <w:rPr>
          <w:sz w:val="20"/>
        </w:rPr>
      </w:r>
    </w:p>
    <w:p>
      <w:pPr>
        <w:pStyle w:val="0"/>
        <w:outlineLvl w:val="2"/>
        <w:jc w:val="center"/>
      </w:pPr>
      <w:r>
        <w:rPr>
          <w:sz w:val="20"/>
        </w:rPr>
        <w:t xml:space="preserve">Реквизиты Сторон</w:t>
      </w:r>
    </w:p>
    <w:p>
      <w:pPr>
        <w:pStyle w:val="0"/>
        <w:jc w:val="both"/>
      </w:pPr>
      <w:r>
        <w:rPr>
          <w:sz w:val="20"/>
        </w:rPr>
      </w:r>
    </w:p>
    <w:tbl>
      <w:tblPr>
        <w:tblInd w:w="0" w:type="dxa"/>
        <w:tblLayout w:type="fixed"/>
        <w:tblCellMar>
          <w:top w:w="102" w:type="dxa"/>
          <w:left w:w="62" w:type="dxa"/>
          <w:bottom w:w="102" w:type="dxa"/>
          <w:right w:w="62" w:type="dxa"/>
        </w:tblCellMar>
      </w:tblPr>
      <w:tblGrid>
        <w:gridCol w:w="4252"/>
        <w:gridCol w:w="360"/>
        <w:gridCol w:w="4444"/>
      </w:tblGrid>
      <w:tr>
        <w:tc>
          <w:tcPr>
            <w:tcW w:w="4252" w:type="dxa"/>
            <w:tcBorders>
              <w:top w:val="nil"/>
              <w:left w:val="nil"/>
              <w:bottom w:val="nil"/>
              <w:right w:val="nil"/>
            </w:tcBorders>
          </w:tcPr>
          <w:p>
            <w:pPr>
              <w:pStyle w:val="0"/>
              <w:jc w:val="both"/>
            </w:pPr>
            <w:r>
              <w:rPr>
                <w:sz w:val="20"/>
              </w:rPr>
              <w:t xml:space="preserve">Сетевая организация</w:t>
            </w:r>
          </w:p>
          <w:p>
            <w:pPr>
              <w:pStyle w:val="0"/>
              <w:jc w:val="both"/>
            </w:pPr>
            <w:r>
              <w:rPr>
                <w:sz w:val="20"/>
              </w:rPr>
              <w:t xml:space="preserve">____________________________________</w:t>
            </w:r>
          </w:p>
          <w:p>
            <w:pPr>
              <w:pStyle w:val="0"/>
              <w:jc w:val="center"/>
            </w:pPr>
            <w:r>
              <w:rPr>
                <w:sz w:val="20"/>
              </w:rPr>
              <w:t xml:space="preserve">(наименование сетевой организации)</w:t>
            </w:r>
          </w:p>
          <w:p>
            <w:pPr>
              <w:pStyle w:val="0"/>
              <w:jc w:val="both"/>
            </w:pPr>
            <w:r>
              <w:rPr>
                <w:sz w:val="20"/>
              </w:rPr>
              <w:t xml:space="preserve">____________________________________</w:t>
            </w:r>
          </w:p>
          <w:p>
            <w:pPr>
              <w:pStyle w:val="0"/>
              <w:jc w:val="center"/>
            </w:pPr>
            <w:r>
              <w:rPr>
                <w:sz w:val="20"/>
              </w:rPr>
              <w:t xml:space="preserve">(место нахождения)</w:t>
            </w:r>
          </w:p>
          <w:p>
            <w:pPr>
              <w:pStyle w:val="0"/>
              <w:jc w:val="both"/>
            </w:pPr>
            <w:r>
              <w:rPr>
                <w:sz w:val="20"/>
              </w:rPr>
              <w:t xml:space="preserve">ИНН/КПП ___________________________</w:t>
            </w:r>
          </w:p>
          <w:p>
            <w:pPr>
              <w:pStyle w:val="0"/>
              <w:jc w:val="both"/>
            </w:pPr>
            <w:r>
              <w:rPr>
                <w:sz w:val="20"/>
              </w:rPr>
              <w:t xml:space="preserve">____________________________________</w:t>
            </w:r>
          </w:p>
          <w:p>
            <w:pPr>
              <w:pStyle w:val="0"/>
              <w:jc w:val="both"/>
            </w:pPr>
            <w:r>
              <w:rPr>
                <w:sz w:val="20"/>
              </w:rPr>
              <w:t xml:space="preserve">р/с __________________________________</w:t>
            </w:r>
          </w:p>
          <w:p>
            <w:pPr>
              <w:pStyle w:val="0"/>
              <w:jc w:val="both"/>
            </w:pPr>
            <w:r>
              <w:rPr>
                <w:sz w:val="20"/>
              </w:rPr>
              <w:t xml:space="preserve">к/с __________________________________</w:t>
            </w:r>
          </w:p>
          <w:p>
            <w:pPr>
              <w:pStyle w:val="0"/>
              <w:jc w:val="both"/>
            </w:pPr>
            <w:r>
              <w:rPr>
                <w:sz w:val="20"/>
              </w:rPr>
              <w:t xml:space="preserve">____________________________________</w:t>
            </w:r>
          </w:p>
          <w:p>
            <w:pPr>
              <w:pStyle w:val="0"/>
              <w:jc w:val="center"/>
            </w:pPr>
            <w:r>
              <w:rPr>
                <w:sz w:val="20"/>
              </w:rPr>
              <w:t xml:space="preserve">(должность, фамилия, имя, отчество лица,</w:t>
            </w:r>
          </w:p>
          <w:p>
            <w:pPr>
              <w:pStyle w:val="0"/>
              <w:jc w:val="both"/>
            </w:pPr>
            <w:r>
              <w:rPr>
                <w:sz w:val="20"/>
              </w:rPr>
              <w:t xml:space="preserve">____________________________________</w:t>
            </w:r>
          </w:p>
          <w:p>
            <w:pPr>
              <w:pStyle w:val="0"/>
              <w:jc w:val="center"/>
            </w:pPr>
            <w:r>
              <w:rPr>
                <w:sz w:val="20"/>
              </w:rPr>
              <w:t xml:space="preserve">действующего от имени сетевой организации)</w:t>
            </w:r>
          </w:p>
        </w:tc>
        <w:tc>
          <w:tcPr>
            <w:tcW w:w="360" w:type="dxa"/>
            <w:tcBorders>
              <w:top w:val="nil"/>
              <w:left w:val="nil"/>
              <w:bottom w:val="nil"/>
              <w:right w:val="nil"/>
            </w:tcBorders>
          </w:tcPr>
          <w:p>
            <w:pPr>
              <w:pStyle w:val="0"/>
            </w:pPr>
            <w:r>
              <w:rPr>
                <w:sz w:val="20"/>
              </w:rPr>
            </w:r>
          </w:p>
        </w:tc>
        <w:tc>
          <w:tcPr>
            <w:tcW w:w="4444" w:type="dxa"/>
            <w:tcBorders>
              <w:top w:val="nil"/>
              <w:left w:val="nil"/>
              <w:bottom w:val="nil"/>
              <w:right w:val="nil"/>
            </w:tcBorders>
            <w:vMerge w:val="restart"/>
          </w:tcPr>
          <w:p>
            <w:pPr>
              <w:pStyle w:val="0"/>
              <w:jc w:val="both"/>
            </w:pPr>
            <w:r>
              <w:rPr>
                <w:sz w:val="20"/>
              </w:rPr>
              <w:t xml:space="preserve">Заявитель</w:t>
            </w:r>
          </w:p>
          <w:p>
            <w:pPr>
              <w:pStyle w:val="0"/>
              <w:jc w:val="both"/>
            </w:pPr>
            <w:r>
              <w:rPr>
                <w:sz w:val="20"/>
              </w:rPr>
              <w:t xml:space="preserve">____________________________________</w:t>
            </w:r>
          </w:p>
          <w:p>
            <w:pPr>
              <w:pStyle w:val="0"/>
              <w:jc w:val="center"/>
            </w:pPr>
            <w:r>
              <w:rPr>
                <w:sz w:val="20"/>
              </w:rPr>
              <w:t xml:space="preserve">(для юридических лиц - полное наименование)</w:t>
            </w:r>
          </w:p>
          <w:p>
            <w:pPr>
              <w:pStyle w:val="0"/>
              <w:jc w:val="both"/>
            </w:pPr>
            <w:r>
              <w:rPr>
                <w:sz w:val="20"/>
              </w:rPr>
              <w:t xml:space="preserve">____________________________________</w:t>
            </w:r>
          </w:p>
          <w:p>
            <w:pPr>
              <w:pStyle w:val="0"/>
              <w:jc w:val="center"/>
            </w:pPr>
            <w:r>
              <w:rPr>
                <w:sz w:val="20"/>
              </w:rPr>
              <w:t xml:space="preserve">(номер записи в Едином государственном реестре юридических лиц)</w:t>
            </w:r>
          </w:p>
          <w:p>
            <w:pPr>
              <w:pStyle w:val="0"/>
              <w:jc w:val="both"/>
            </w:pPr>
            <w:r>
              <w:rPr>
                <w:sz w:val="20"/>
              </w:rPr>
              <w:t xml:space="preserve">ИНН ________________________________</w:t>
            </w:r>
          </w:p>
          <w:p>
            <w:pPr>
              <w:pStyle w:val="0"/>
              <w:jc w:val="both"/>
            </w:pPr>
            <w:r>
              <w:rPr>
                <w:sz w:val="20"/>
              </w:rPr>
              <w:t xml:space="preserve">____________________________________</w:t>
            </w:r>
          </w:p>
          <w:p>
            <w:pPr>
              <w:pStyle w:val="0"/>
              <w:jc w:val="center"/>
            </w:pPr>
            <w:r>
              <w:rPr>
                <w:sz w:val="20"/>
              </w:rPr>
              <w:t xml:space="preserve">(должность, фамилия, имя, отчество лица,</w:t>
            </w:r>
          </w:p>
          <w:p>
            <w:pPr>
              <w:pStyle w:val="0"/>
              <w:jc w:val="both"/>
            </w:pPr>
            <w:r>
              <w:rPr>
                <w:sz w:val="20"/>
              </w:rPr>
              <w:t xml:space="preserve">____________________________________</w:t>
            </w:r>
          </w:p>
          <w:p>
            <w:pPr>
              <w:pStyle w:val="0"/>
              <w:jc w:val="center"/>
            </w:pPr>
            <w:r>
              <w:rPr>
                <w:sz w:val="20"/>
              </w:rPr>
              <w:t xml:space="preserve">действующего от имени юридического лица)</w:t>
            </w:r>
          </w:p>
          <w:p>
            <w:pPr>
              <w:pStyle w:val="0"/>
              <w:jc w:val="both"/>
            </w:pPr>
            <w:r>
              <w:rPr>
                <w:sz w:val="20"/>
              </w:rPr>
              <w:t xml:space="preserve">____________________________________</w:t>
            </w:r>
          </w:p>
          <w:p>
            <w:pPr>
              <w:pStyle w:val="0"/>
              <w:jc w:val="both"/>
            </w:pPr>
            <w:r>
              <w:rPr>
                <w:sz w:val="20"/>
              </w:rPr>
              <w:t xml:space="preserve">____________________________________</w:t>
            </w:r>
          </w:p>
          <w:p>
            <w:pPr>
              <w:pStyle w:val="0"/>
              <w:jc w:val="center"/>
            </w:pPr>
            <w:r>
              <w:rPr>
                <w:sz w:val="20"/>
              </w:rPr>
              <w:t xml:space="preserve">(место нахождения)</w:t>
            </w:r>
          </w:p>
          <w:p>
            <w:pPr>
              <w:pStyle w:val="0"/>
              <w:jc w:val="both"/>
            </w:pPr>
            <w:r>
              <w:rPr>
                <w:sz w:val="20"/>
              </w:rPr>
              <w:t xml:space="preserve">____________________________________</w:t>
            </w:r>
          </w:p>
          <w:p>
            <w:pPr>
              <w:pStyle w:val="0"/>
              <w:jc w:val="center"/>
            </w:pPr>
            <w:r>
              <w:rPr>
                <w:sz w:val="20"/>
              </w:rPr>
              <w:t xml:space="preserve">(для индивидуальных предпринимателей - фамилия, имя, отчество)</w:t>
            </w:r>
          </w:p>
          <w:p>
            <w:pPr>
              <w:pStyle w:val="0"/>
              <w:jc w:val="both"/>
            </w:pPr>
            <w:r>
              <w:rPr>
                <w:sz w:val="20"/>
              </w:rPr>
              <w:t xml:space="preserve">____________________________________</w:t>
            </w:r>
          </w:p>
          <w:p>
            <w:pPr>
              <w:pStyle w:val="0"/>
              <w:jc w:val="center"/>
            </w:pPr>
            <w:r>
              <w:rPr>
                <w:sz w:val="20"/>
              </w:rPr>
              <w:t xml:space="preserve">(номер записи в Едином государственном реестре индивидуальных предпринимателей и дата ее внесения в реестр)</w:t>
            </w:r>
          </w:p>
          <w:p>
            <w:pPr>
              <w:pStyle w:val="0"/>
              <w:jc w:val="both"/>
            </w:pPr>
            <w:r>
              <w:rPr>
                <w:sz w:val="20"/>
              </w:rPr>
              <w:t xml:space="preserve">____________________________________</w:t>
            </w:r>
          </w:p>
          <w:p>
            <w:pPr>
              <w:pStyle w:val="0"/>
              <w:jc w:val="center"/>
            </w:pPr>
            <w:r>
              <w:rPr>
                <w:sz w:val="20"/>
              </w:rPr>
              <w:t xml:space="preserve">(серия, номер и дата выдачи паспорта или</w:t>
            </w:r>
          </w:p>
          <w:p>
            <w:pPr>
              <w:pStyle w:val="0"/>
              <w:jc w:val="both"/>
            </w:pPr>
            <w:r>
              <w:rPr>
                <w:sz w:val="20"/>
              </w:rPr>
              <w:t xml:space="preserve">____________________________________</w:t>
            </w:r>
          </w:p>
          <w:p>
            <w:pPr>
              <w:pStyle w:val="0"/>
              <w:jc w:val="center"/>
            </w:pPr>
            <w:r>
              <w:rPr>
                <w:sz w:val="20"/>
              </w:rPr>
              <w:t xml:space="preserve">иного документа, удостоверяющего личность в соответствии с законодательством Российской Федерации)</w:t>
            </w:r>
          </w:p>
          <w:p>
            <w:pPr>
              <w:pStyle w:val="0"/>
              <w:jc w:val="both"/>
            </w:pPr>
            <w:r>
              <w:rPr>
                <w:sz w:val="20"/>
              </w:rPr>
              <w:t xml:space="preserve">ИНН ________________________________</w:t>
            </w:r>
          </w:p>
          <w:p>
            <w:pPr>
              <w:pStyle w:val="0"/>
              <w:jc w:val="both"/>
            </w:pPr>
            <w:r>
              <w:rPr>
                <w:sz w:val="20"/>
              </w:rPr>
              <w:t xml:space="preserve">____________________________________</w:t>
            </w:r>
          </w:p>
          <w:p>
            <w:pPr>
              <w:pStyle w:val="0"/>
              <w:jc w:val="both"/>
            </w:pPr>
            <w:r>
              <w:rPr>
                <w:sz w:val="20"/>
              </w:rPr>
              <w:t xml:space="preserve">____________________________________</w:t>
            </w:r>
          </w:p>
          <w:p>
            <w:pPr>
              <w:pStyle w:val="0"/>
              <w:jc w:val="center"/>
            </w:pPr>
            <w:r>
              <w:rPr>
                <w:sz w:val="20"/>
              </w:rPr>
              <w:t xml:space="preserve">(место жительства)</w:t>
            </w:r>
          </w:p>
        </w:tc>
      </w:tr>
      <w:tr>
        <w:tc>
          <w:tcPr>
            <w:tcW w:w="4252" w:type="dxa"/>
            <w:tcBorders>
              <w:top w:val="nil"/>
              <w:left w:val="nil"/>
              <w:bottom w:val="nil"/>
              <w:right w:val="nil"/>
            </w:tcBorders>
            <w:vMerge w:val="restart"/>
          </w:tcPr>
          <w:p>
            <w:pPr>
              <w:pStyle w:val="0"/>
              <w:jc w:val="right"/>
            </w:pPr>
            <w:r>
              <w:rPr>
                <w:sz w:val="20"/>
              </w:rPr>
              <w:t xml:space="preserve">_________</w:t>
            </w:r>
          </w:p>
          <w:p>
            <w:pPr>
              <w:pStyle w:val="0"/>
              <w:jc w:val="right"/>
            </w:pPr>
            <w:r>
              <w:rPr>
                <w:sz w:val="20"/>
              </w:rPr>
              <w:t xml:space="preserve">(подпись)</w:t>
            </w:r>
          </w:p>
          <w:p>
            <w:pPr>
              <w:pStyle w:val="0"/>
              <w:jc w:val="both"/>
            </w:pPr>
            <w:r>
              <w:rPr>
                <w:sz w:val="20"/>
              </w:rPr>
              <w:t xml:space="preserve">М.П.</w:t>
            </w:r>
          </w:p>
        </w:tc>
        <w:tc>
          <w:tcPr>
            <w:tcW w:w="360" w:type="dxa"/>
            <w:tcBorders>
              <w:top w:val="nil"/>
              <w:left w:val="nil"/>
              <w:bottom w:val="nil"/>
              <w:right w:val="nil"/>
            </w:tcBorders>
            <w:vMerge w:val="restart"/>
          </w:tcPr>
          <w:p>
            <w:pPr>
              <w:pStyle w:val="0"/>
            </w:pPr>
            <w:r>
              <w:rPr>
                <w:sz w:val="20"/>
              </w:rPr>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444" w:type="dxa"/>
            <w:tcBorders>
              <w:top w:val="nil"/>
              <w:left w:val="nil"/>
              <w:bottom w:val="nil"/>
              <w:right w:val="nil"/>
            </w:tcBorders>
          </w:tcPr>
          <w:p>
            <w:pPr>
              <w:pStyle w:val="0"/>
              <w:jc w:val="right"/>
            </w:pPr>
            <w:r>
              <w:rPr>
                <w:sz w:val="20"/>
              </w:rPr>
              <w:t xml:space="preserve">_________</w:t>
            </w:r>
          </w:p>
          <w:p>
            <w:pPr>
              <w:pStyle w:val="0"/>
              <w:jc w:val="right"/>
            </w:pPr>
            <w:r>
              <w:rPr>
                <w:sz w:val="20"/>
              </w:rPr>
              <w:t xml:space="preserve">(подпись)</w:t>
            </w:r>
          </w:p>
          <w:p>
            <w:pPr>
              <w:pStyle w:val="0"/>
              <w:jc w:val="both"/>
            </w:pPr>
            <w:r>
              <w:rPr>
                <w:sz w:val="20"/>
              </w:rPr>
              <w:t xml:space="preserve">М.П.</w:t>
            </w:r>
          </w:p>
        </w:tc>
      </w:tr>
    </w:tbl>
    <w:p>
      <w:pPr>
        <w:pStyle w:val="0"/>
        <w:jc w:val="both"/>
      </w:pPr>
      <w:r>
        <w:rPr>
          <w:sz w:val="20"/>
        </w:rPr>
      </w:r>
    </w:p>
    <w:p>
      <w:pPr>
        <w:pStyle w:val="0"/>
        <w:ind w:firstLine="540"/>
        <w:jc w:val="both"/>
      </w:pPr>
      <w:r>
        <w:rPr>
          <w:sz w:val="20"/>
        </w:rPr>
        <w:t xml:space="preserve">--------------------------------</w:t>
      </w:r>
    </w:p>
    <w:bookmarkStart w:id="3933" w:name="P3933"/>
    <w:bookmarkEnd w:id="3933"/>
    <w:p>
      <w:pPr>
        <w:pStyle w:val="0"/>
        <w:spacing w:before="200" w:line-rule="auto"/>
        <w:ind w:firstLine="540"/>
        <w:jc w:val="both"/>
      </w:pPr>
      <w:r>
        <w:rPr>
          <w:sz w:val="20"/>
        </w:rPr>
        <w:t xml:space="preserve">&lt;1&gt;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bookmarkStart w:id="3934" w:name="P3934"/>
    <w:bookmarkEnd w:id="3934"/>
    <w:p>
      <w:pPr>
        <w:pStyle w:val="0"/>
        <w:spacing w:before="200" w:line-rule="auto"/>
        <w:ind w:firstLine="540"/>
        <w:jc w:val="both"/>
      </w:pPr>
      <w:r>
        <w:rPr>
          <w:sz w:val="20"/>
        </w:rPr>
        <w:t xml:space="preserve">&lt;2&gt;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w:t>
      </w:r>
    </w:p>
    <w:p>
      <w:pPr>
        <w:pStyle w:val="0"/>
        <w:jc w:val="both"/>
      </w:pPr>
      <w:r>
        <w:rPr>
          <w:sz w:val="20"/>
        </w:rPr>
        <w:t xml:space="preserve">(в ред. </w:t>
      </w:r>
      <w:hyperlink w:history="0" r:id="rId1123"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30.06.2022 N 1178)</w:t>
      </w:r>
    </w:p>
    <w:bookmarkStart w:id="3936" w:name="P3936"/>
    <w:bookmarkEnd w:id="3936"/>
    <w:p>
      <w:pPr>
        <w:pStyle w:val="0"/>
        <w:spacing w:before="200" w:line-rule="auto"/>
        <w:ind w:firstLine="540"/>
        <w:jc w:val="both"/>
      </w:pPr>
      <w:r>
        <w:rPr>
          <w:sz w:val="20"/>
        </w:rPr>
        <w:t xml:space="preserve">&lt;3&gt; Срок действия технических условий не может составлять менее 2 лет и более 5 лет.</w:t>
      </w:r>
    </w:p>
    <w:bookmarkStart w:id="3937" w:name="P3937"/>
    <w:bookmarkEnd w:id="3937"/>
    <w:p>
      <w:pPr>
        <w:pStyle w:val="0"/>
        <w:spacing w:before="200" w:line-rule="auto"/>
        <w:ind w:firstLine="540"/>
        <w:jc w:val="both"/>
      </w:pPr>
      <w:r>
        <w:rPr>
          <w:sz w:val="20"/>
        </w:rPr>
        <w:t xml:space="preserve">&lt;4&gt; - &lt;5&gt; Сноски исключены.</w:t>
      </w:r>
    </w:p>
    <w:bookmarkStart w:id="3938" w:name="P3938"/>
    <w:bookmarkEnd w:id="3938"/>
    <w:p>
      <w:pPr>
        <w:pStyle w:val="0"/>
        <w:spacing w:before="200" w:line-rule="auto"/>
        <w:ind w:firstLine="540"/>
        <w:jc w:val="both"/>
      </w:pPr>
      <w:r>
        <w:rPr>
          <w:sz w:val="20"/>
        </w:rPr>
        <w:t xml:space="preserve">&lt;6&gt;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w:t>
      </w:r>
    </w:p>
    <w:p>
      <w:pPr>
        <w:pStyle w:val="0"/>
        <w:jc w:val="right"/>
      </w:pPr>
      <w:r>
        <w:rPr>
          <w:sz w:val="20"/>
        </w:rPr>
        <w:t xml:space="preserve">к типовому договору</w:t>
      </w:r>
    </w:p>
    <w:p>
      <w:pPr>
        <w:pStyle w:val="0"/>
        <w:jc w:val="right"/>
      </w:pPr>
      <w:r>
        <w:rPr>
          <w:sz w:val="20"/>
        </w:rPr>
        <w:t xml:space="preserve">об осуществлении технологического</w:t>
      </w:r>
    </w:p>
    <w:p>
      <w:pPr>
        <w:pStyle w:val="0"/>
        <w:jc w:val="right"/>
      </w:pPr>
      <w:r>
        <w:rPr>
          <w:sz w:val="20"/>
        </w:rPr>
        <w:t xml:space="preserve">присоединения к электрическим сетям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124"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color w:val="392c69"/>
              </w:rPr>
              <w:t xml:space="preserve"> Правительства РФ от 30.06.2022 N 1178)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3951" w:name="P3951"/>
    <w:bookmarkEnd w:id="3951"/>
    <w:p>
      <w:pPr>
        <w:pStyle w:val="1"/>
        <w:jc w:val="both"/>
      </w:pPr>
      <w:r>
        <w:rPr>
          <w:sz w:val="20"/>
        </w:rPr>
        <w:t xml:space="preserve">                            ТЕХНИЧЕСКИЕ УСЛОВИЯ</w:t>
      </w:r>
    </w:p>
    <w:p>
      <w:pPr>
        <w:pStyle w:val="1"/>
        <w:jc w:val="both"/>
      </w:pPr>
      <w:r>
        <w:rPr>
          <w:sz w:val="20"/>
        </w:rPr>
        <w:t xml:space="preserve">                  для присоединения к электрическим сетям</w:t>
      </w:r>
    </w:p>
    <w:p>
      <w:pPr>
        <w:pStyle w:val="1"/>
        <w:jc w:val="both"/>
      </w:pPr>
      <w:r>
        <w:rPr>
          <w:sz w:val="20"/>
        </w:rPr>
      </w:r>
    </w:p>
    <w:p>
      <w:pPr>
        <w:pStyle w:val="1"/>
        <w:jc w:val="both"/>
      </w:pPr>
      <w:r>
        <w:rPr>
          <w:sz w:val="20"/>
        </w:rPr>
        <w:t xml:space="preserve">         (для юридических лиц или индивидуальных предпринимателей</w:t>
      </w:r>
    </w:p>
    <w:p>
      <w:pPr>
        <w:pStyle w:val="1"/>
        <w:jc w:val="both"/>
      </w:pPr>
      <w:r>
        <w:rPr>
          <w:sz w:val="20"/>
        </w:rPr>
        <w:t xml:space="preserve">         в целях технологического присоединения энергопринимающих</w:t>
      </w:r>
    </w:p>
    <w:p>
      <w:pPr>
        <w:pStyle w:val="1"/>
        <w:jc w:val="both"/>
      </w:pPr>
      <w:r>
        <w:rPr>
          <w:sz w:val="20"/>
        </w:rPr>
        <w:t xml:space="preserve">       устройств, максимальная мощность которых составляет до 15 кВт</w:t>
      </w:r>
    </w:p>
    <w:p>
      <w:pPr>
        <w:pStyle w:val="1"/>
        <w:jc w:val="both"/>
      </w:pPr>
      <w:r>
        <w:rPr>
          <w:sz w:val="20"/>
        </w:rPr>
        <w:t xml:space="preserve">        включительно (с учетом ранее присоединенных в данной точке</w:t>
      </w:r>
    </w:p>
    <w:p>
      <w:pPr>
        <w:pStyle w:val="1"/>
        <w:jc w:val="both"/>
      </w:pPr>
      <w:r>
        <w:rPr>
          <w:sz w:val="20"/>
        </w:rPr>
        <w:t xml:space="preserve">                присоединения энергопринимающих устройств)</w:t>
      </w:r>
    </w:p>
    <w:p>
      <w:pPr>
        <w:pStyle w:val="1"/>
        <w:jc w:val="both"/>
      </w:pPr>
      <w:r>
        <w:rPr>
          <w:sz w:val="20"/>
        </w:rPr>
      </w:r>
    </w:p>
    <w:p>
      <w:pPr>
        <w:pStyle w:val="1"/>
        <w:jc w:val="both"/>
      </w:pPr>
      <w:r>
        <w:rPr>
          <w:sz w:val="20"/>
        </w:rPr>
        <w:t xml:space="preserve">N                                                    "__" _________ 20__ г.</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сетевой организации, выдавшей технические условия)</w:t>
      </w:r>
    </w:p>
    <w:p>
      <w:pPr>
        <w:pStyle w:val="1"/>
        <w:jc w:val="both"/>
      </w:pPr>
      <w:r>
        <w:rPr>
          <w:sz w:val="20"/>
        </w:rPr>
        <w:t xml:space="preserve">___________________________________________________________________________</w:t>
      </w:r>
    </w:p>
    <w:p>
      <w:pPr>
        <w:pStyle w:val="1"/>
        <w:jc w:val="both"/>
      </w:pPr>
      <w:r>
        <w:rPr>
          <w:sz w:val="20"/>
        </w:rPr>
        <w:t xml:space="preserve">            (полное наименование заявителя - юридического лица;</w:t>
      </w:r>
    </w:p>
    <w:p>
      <w:pPr>
        <w:pStyle w:val="1"/>
        <w:jc w:val="both"/>
      </w:pPr>
      <w:r>
        <w:rPr>
          <w:sz w:val="20"/>
        </w:rPr>
        <w:t xml:space="preserve">    фамилия, имя, отчество заявителя - индивидуального предпринимателя)</w:t>
      </w:r>
    </w:p>
    <w:p>
      <w:pPr>
        <w:pStyle w:val="1"/>
        <w:jc w:val="both"/>
      </w:pPr>
      <w:r>
        <w:rPr>
          <w:sz w:val="20"/>
        </w:rPr>
      </w:r>
    </w:p>
    <w:p>
      <w:pPr>
        <w:pStyle w:val="1"/>
        <w:jc w:val="both"/>
      </w:pPr>
      <w:r>
        <w:rPr>
          <w:sz w:val="20"/>
        </w:rPr>
        <w:t xml:space="preserve">    1. Наименование энергопринимающих устройств заявителя _________________</w:t>
      </w:r>
    </w:p>
    <w:p>
      <w:pPr>
        <w:pStyle w:val="1"/>
        <w:jc w:val="both"/>
      </w:pPr>
      <w:r>
        <w:rPr>
          <w:sz w:val="20"/>
        </w:rPr>
        <w:t xml:space="preserve">__________________________________________________________________________.</w:t>
      </w:r>
    </w:p>
    <w:p>
      <w:pPr>
        <w:pStyle w:val="1"/>
        <w:jc w:val="both"/>
      </w:pPr>
      <w:r>
        <w:rPr>
          <w:sz w:val="20"/>
        </w:rPr>
        <w:t xml:space="preserve">    2.  Наименование  и место нахождения объектов, в целях электроснабжения</w:t>
      </w:r>
    </w:p>
    <w:p>
      <w:pPr>
        <w:pStyle w:val="1"/>
        <w:jc w:val="both"/>
      </w:pPr>
      <w:r>
        <w:rPr>
          <w:sz w:val="20"/>
        </w:rPr>
        <w:t xml:space="preserve">которых   осуществляется  технологическое  присоединение  энергопринимающих</w:t>
      </w:r>
    </w:p>
    <w:p>
      <w:pPr>
        <w:pStyle w:val="1"/>
        <w:jc w:val="both"/>
      </w:pPr>
      <w:r>
        <w:rPr>
          <w:sz w:val="20"/>
        </w:rPr>
        <w:t xml:space="preserve">устройств заявителя, 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3.  Максимальная  мощность  присоединяемых  энергопринимающих устройств</w:t>
      </w:r>
    </w:p>
    <w:p>
      <w:pPr>
        <w:pStyle w:val="1"/>
        <w:jc w:val="both"/>
      </w:pPr>
      <w:r>
        <w:rPr>
          <w:sz w:val="20"/>
        </w:rPr>
        <w:t xml:space="preserve">заявителя составляет ________________________________________________ (кВт)</w:t>
      </w:r>
    </w:p>
    <w:p>
      <w:pPr>
        <w:pStyle w:val="1"/>
        <w:jc w:val="both"/>
      </w:pPr>
      <w:r>
        <w:rPr>
          <w:sz w:val="20"/>
        </w:rPr>
        <w:t xml:space="preserve">                       (если энергопринимающее устройство вводится</w:t>
      </w:r>
    </w:p>
    <w:p>
      <w:pPr>
        <w:pStyle w:val="1"/>
        <w:jc w:val="both"/>
      </w:pPr>
      <w:r>
        <w:rPr>
          <w:sz w:val="20"/>
        </w:rPr>
        <w:t xml:space="preserve">___________________________________________________________________________</w:t>
      </w:r>
    </w:p>
    <w:p>
      <w:pPr>
        <w:pStyle w:val="1"/>
        <w:jc w:val="both"/>
      </w:pPr>
      <w:r>
        <w:rPr>
          <w:sz w:val="20"/>
        </w:rPr>
        <w:t xml:space="preserve">        в эксплуатацию по этапам и очередям, указывается поэтапное</w:t>
      </w:r>
    </w:p>
    <w:p>
      <w:pPr>
        <w:pStyle w:val="1"/>
        <w:jc w:val="both"/>
      </w:pPr>
      <w:r>
        <w:rPr>
          <w:sz w:val="20"/>
        </w:rPr>
        <w:t xml:space="preserve">__________________________________________________________________________.</w:t>
      </w:r>
    </w:p>
    <w:p>
      <w:pPr>
        <w:pStyle w:val="1"/>
        <w:jc w:val="both"/>
      </w:pPr>
      <w:r>
        <w:rPr>
          <w:sz w:val="20"/>
        </w:rPr>
        <w:t xml:space="preserve">                         распределение мощности)</w:t>
      </w:r>
    </w:p>
    <w:p>
      <w:pPr>
        <w:pStyle w:val="1"/>
        <w:jc w:val="both"/>
      </w:pPr>
      <w:r>
        <w:rPr>
          <w:sz w:val="20"/>
        </w:rPr>
        <w:t xml:space="preserve">    4. Категория надежности ______________________________________________.</w:t>
      </w:r>
    </w:p>
    <w:p>
      <w:pPr>
        <w:pStyle w:val="1"/>
        <w:jc w:val="both"/>
      </w:pPr>
      <w:r>
        <w:rPr>
          <w:sz w:val="20"/>
        </w:rPr>
        <w:t xml:space="preserve">    5.  Класс  напряжения  электрических  сетей,  к  которым осуществляется</w:t>
      </w:r>
    </w:p>
    <w:p>
      <w:pPr>
        <w:pStyle w:val="1"/>
        <w:jc w:val="both"/>
      </w:pPr>
      <w:r>
        <w:rPr>
          <w:sz w:val="20"/>
        </w:rPr>
        <w:t xml:space="preserve">технологическое присоединение, ______________________________________ (кВ).</w:t>
      </w:r>
    </w:p>
    <w:p>
      <w:pPr>
        <w:pStyle w:val="1"/>
        <w:jc w:val="both"/>
      </w:pPr>
      <w:r>
        <w:rPr>
          <w:sz w:val="20"/>
        </w:rPr>
        <w:t xml:space="preserve">    6. Год  ввода  в  эксплуатацию  энергопринимающих  устройств  заявителя</w:t>
      </w:r>
    </w:p>
    <w:p>
      <w:pPr>
        <w:pStyle w:val="1"/>
        <w:jc w:val="both"/>
      </w:pPr>
      <w:r>
        <w:rPr>
          <w:sz w:val="20"/>
        </w:rPr>
        <w:t xml:space="preserve">__________________________________________________________________________.</w:t>
      </w:r>
    </w:p>
    <w:p>
      <w:pPr>
        <w:pStyle w:val="1"/>
        <w:jc w:val="both"/>
      </w:pPr>
      <w:r>
        <w:rPr>
          <w:sz w:val="20"/>
        </w:rPr>
        <w:t xml:space="preserve">    7.  Точка  (точки) присоединения (вводные распределительные устройства,</w:t>
      </w:r>
    </w:p>
    <w:p>
      <w:pPr>
        <w:pStyle w:val="1"/>
        <w:jc w:val="both"/>
      </w:pPr>
      <w:r>
        <w:rPr>
          <w:sz w:val="20"/>
        </w:rPr>
        <w:t xml:space="preserve">линии  электропередачи,  базовые  подстанции,  генераторы)  и  максимальная</w:t>
      </w:r>
    </w:p>
    <w:p>
      <w:pPr>
        <w:pStyle w:val="1"/>
        <w:jc w:val="both"/>
      </w:pPr>
      <w:r>
        <w:rPr>
          <w:sz w:val="20"/>
        </w:rPr>
        <w:t xml:space="preserve">мощность   энергопринимающих   устройств   по  каждой  точке  присоединения</w:t>
      </w:r>
    </w:p>
    <w:p>
      <w:pPr>
        <w:pStyle w:val="1"/>
        <w:jc w:val="both"/>
      </w:pPr>
      <w:r>
        <w:rPr>
          <w:sz w:val="20"/>
        </w:rPr>
        <w:t xml:space="preserve">______________________________________________ (кВт).</w:t>
      </w:r>
    </w:p>
    <w:p>
      <w:pPr>
        <w:pStyle w:val="1"/>
        <w:jc w:val="both"/>
      </w:pPr>
      <w:r>
        <w:rPr>
          <w:sz w:val="20"/>
        </w:rPr>
        <w:t xml:space="preserve">    8. Основной источник питания _________________________________________.</w:t>
      </w:r>
    </w:p>
    <w:p>
      <w:pPr>
        <w:pStyle w:val="1"/>
        <w:jc w:val="both"/>
      </w:pPr>
      <w:r>
        <w:rPr>
          <w:sz w:val="20"/>
        </w:rPr>
        <w:t xml:space="preserve">    9. Резервный источник питания ________________________________________.</w:t>
      </w:r>
    </w:p>
    <w:p>
      <w:pPr>
        <w:pStyle w:val="1"/>
        <w:jc w:val="both"/>
      </w:pPr>
      <w:r>
        <w:rPr>
          <w:sz w:val="20"/>
        </w:rPr>
        <w:t xml:space="preserve">    10. Сетевая организация осуществляет </w:t>
      </w:r>
      <w:hyperlink w:history="0" w:anchor="P4030" w:tooltip="&lt;1&gt; Указываются обязательства сетевой организации по исполнению технических условий до точки присоединения энергопринимающих устройств заявителя, а также по урегулированию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
        <w:r>
          <w:rPr>
            <w:sz w:val="20"/>
            <w:color w:val="0000ff"/>
          </w:rPr>
          <w:t xml:space="preserve">&lt;1&gt;</w:t>
        </w:r>
      </w:hyperlink>
    </w:p>
    <w:p>
      <w:pPr>
        <w:pStyle w:val="1"/>
        <w:jc w:val="both"/>
      </w:pPr>
      <w:r>
        <w:rPr>
          <w:sz w:val="20"/>
        </w:rPr>
        <w:t xml:space="preserve">___________________________________________________________________________</w:t>
      </w:r>
    </w:p>
    <w:p>
      <w:pPr>
        <w:pStyle w:val="1"/>
        <w:jc w:val="both"/>
      </w:pPr>
      <w:r>
        <w:rPr>
          <w:sz w:val="20"/>
        </w:rPr>
        <w:t xml:space="preserve">    (указываются требования к усилению существующей электрической сети</w:t>
      </w:r>
    </w:p>
    <w:p>
      <w:pPr>
        <w:pStyle w:val="1"/>
        <w:jc w:val="both"/>
      </w:pPr>
      <w:r>
        <w:rPr>
          <w:sz w:val="20"/>
        </w:rPr>
        <w:t xml:space="preserve">___________________________________________________________________________</w:t>
      </w:r>
    </w:p>
    <w:p>
      <w:pPr>
        <w:pStyle w:val="1"/>
        <w:jc w:val="both"/>
      </w:pPr>
      <w:r>
        <w:rPr>
          <w:sz w:val="20"/>
        </w:rPr>
        <w:t xml:space="preserve">    в связи с присоединением новых мощностей (строительство новых линий</w:t>
      </w:r>
    </w:p>
    <w:p>
      <w:pPr>
        <w:pStyle w:val="1"/>
        <w:jc w:val="both"/>
      </w:pPr>
      <w:r>
        <w:rPr>
          <w:sz w:val="20"/>
        </w:rPr>
        <w:t xml:space="preserve">___________________________________________________________________________</w:t>
      </w:r>
    </w:p>
    <w:p>
      <w:pPr>
        <w:pStyle w:val="1"/>
        <w:jc w:val="both"/>
      </w:pPr>
      <w:r>
        <w:rPr>
          <w:sz w:val="20"/>
        </w:rPr>
        <w:t xml:space="preserve">    электропередачи, подстанций, увеличение сечения проводов и кабелей,</w:t>
      </w:r>
    </w:p>
    <w:p>
      <w:pPr>
        <w:pStyle w:val="1"/>
        <w:jc w:val="both"/>
      </w:pPr>
      <w:r>
        <w:rPr>
          <w:sz w:val="20"/>
        </w:rPr>
        <w:t xml:space="preserve">___________________________________________________________________________</w:t>
      </w:r>
    </w:p>
    <w:p>
      <w:pPr>
        <w:pStyle w:val="1"/>
        <w:jc w:val="both"/>
      </w:pPr>
      <w:r>
        <w:rPr>
          <w:sz w:val="20"/>
        </w:rPr>
        <w:t xml:space="preserve">        замена или увеличение мощности трансформаторов, расширение</w:t>
      </w:r>
    </w:p>
    <w:p>
      <w:pPr>
        <w:pStyle w:val="1"/>
        <w:jc w:val="both"/>
      </w:pPr>
      <w:r>
        <w:rPr>
          <w:sz w:val="20"/>
        </w:rPr>
        <w:t xml:space="preserve">___________________________________________________________________________</w:t>
      </w:r>
    </w:p>
    <w:p>
      <w:pPr>
        <w:pStyle w:val="1"/>
        <w:jc w:val="both"/>
      </w:pPr>
      <w:r>
        <w:rPr>
          <w:sz w:val="20"/>
        </w:rPr>
        <w:t xml:space="preserve">   распределительных устройств, модернизация оборудования, реконструкция</w:t>
      </w:r>
    </w:p>
    <w:p>
      <w:pPr>
        <w:pStyle w:val="1"/>
        <w:jc w:val="both"/>
      </w:pPr>
      <w:r>
        <w:rPr>
          <w:sz w:val="20"/>
        </w:rPr>
        <w:t xml:space="preserve">__________________________________________________________________________.</w:t>
      </w:r>
    </w:p>
    <w:p>
      <w:pPr>
        <w:pStyle w:val="1"/>
        <w:jc w:val="both"/>
      </w:pPr>
      <w:r>
        <w:rPr>
          <w:sz w:val="20"/>
        </w:rPr>
        <w:t xml:space="preserve">   объектов электросетевого хозяйства, установка устройств регулирования</w:t>
      </w:r>
    </w:p>
    <w:p>
      <w:pPr>
        <w:pStyle w:val="1"/>
        <w:jc w:val="both"/>
      </w:pPr>
      <w:r>
        <w:rPr>
          <w:sz w:val="20"/>
        </w:rPr>
        <w:t xml:space="preserve">  напряжения для обеспечения надежности и качества электрической энергии,</w:t>
      </w:r>
    </w:p>
    <w:p>
      <w:pPr>
        <w:pStyle w:val="1"/>
        <w:jc w:val="both"/>
      </w:pPr>
      <w:r>
        <w:rPr>
          <w:sz w:val="20"/>
        </w:rPr>
        <w:t xml:space="preserve">а также по договоренности Сторон иные обязанности по исполнению технических</w:t>
      </w:r>
    </w:p>
    <w:p>
      <w:pPr>
        <w:pStyle w:val="1"/>
        <w:jc w:val="both"/>
      </w:pPr>
      <w:r>
        <w:rPr>
          <w:sz w:val="20"/>
        </w:rPr>
        <w:t xml:space="preserve">      условий, предусмотренные </w:t>
      </w:r>
      <w:hyperlink w:history="0" w:anchor="P1524" w:tooltip="25(1). В технических условиях для заявителей, предусмотренных пунктами 12.1 и 14 настоящих Правил, должны быть указаны:">
        <w:r>
          <w:rPr>
            <w:sz w:val="20"/>
            <w:color w:val="0000ff"/>
          </w:rPr>
          <w:t xml:space="preserve">пунктом 25(1)</w:t>
        </w:r>
      </w:hyperlink>
      <w:r>
        <w:rPr>
          <w:sz w:val="20"/>
        </w:rPr>
        <w:t xml:space="preserve"> Правил технологического</w:t>
      </w:r>
    </w:p>
    <w:p>
      <w:pPr>
        <w:pStyle w:val="1"/>
        <w:jc w:val="both"/>
      </w:pPr>
      <w:r>
        <w:rPr>
          <w:sz w:val="20"/>
        </w:rPr>
        <w:t xml:space="preserve">   присоединения энергопринимающих устройств потребителей электрической</w:t>
      </w:r>
    </w:p>
    <w:p>
      <w:pPr>
        <w:pStyle w:val="1"/>
        <w:jc w:val="both"/>
      </w:pPr>
      <w:r>
        <w:rPr>
          <w:sz w:val="20"/>
        </w:rPr>
        <w:t xml:space="preserve"> энергии, объектов по производству электрической энергии, а также объектов</w:t>
      </w:r>
    </w:p>
    <w:p>
      <w:pPr>
        <w:pStyle w:val="1"/>
        <w:jc w:val="both"/>
      </w:pPr>
      <w:r>
        <w:rPr>
          <w:sz w:val="20"/>
        </w:rPr>
        <w:t xml:space="preserve">       электросетевого хозяйства, принадлежащих сетевым организациям</w:t>
      </w:r>
    </w:p>
    <w:p>
      <w:pPr>
        <w:pStyle w:val="1"/>
        <w:jc w:val="both"/>
      </w:pPr>
      <w:r>
        <w:rPr>
          <w:sz w:val="20"/>
        </w:rPr>
        <w:t xml:space="preserve">                   и иным лицам, к электрическим сетям)</w:t>
      </w:r>
    </w:p>
    <w:p>
      <w:pPr>
        <w:pStyle w:val="1"/>
        <w:jc w:val="both"/>
      </w:pPr>
      <w:r>
        <w:rPr>
          <w:sz w:val="20"/>
        </w:rPr>
        <w:t xml:space="preserve">    11. Заявитель осуществляет </w:t>
      </w:r>
      <w:hyperlink w:history="0" w:anchor="P4031" w:tooltip="&lt;2&gt; Указываются обязательства заявителя по исполнению технических условий до точки присоединения энергопринимающих устройств заявителя, за исключением обязанностей, обязательных для исполнения сетевой организацией за счет ее средств.">
        <w:r>
          <w:rPr>
            <w:sz w:val="20"/>
            <w:color w:val="0000ff"/>
          </w:rPr>
          <w:t xml:space="preserve">&lt;2&gt;</w:t>
        </w:r>
      </w:hyperlink>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12.  Срок действия настоящих технических условий составляет _______ год</w:t>
      </w:r>
    </w:p>
    <w:p>
      <w:pPr>
        <w:pStyle w:val="1"/>
        <w:jc w:val="both"/>
      </w:pPr>
      <w:r>
        <w:rPr>
          <w:sz w:val="20"/>
        </w:rPr>
        <w:t xml:space="preserve">(года) </w:t>
      </w:r>
      <w:hyperlink w:history="0" w:anchor="P4032" w:tooltip="&lt;3&gt; Срок действия технических условий не может составлять менее 2 лет и более 5 лет.">
        <w:r>
          <w:rPr>
            <w:sz w:val="20"/>
            <w:color w:val="0000ff"/>
          </w:rPr>
          <w:t xml:space="preserve">&lt;3&gt;</w:t>
        </w:r>
      </w:hyperlink>
      <w:r>
        <w:rPr>
          <w:sz w:val="20"/>
        </w:rPr>
        <w:t xml:space="preserve"> со дня заключения  договора  об  осуществлении  технологического</w:t>
      </w:r>
    </w:p>
    <w:p>
      <w:pPr>
        <w:pStyle w:val="1"/>
        <w:jc w:val="both"/>
      </w:pPr>
      <w:r>
        <w:rPr>
          <w:sz w:val="20"/>
        </w:rPr>
        <w:t xml:space="preserve">присоединения к электрическим сетям.</w:t>
      </w:r>
    </w:p>
    <w:p>
      <w:pPr>
        <w:pStyle w:val="1"/>
        <w:jc w:val="both"/>
      </w:pPr>
      <w:r>
        <w:rPr>
          <w:sz w:val="20"/>
        </w:rPr>
      </w:r>
    </w:p>
    <w:p>
      <w:pPr>
        <w:pStyle w:val="1"/>
        <w:jc w:val="both"/>
      </w:pPr>
      <w:r>
        <w:rPr>
          <w:sz w:val="20"/>
        </w:rPr>
        <w:t xml:space="preserve">                                 __________________________________________</w:t>
      </w:r>
    </w:p>
    <w:p>
      <w:pPr>
        <w:pStyle w:val="1"/>
        <w:jc w:val="both"/>
      </w:pPr>
      <w:r>
        <w:rPr>
          <w:sz w:val="20"/>
        </w:rPr>
        <w:t xml:space="preserve">                                                  (подпись)</w:t>
      </w:r>
    </w:p>
    <w:p>
      <w:pPr>
        <w:pStyle w:val="1"/>
        <w:jc w:val="both"/>
      </w:pPr>
      <w:r>
        <w:rPr>
          <w:sz w:val="20"/>
        </w:rPr>
        <w:t xml:space="preserve">                                 __________________________________________</w:t>
      </w:r>
    </w:p>
    <w:p>
      <w:pPr>
        <w:pStyle w:val="1"/>
        <w:jc w:val="both"/>
      </w:pPr>
      <w:r>
        <w:rPr>
          <w:sz w:val="20"/>
        </w:rPr>
        <w:t xml:space="preserve">                                  (должность, фамилия, имя, отчество лица,</w:t>
      </w:r>
    </w:p>
    <w:p>
      <w:pPr>
        <w:pStyle w:val="1"/>
        <w:jc w:val="both"/>
      </w:pPr>
      <w:r>
        <w:rPr>
          <w:sz w:val="20"/>
        </w:rPr>
        <w:t xml:space="preserve">                                 __________________________________________</w:t>
      </w:r>
    </w:p>
    <w:p>
      <w:pPr>
        <w:pStyle w:val="1"/>
        <w:jc w:val="both"/>
      </w:pPr>
      <w:r>
        <w:rPr>
          <w:sz w:val="20"/>
        </w:rPr>
        <w:t xml:space="preserve">                                 действующего от имени сетевой организации)</w:t>
      </w:r>
    </w:p>
    <w:p>
      <w:pPr>
        <w:pStyle w:val="1"/>
        <w:jc w:val="both"/>
      </w:pPr>
      <w:r>
        <w:rPr>
          <w:sz w:val="20"/>
        </w:rPr>
      </w:r>
    </w:p>
    <w:p>
      <w:pPr>
        <w:pStyle w:val="1"/>
        <w:jc w:val="both"/>
      </w:pPr>
      <w:r>
        <w:rPr>
          <w:sz w:val="20"/>
        </w:rPr>
        <w:t xml:space="preserve">                                    "__" __________________________ 20__ г.</w:t>
      </w:r>
    </w:p>
    <w:p>
      <w:pPr>
        <w:pStyle w:val="0"/>
        <w:jc w:val="both"/>
      </w:pPr>
      <w:r>
        <w:rPr>
          <w:sz w:val="20"/>
        </w:rPr>
      </w:r>
    </w:p>
    <w:p>
      <w:pPr>
        <w:pStyle w:val="0"/>
        <w:ind w:firstLine="540"/>
        <w:jc w:val="both"/>
      </w:pPr>
      <w:r>
        <w:rPr>
          <w:sz w:val="20"/>
        </w:rPr>
        <w:t xml:space="preserve">--------------------------------</w:t>
      </w:r>
    </w:p>
    <w:bookmarkStart w:id="4030" w:name="P4030"/>
    <w:bookmarkEnd w:id="4030"/>
    <w:p>
      <w:pPr>
        <w:pStyle w:val="0"/>
        <w:spacing w:before="200" w:line-rule="auto"/>
        <w:ind w:firstLine="540"/>
        <w:jc w:val="both"/>
      </w:pPr>
      <w:r>
        <w:rPr>
          <w:sz w:val="20"/>
        </w:rPr>
        <w:t xml:space="preserve">&lt;1&gt; Указываются обязательства сетевой организации по исполнению технических условий до точки присоединения энергопринимающих устройств заявителя, а также по урегулированию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bookmarkStart w:id="4031" w:name="P4031"/>
    <w:bookmarkEnd w:id="4031"/>
    <w:p>
      <w:pPr>
        <w:pStyle w:val="0"/>
        <w:spacing w:before="200" w:line-rule="auto"/>
        <w:ind w:firstLine="540"/>
        <w:jc w:val="both"/>
      </w:pPr>
      <w:r>
        <w:rPr>
          <w:sz w:val="20"/>
        </w:rPr>
        <w:t xml:space="preserve">&lt;2&gt; Указываются обязательства заявителя по исполнению технических условий до точки присоединения энергопринимающих устройств заявителя, за исключением обязанностей, обязательных для исполнения сетевой организацией за счет ее средств.</w:t>
      </w:r>
    </w:p>
    <w:bookmarkStart w:id="4032" w:name="P4032"/>
    <w:bookmarkEnd w:id="4032"/>
    <w:p>
      <w:pPr>
        <w:pStyle w:val="0"/>
        <w:spacing w:before="200" w:line-rule="auto"/>
        <w:ind w:firstLine="540"/>
        <w:jc w:val="both"/>
      </w:pPr>
      <w:r>
        <w:rPr>
          <w:sz w:val="20"/>
        </w:rPr>
        <w:t xml:space="preserve">&lt;3&gt; Срок действия технических условий не может составлять менее 2 лет и более 5 лет.</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9(1)</w:t>
      </w:r>
    </w:p>
    <w:p>
      <w:pPr>
        <w:pStyle w:val="0"/>
        <w:jc w:val="right"/>
      </w:pPr>
      <w:r>
        <w:rPr>
          <w:sz w:val="20"/>
        </w:rPr>
        <w:t xml:space="preserve">к Правилам технологического</w:t>
      </w:r>
    </w:p>
    <w:p>
      <w:pPr>
        <w:pStyle w:val="0"/>
        <w:jc w:val="right"/>
      </w:pPr>
      <w:r>
        <w:rPr>
          <w:sz w:val="20"/>
        </w:rPr>
        <w:t xml:space="preserve">присоединения энергопринимающих</w:t>
      </w:r>
    </w:p>
    <w:p>
      <w:pPr>
        <w:pStyle w:val="0"/>
        <w:jc w:val="right"/>
      </w:pPr>
      <w:r>
        <w:rPr>
          <w:sz w:val="20"/>
        </w:rPr>
        <w:t xml:space="preserve">устройств потребителей</w:t>
      </w:r>
    </w:p>
    <w:p>
      <w:pPr>
        <w:pStyle w:val="0"/>
        <w:jc w:val="right"/>
      </w:pPr>
      <w:r>
        <w:rPr>
          <w:sz w:val="20"/>
        </w:rPr>
        <w:t xml:space="preserve">электрической энергии, объектов</w:t>
      </w:r>
    </w:p>
    <w:p>
      <w:pPr>
        <w:pStyle w:val="0"/>
        <w:jc w:val="right"/>
      </w:pPr>
      <w:r>
        <w:rPr>
          <w:sz w:val="20"/>
        </w:rPr>
        <w:t xml:space="preserve">по производству электрической</w:t>
      </w:r>
    </w:p>
    <w:p>
      <w:pPr>
        <w:pStyle w:val="0"/>
        <w:jc w:val="right"/>
      </w:pPr>
      <w:r>
        <w:rPr>
          <w:sz w:val="20"/>
        </w:rPr>
        <w:t xml:space="preserve">энергии, а также объектов</w:t>
      </w:r>
    </w:p>
    <w:p>
      <w:pPr>
        <w:pStyle w:val="0"/>
        <w:jc w:val="right"/>
      </w:pPr>
      <w:r>
        <w:rPr>
          <w:sz w:val="20"/>
        </w:rPr>
        <w:t xml:space="preserve">электросетевого хозяйства,</w:t>
      </w:r>
    </w:p>
    <w:p>
      <w:pPr>
        <w:pStyle w:val="0"/>
        <w:jc w:val="right"/>
      </w:pPr>
      <w:r>
        <w:rPr>
          <w:sz w:val="20"/>
        </w:rPr>
        <w:t xml:space="preserve">принадлежащих сетевым организациям</w:t>
      </w:r>
    </w:p>
    <w:p>
      <w:pPr>
        <w:pStyle w:val="0"/>
        <w:jc w:val="right"/>
      </w:pPr>
      <w:r>
        <w:rPr>
          <w:sz w:val="20"/>
        </w:rPr>
        <w:t xml:space="preserve">и иным лицам, к электрическим сетям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1125"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Постановлением</w:t>
              </w:r>
            </w:hyperlink>
            <w:r>
              <w:rPr>
                <w:sz w:val="20"/>
                <w:color w:val="392c69"/>
              </w:rPr>
              <w:t xml:space="preserve"> Правительства РФ от 02.03.2021 N 299;</w:t>
            </w:r>
          </w:p>
          <w:p>
            <w:pPr>
              <w:pStyle w:val="0"/>
              <w:jc w:val="center"/>
            </w:pPr>
            <w:r>
              <w:rPr>
                <w:sz w:val="20"/>
                <w:color w:val="392c69"/>
              </w:rPr>
              <w:t xml:space="preserve">в ред. </w:t>
            </w:r>
            <w:hyperlink w:history="0" r:id="rId1126"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color w:val="392c69"/>
              </w:rPr>
              <w:t xml:space="preserve"> Правительства РФ от 30.06.2022 N 1178)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center"/>
      </w:pPr>
      <w:r>
        <w:rPr>
          <w:sz w:val="20"/>
        </w:rPr>
        <w:t xml:space="preserve">ТИПОВОЙ ДОГОВОР</w:t>
      </w:r>
    </w:p>
    <w:p>
      <w:pPr>
        <w:pStyle w:val="0"/>
        <w:jc w:val="center"/>
      </w:pPr>
      <w:r>
        <w:rPr>
          <w:sz w:val="20"/>
        </w:rPr>
        <w:t xml:space="preserve">об осуществлении технологического присоединения</w:t>
      </w:r>
    </w:p>
    <w:p>
      <w:pPr>
        <w:pStyle w:val="0"/>
        <w:jc w:val="center"/>
      </w:pPr>
      <w:r>
        <w:rPr>
          <w:sz w:val="20"/>
        </w:rPr>
        <w:t xml:space="preserve">к электрическим сетям</w:t>
      </w:r>
    </w:p>
    <w:p>
      <w:pPr>
        <w:pStyle w:val="0"/>
        <w:jc w:val="both"/>
      </w:pPr>
      <w:r>
        <w:rPr>
          <w:sz w:val="20"/>
        </w:rPr>
      </w:r>
    </w:p>
    <w:p>
      <w:pPr>
        <w:pStyle w:val="0"/>
        <w:jc w:val="center"/>
      </w:pPr>
      <w:r>
        <w:rPr>
          <w:sz w:val="20"/>
        </w:rPr>
        <w:t xml:space="preserve">(для юридических лиц или индивидуальных предпринимателей</w:t>
      </w:r>
    </w:p>
    <w:p>
      <w:pPr>
        <w:pStyle w:val="0"/>
        <w:jc w:val="center"/>
      </w:pPr>
      <w:r>
        <w:rPr>
          <w:sz w:val="20"/>
        </w:rPr>
        <w:t xml:space="preserve">в целях технологического присоединения энергопринимающих</w:t>
      </w:r>
    </w:p>
    <w:p>
      <w:pPr>
        <w:pStyle w:val="0"/>
        <w:jc w:val="center"/>
      </w:pPr>
      <w:r>
        <w:rPr>
          <w:sz w:val="20"/>
        </w:rPr>
        <w:t xml:space="preserve">устройств, максимальная мощность которых составляет до 15</w:t>
      </w:r>
    </w:p>
    <w:p>
      <w:pPr>
        <w:pStyle w:val="0"/>
        <w:jc w:val="center"/>
      </w:pPr>
      <w:r>
        <w:rPr>
          <w:sz w:val="20"/>
        </w:rPr>
        <w:t xml:space="preserve">кВт включительно (с учетом ранее присоединенных в данной</w:t>
      </w:r>
    </w:p>
    <w:p>
      <w:pPr>
        <w:pStyle w:val="0"/>
        <w:jc w:val="center"/>
      </w:pPr>
      <w:r>
        <w:rPr>
          <w:sz w:val="20"/>
        </w:rPr>
        <w:t xml:space="preserve">точке присоединения энергопринимающих устройств),</w:t>
      </w:r>
    </w:p>
    <w:p>
      <w:pPr>
        <w:pStyle w:val="0"/>
        <w:jc w:val="center"/>
      </w:pPr>
      <w:r>
        <w:rPr>
          <w:sz w:val="20"/>
        </w:rPr>
        <w:t xml:space="preserve">и (или) объектов микрогенерации)</w:t>
      </w:r>
    </w:p>
    <w:p>
      <w:pPr>
        <w:pStyle w:val="0"/>
        <w:jc w:val="both"/>
      </w:pPr>
      <w:r>
        <w:rPr>
          <w:sz w:val="20"/>
        </w:rPr>
      </w:r>
    </w:p>
    <w:p>
      <w:pPr>
        <w:pStyle w:val="1"/>
        <w:jc w:val="both"/>
      </w:pPr>
      <w:r>
        <w:rPr>
          <w:sz w:val="20"/>
        </w:rPr>
        <w:t xml:space="preserve">_____________________________               "__" __________________ 20   г.</w:t>
      </w:r>
    </w:p>
    <w:p>
      <w:pPr>
        <w:pStyle w:val="1"/>
        <w:jc w:val="both"/>
      </w:pPr>
      <w:r>
        <w:rPr>
          <w:sz w:val="20"/>
        </w:rPr>
        <w:t xml:space="preserve"> (место заключения договора)                  (дата заключения договора)</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сетевой организации)</w:t>
      </w:r>
    </w:p>
    <w:p>
      <w:pPr>
        <w:pStyle w:val="1"/>
        <w:jc w:val="both"/>
      </w:pPr>
      <w:r>
        <w:rPr>
          <w:sz w:val="20"/>
        </w:rPr>
        <w:t xml:space="preserve">именуемая в дальнейшем сетевой организацией, в лице 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(должность, фамилия,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(наименование и реквизиты документа)</w:t>
      </w:r>
    </w:p>
    <w:p>
      <w:pPr>
        <w:pStyle w:val="1"/>
        <w:jc w:val="both"/>
      </w:pPr>
      <w:r>
        <w:rPr>
          <w:sz w:val="20"/>
        </w:rPr>
        <w:t xml:space="preserve">с одной стороны, и _______________________________________________________,</w:t>
      </w:r>
    </w:p>
    <w:p>
      <w:pPr>
        <w:pStyle w:val="1"/>
        <w:jc w:val="both"/>
      </w:pPr>
      <w:r>
        <w:rPr>
          <w:sz w:val="20"/>
        </w:rPr>
        <w:t xml:space="preserve">                    (полное наименование юридического лица, номер записи</w:t>
      </w:r>
    </w:p>
    <w:p>
      <w:pPr>
        <w:pStyle w:val="1"/>
        <w:jc w:val="both"/>
      </w:pPr>
      <w:r>
        <w:rPr>
          <w:sz w:val="20"/>
        </w:rPr>
        <w:t xml:space="preserve">                       в Едином государственном реестре юридических лиц</w:t>
      </w:r>
    </w:p>
    <w:p>
      <w:pPr>
        <w:pStyle w:val="1"/>
        <w:jc w:val="both"/>
      </w:pPr>
      <w:r>
        <w:rPr>
          <w:sz w:val="20"/>
        </w:rPr>
        <w:t xml:space="preserve">                   с указанием фамилии, имени, отчества лица, действующего</w:t>
      </w:r>
    </w:p>
    <w:p>
      <w:pPr>
        <w:pStyle w:val="1"/>
        <w:jc w:val="both"/>
      </w:pPr>
      <w:r>
        <w:rPr>
          <w:sz w:val="20"/>
        </w:rPr>
        <w:t xml:space="preserve">                        от имени этого юридического лица, наименования</w:t>
      </w:r>
    </w:p>
    <w:p>
      <w:pPr>
        <w:pStyle w:val="1"/>
        <w:jc w:val="both"/>
      </w:pPr>
      <w:r>
        <w:rPr>
          <w:sz w:val="20"/>
        </w:rPr>
        <w:t xml:space="preserve">                        и реквизитов документа, на основании которого</w:t>
      </w:r>
    </w:p>
    <w:p>
      <w:pPr>
        <w:pStyle w:val="1"/>
        <w:jc w:val="both"/>
      </w:pPr>
      <w:r>
        <w:rPr>
          <w:sz w:val="20"/>
        </w:rPr>
        <w:t xml:space="preserve">                          он действует, либо фамилия, имя, отчество</w:t>
      </w:r>
    </w:p>
    <w:p>
      <w:pPr>
        <w:pStyle w:val="1"/>
        <w:jc w:val="both"/>
      </w:pPr>
      <w:r>
        <w:rPr>
          <w:sz w:val="20"/>
        </w:rPr>
        <w:t xml:space="preserve">                        индивидуального предпринимателя, номер записи</w:t>
      </w:r>
    </w:p>
    <w:p>
      <w:pPr>
        <w:pStyle w:val="1"/>
        <w:jc w:val="both"/>
      </w:pPr>
      <w:r>
        <w:rPr>
          <w:sz w:val="20"/>
        </w:rPr>
        <w:t xml:space="preserve">                       в Едином государственном реестре индивидуальных</w:t>
      </w:r>
    </w:p>
    <w:p>
      <w:pPr>
        <w:pStyle w:val="1"/>
        <w:jc w:val="both"/>
      </w:pPr>
      <w:r>
        <w:rPr>
          <w:sz w:val="20"/>
        </w:rPr>
        <w:t xml:space="preserve">                        предпринимателей и дата ее внесения в реестр)</w:t>
      </w:r>
    </w:p>
    <w:p>
      <w:pPr>
        <w:pStyle w:val="1"/>
        <w:jc w:val="both"/>
      </w:pPr>
      <w:r>
        <w:rPr>
          <w:sz w:val="20"/>
        </w:rPr>
        <w:t xml:space="preserve">именуемый  в  дальнейшем  заявителем,  с  другой  стороны, вместе именуемые</w:t>
      </w:r>
    </w:p>
    <w:p>
      <w:pPr>
        <w:pStyle w:val="1"/>
        <w:jc w:val="both"/>
      </w:pPr>
      <w:r>
        <w:rPr>
          <w:sz w:val="20"/>
        </w:rPr>
        <w:t xml:space="preserve">сторонами, заключили настоящий договор о нижеследующем:</w:t>
      </w:r>
    </w:p>
    <w:p>
      <w:pPr>
        <w:pStyle w:val="0"/>
        <w:jc w:val="both"/>
      </w:pPr>
      <w:r>
        <w:rPr>
          <w:sz w:val="20"/>
        </w:rPr>
      </w:r>
    </w:p>
    <w:p>
      <w:pPr>
        <w:pStyle w:val="0"/>
        <w:outlineLvl w:val="2"/>
        <w:jc w:val="center"/>
      </w:pPr>
      <w:r>
        <w:rPr>
          <w:sz w:val="20"/>
        </w:rPr>
        <w:t xml:space="preserve">I. Предмет договора</w:t>
      </w:r>
    </w:p>
    <w:p>
      <w:pPr>
        <w:pStyle w:val="0"/>
        <w:jc w:val="both"/>
      </w:pPr>
      <w:r>
        <w:rPr>
          <w:sz w:val="20"/>
        </w:rPr>
      </w:r>
    </w:p>
    <w:p>
      <w:pPr>
        <w:pStyle w:val="1"/>
        <w:jc w:val="both"/>
      </w:pPr>
      <w:r>
        <w:rPr>
          <w:sz w:val="20"/>
        </w:rPr>
        <w:t xml:space="preserve">    1.  По  настоящему  договору  сетевая  организация  принимает  на  себя</w:t>
      </w:r>
    </w:p>
    <w:p>
      <w:pPr>
        <w:pStyle w:val="1"/>
        <w:jc w:val="both"/>
      </w:pPr>
      <w:r>
        <w:rPr>
          <w:sz w:val="20"/>
        </w:rPr>
        <w:t xml:space="preserve">обязательства     по     осуществлению    технологического    присоединения</w:t>
      </w:r>
    </w:p>
    <w:p>
      <w:pPr>
        <w:pStyle w:val="1"/>
        <w:jc w:val="both"/>
      </w:pPr>
      <w:r>
        <w:rPr>
          <w:sz w:val="20"/>
        </w:rPr>
        <w:t xml:space="preserve">энергопринимающих  устройств  и  (или)  объектов  микрогенерации  заявителя</w:t>
      </w:r>
    </w:p>
    <w:p>
      <w:pPr>
        <w:pStyle w:val="1"/>
        <w:jc w:val="both"/>
      </w:pPr>
      <w:r>
        <w:rPr>
          <w:sz w:val="20"/>
        </w:rPr>
        <w:t xml:space="preserve">(далее - технологическое присоединение) 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энергопринимающих устройств)</w:t>
      </w:r>
    </w:p>
    <w:p>
      <w:pPr>
        <w:pStyle w:val="1"/>
        <w:jc w:val="both"/>
      </w:pPr>
      <w:r>
        <w:rPr>
          <w:sz w:val="20"/>
        </w:rPr>
        <w:t xml:space="preserve">__________________________________________________________________________,</w:t>
      </w:r>
    </w:p>
    <w:p>
      <w:pPr>
        <w:pStyle w:val="1"/>
        <w:jc w:val="both"/>
      </w:pPr>
      <w:r>
        <w:rPr>
          <w:sz w:val="20"/>
        </w:rPr>
        <w:t xml:space="preserve">    в   том   числе  по  обеспечению  готовности  объектов  электросетевого</w:t>
      </w:r>
    </w:p>
    <w:p>
      <w:pPr>
        <w:pStyle w:val="1"/>
        <w:jc w:val="both"/>
      </w:pPr>
      <w:r>
        <w:rPr>
          <w:sz w:val="20"/>
        </w:rPr>
        <w:t xml:space="preserve">хозяйства  (включая  их  проектирование,  строительство,  реконструкцию)  к</w:t>
      </w:r>
    </w:p>
    <w:p>
      <w:pPr>
        <w:pStyle w:val="1"/>
        <w:jc w:val="both"/>
      </w:pPr>
      <w:r>
        <w:rPr>
          <w:sz w:val="20"/>
        </w:rPr>
        <w:t xml:space="preserve">присоединению   энергопринимающих  устройств,  урегулированию  отношений  с</w:t>
      </w:r>
    </w:p>
    <w:p>
      <w:pPr>
        <w:pStyle w:val="1"/>
        <w:jc w:val="both"/>
      </w:pPr>
      <w:r>
        <w:rPr>
          <w:sz w:val="20"/>
        </w:rPr>
        <w:t xml:space="preserve">третьими  лицами в случае необходимости строительства (модернизации) такими</w:t>
      </w:r>
    </w:p>
    <w:p>
      <w:pPr>
        <w:pStyle w:val="1"/>
        <w:jc w:val="both"/>
      </w:pPr>
      <w:r>
        <w:rPr>
          <w:sz w:val="20"/>
        </w:rPr>
        <w:t xml:space="preserve">лицами     принадлежащих     им    объектов    электросетевого    хозяйства</w:t>
      </w:r>
    </w:p>
    <w:p>
      <w:pPr>
        <w:pStyle w:val="1"/>
        <w:jc w:val="both"/>
      </w:pPr>
      <w:r>
        <w:rPr>
          <w:sz w:val="20"/>
        </w:rPr>
        <w:t xml:space="preserve">(энергопринимающих   устройств,   объектов   электроэнергетики),  с  учетом</w:t>
      </w:r>
    </w:p>
    <w:p>
      <w:pPr>
        <w:pStyle w:val="1"/>
        <w:jc w:val="both"/>
      </w:pPr>
      <w:r>
        <w:rPr>
          <w:sz w:val="20"/>
        </w:rPr>
        <w:t xml:space="preserve">следующих характеристик:</w:t>
      </w:r>
    </w:p>
    <w:p>
      <w:pPr>
        <w:pStyle w:val="0"/>
        <w:ind w:firstLine="540"/>
        <w:jc w:val="both"/>
      </w:pPr>
      <w:r>
        <w:rPr>
          <w:sz w:val="20"/>
        </w:rPr>
        <w:t xml:space="preserve">максимальная мощность присоединяемых энергопринимающих устройств ______ (кВт);</w:t>
      </w:r>
    </w:p>
    <w:p>
      <w:pPr>
        <w:pStyle w:val="0"/>
        <w:spacing w:before="200" w:line-rule="auto"/>
        <w:ind w:firstLine="540"/>
        <w:jc w:val="both"/>
      </w:pPr>
      <w:r>
        <w:rPr>
          <w:sz w:val="20"/>
        </w:rPr>
        <w:t xml:space="preserve">категория надежности ______;</w:t>
      </w:r>
    </w:p>
    <w:p>
      <w:pPr>
        <w:pStyle w:val="0"/>
        <w:spacing w:before="200" w:line-rule="auto"/>
        <w:ind w:firstLine="540"/>
        <w:jc w:val="both"/>
      </w:pPr>
      <w:r>
        <w:rPr>
          <w:sz w:val="20"/>
        </w:rPr>
        <w:t xml:space="preserve">класс напряжения электрических сетей, к которым осуществляется присоединение _______ (кВ);</w:t>
      </w:r>
    </w:p>
    <w:p>
      <w:pPr>
        <w:pStyle w:val="0"/>
        <w:spacing w:before="200" w:line-rule="auto"/>
        <w:ind w:firstLine="540"/>
        <w:jc w:val="both"/>
      </w:pPr>
      <w:r>
        <w:rPr>
          <w:sz w:val="20"/>
        </w:rPr>
        <w:t xml:space="preserve">максимальная мощность ранее присоединенных энергопринимающих устройств _____ (кВт) </w:t>
      </w:r>
      <w:hyperlink w:history="0" w:anchor="P4262" w:tooltip="&lt;1&gt; Подлежит указанию, если энергопринимающее устройство (объект микрогенерации)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объектов микрогенерации).">
        <w:r>
          <w:rPr>
            <w:sz w:val="20"/>
            <w:color w:val="0000ff"/>
          </w:rPr>
          <w:t xml:space="preserve">&lt;1&gt;</w:t>
        </w:r>
      </w:hyperlink>
      <w:r>
        <w:rPr>
          <w:sz w:val="20"/>
        </w:rPr>
        <w:t xml:space="preserve">;</w:t>
      </w:r>
    </w:p>
    <w:p>
      <w:pPr>
        <w:pStyle w:val="0"/>
        <w:spacing w:before="200" w:line-rule="auto"/>
        <w:ind w:firstLine="540"/>
        <w:jc w:val="both"/>
      </w:pPr>
      <w:r>
        <w:rPr>
          <w:sz w:val="20"/>
        </w:rPr>
        <w:t xml:space="preserve">максимальная мощность присоединяемых объектов микрогенерации _______ (кВт);</w:t>
      </w:r>
    </w:p>
    <w:p>
      <w:pPr>
        <w:pStyle w:val="0"/>
        <w:spacing w:before="200" w:line-rule="auto"/>
        <w:ind w:firstLine="540"/>
        <w:jc w:val="both"/>
      </w:pPr>
      <w:r>
        <w:rPr>
          <w:sz w:val="20"/>
        </w:rPr>
        <w:t xml:space="preserve">максимальная мощность ранее присоединенных объектов микрогенерации ______ (кВт) </w:t>
      </w:r>
      <w:hyperlink w:history="0" w:anchor="P4262" w:tooltip="&lt;1&gt; Подлежит указанию, если энергопринимающее устройство (объект микрогенерации)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объектов микрогенерации).">
        <w:r>
          <w:rPr>
            <w:sz w:val="20"/>
            <w:color w:val="0000ff"/>
          </w:rPr>
          <w:t xml:space="preserve">&lt;1&gt;</w:t>
        </w:r>
      </w:hyperlink>
      <w:r>
        <w:rPr>
          <w:sz w:val="20"/>
        </w:rPr>
        <w:t xml:space="preserve">.</w:t>
      </w:r>
    </w:p>
    <w:p>
      <w:pPr>
        <w:pStyle w:val="0"/>
        <w:spacing w:before="200" w:line-rule="auto"/>
        <w:ind w:firstLine="540"/>
        <w:jc w:val="both"/>
      </w:pPr>
      <w:r>
        <w:rPr>
          <w:sz w:val="20"/>
        </w:rPr>
        <w:t xml:space="preserve">Заявитель обязуется оплатить расходы на технологическое присоединение в соответствии с условиями настоящего договора.</w:t>
      </w:r>
    </w:p>
    <w:p>
      <w:pPr>
        <w:pStyle w:val="1"/>
        <w:spacing w:before="200" w:line-rule="auto"/>
        <w:jc w:val="both"/>
      </w:pPr>
      <w:r>
        <w:rPr>
          <w:sz w:val="20"/>
        </w:rPr>
        <w:t xml:space="preserve">    2. Технологическое присоединение необходимо для электроснабжения 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объектов заявителя)</w:t>
      </w:r>
    </w:p>
    <w:p>
      <w:pPr>
        <w:pStyle w:val="1"/>
        <w:jc w:val="both"/>
      </w:pPr>
      <w:r>
        <w:rPr>
          <w:sz w:val="20"/>
        </w:rPr>
        <w:t xml:space="preserve">расположенных (которые будут располагаться) 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(место нахождения объектов заявителя)</w:t>
      </w:r>
    </w:p>
    <w:p>
      <w:pPr>
        <w:pStyle w:val="0"/>
        <w:ind w:firstLine="540"/>
        <w:jc w:val="both"/>
      </w:pPr>
      <w:r>
        <w:rPr>
          <w:sz w:val="20"/>
        </w:rP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 метров </w:t>
      </w:r>
      <w:hyperlink w:history="0" w:anchor="P4263" w:tooltip="&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
        <w:r>
          <w:rPr>
            <w:sz w:val="20"/>
            <w:color w:val="0000ff"/>
          </w:rPr>
          <w:t xml:space="preserve">&lt;2&gt;</w:t>
        </w:r>
      </w:hyperlink>
      <w:r>
        <w:rPr>
          <w:sz w:val="20"/>
        </w:rPr>
        <w:t xml:space="preserve"> от границы участка заявителя, на котором располагаются (будут располагаться) присоединяемые объекты заявителя.</w:t>
      </w:r>
    </w:p>
    <w:p>
      <w:pPr>
        <w:pStyle w:val="0"/>
        <w:spacing w:before="200" w:line-rule="auto"/>
        <w:ind w:firstLine="540"/>
        <w:jc w:val="both"/>
      </w:pPr>
      <w:r>
        <w:rPr>
          <w:sz w:val="20"/>
        </w:rPr>
        <w:t xml:space="preserve">4. Технические условия являются неотъемлемой частью настоящего договора и приведены в </w:t>
      </w:r>
      <w:hyperlink w:history="0" w:anchor="P4277" w:tooltip="                            ТЕХНИЧЕСКИЕ УСЛОВИЯ">
        <w:r>
          <w:rPr>
            <w:sz w:val="20"/>
            <w:color w:val="0000ff"/>
          </w:rPr>
          <w:t xml:space="preserve">приложении</w:t>
        </w:r>
      </w:hyperlink>
      <w:r>
        <w:rPr>
          <w:sz w:val="20"/>
        </w:rPr>
        <w:t xml:space="preserve">.</w:t>
      </w:r>
    </w:p>
    <w:p>
      <w:pPr>
        <w:pStyle w:val="0"/>
        <w:spacing w:before="200" w:line-rule="auto"/>
        <w:ind w:firstLine="540"/>
        <w:jc w:val="both"/>
      </w:pPr>
      <w:r>
        <w:rPr>
          <w:sz w:val="20"/>
        </w:rPr>
        <w:t xml:space="preserve">Срок действия технических условий составляет ______ года (лет) </w:t>
      </w:r>
      <w:hyperlink w:history="0" w:anchor="P4264" w:tooltip="&lt;3&gt; Срок действия технических условий не может составлять менее 2 лет и более 5 лет.">
        <w:r>
          <w:rPr>
            <w:sz w:val="20"/>
            <w:color w:val="0000ff"/>
          </w:rPr>
          <w:t xml:space="preserve">&lt;3&gt;</w:t>
        </w:r>
      </w:hyperlink>
      <w:r>
        <w:rPr>
          <w:sz w:val="20"/>
        </w:rPr>
        <w:t xml:space="preserve"> со дня заключения настоящего договора.</w:t>
      </w:r>
    </w:p>
    <w:bookmarkStart w:id="4118" w:name="P4118"/>
    <w:bookmarkEnd w:id="4118"/>
    <w:p>
      <w:pPr>
        <w:pStyle w:val="0"/>
        <w:spacing w:before="200" w:line-rule="auto"/>
        <w:ind w:firstLine="540"/>
        <w:jc w:val="both"/>
      </w:pPr>
      <w:r>
        <w:rPr>
          <w:sz w:val="20"/>
        </w:rPr>
        <w:t xml:space="preserve">5. Срок выполнения мероприятий по технологическому присоединению составляет </w:t>
      </w:r>
      <w:hyperlink w:history="0" w:anchor="P4265" w:tooltip="&lt;4&gt; - &lt;5&gt; Сноски исключены.">
        <w:r>
          <w:rPr>
            <w:sz w:val="20"/>
            <w:color w:val="0000ff"/>
          </w:rPr>
          <w:t xml:space="preserve">&lt;4&gt;</w:t>
        </w:r>
      </w:hyperlink>
      <w:r>
        <w:rPr>
          <w:sz w:val="20"/>
        </w:rPr>
        <w:t xml:space="preserve"> ________ со дня заключения настоящего договора.</w:t>
      </w:r>
    </w:p>
    <w:p>
      <w:pPr>
        <w:pStyle w:val="0"/>
        <w:jc w:val="both"/>
      </w:pPr>
      <w:r>
        <w:rPr>
          <w:sz w:val="20"/>
        </w:rPr>
      </w:r>
    </w:p>
    <w:p>
      <w:pPr>
        <w:pStyle w:val="0"/>
        <w:outlineLvl w:val="2"/>
        <w:jc w:val="center"/>
      </w:pPr>
      <w:r>
        <w:rPr>
          <w:sz w:val="20"/>
        </w:rPr>
        <w:t xml:space="preserve">II. Обязанности сторон</w:t>
      </w:r>
    </w:p>
    <w:p>
      <w:pPr>
        <w:pStyle w:val="0"/>
        <w:jc w:val="both"/>
      </w:pPr>
      <w:r>
        <w:rPr>
          <w:sz w:val="20"/>
        </w:rPr>
      </w:r>
    </w:p>
    <w:p>
      <w:pPr>
        <w:pStyle w:val="0"/>
        <w:ind w:firstLine="540"/>
        <w:jc w:val="both"/>
      </w:pPr>
      <w:r>
        <w:rPr>
          <w:sz w:val="20"/>
        </w:rPr>
        <w:t xml:space="preserve">6. Сетевая организация обязуется:</w:t>
      </w:r>
    </w:p>
    <w:p>
      <w:pPr>
        <w:pStyle w:val="0"/>
        <w:spacing w:before="200" w:line-rule="auto"/>
        <w:ind w:firstLine="540"/>
        <w:jc w:val="both"/>
      </w:pPr>
      <w:r>
        <w:rPr>
          <w:sz w:val="20"/>
        </w:rP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bookmarkStart w:id="4124" w:name="P4124"/>
    <w:bookmarkEnd w:id="4124"/>
    <w:p>
      <w:pPr>
        <w:pStyle w:val="0"/>
        <w:spacing w:before="200" w:line-rule="auto"/>
        <w:ind w:firstLine="540"/>
        <w:jc w:val="both"/>
      </w:pPr>
      <w:r>
        <w:rPr>
          <w:sz w:val="20"/>
        </w:rPr>
        <w:t xml:space="preserve">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и (или) объектов микрогенерации заявителя;</w:t>
      </w:r>
    </w:p>
    <w:p>
      <w:pPr>
        <w:pStyle w:val="0"/>
        <w:spacing w:before="200" w:line-rule="auto"/>
        <w:ind w:firstLine="540"/>
        <w:jc w:val="both"/>
      </w:pPr>
      <w:r>
        <w:rPr>
          <w:sz w:val="20"/>
        </w:rPr>
        <w:t xml:space="preserve">не позднее ______ рабочих дней со дня проведения осмотра (обследования), указанного в </w:t>
      </w:r>
      <w:hyperlink w:history="0" w:anchor="P4124" w:tooltip="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и (или) объектов микрогенерации заявителя;">
        <w:r>
          <w:rPr>
            <w:sz w:val="20"/>
            <w:color w:val="0000ff"/>
          </w:rPr>
          <w:t xml:space="preserve">абзаце третьем</w:t>
        </w:r>
      </w:hyperlink>
      <w:r>
        <w:rPr>
          <w:sz w:val="20"/>
        </w:rPr>
        <w:t xml:space="preserve"> настоящего пункта, с соблюдением срока, установленного </w:t>
      </w:r>
      <w:hyperlink w:history="0" w:anchor="P4118" w:tooltip="5. Срок выполнения мероприятий по технологическому присоединению составляет &lt;4&gt; ________ со дня заключения настоящего договора.">
        <w:r>
          <w:rPr>
            <w:sz w:val="20"/>
            <w:color w:val="0000ff"/>
          </w:rPr>
          <w:t xml:space="preserve">пунктом 5</w:t>
        </w:r>
      </w:hyperlink>
      <w:r>
        <w:rPr>
          <w:sz w:val="20"/>
        </w:rPr>
        <w:t xml:space="preserve"> настоящего договора, осуществить фактическое присоединение энергопринимающих устройств и (или) объектов микрогенерации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pPr>
        <w:pStyle w:val="0"/>
        <w:spacing w:before="200" w:line-rule="auto"/>
        <w:ind w:firstLine="540"/>
        <w:jc w:val="both"/>
      </w:pPr>
      <w:r>
        <w:rPr>
          <w:sz w:val="20"/>
        </w:rPr>
        <w:t xml:space="preserve">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pPr>
        <w:pStyle w:val="0"/>
        <w:spacing w:before="200" w:line-rule="auto"/>
        <w:ind w:firstLine="540"/>
        <w:jc w:val="both"/>
      </w:pPr>
      <w:r>
        <w:rPr>
          <w:sz w:val="20"/>
        </w:rPr>
        <w:t xml:space="preserve">8. Заявитель обязуется:</w:t>
      </w:r>
    </w:p>
    <w:p>
      <w:pPr>
        <w:pStyle w:val="0"/>
        <w:spacing w:before="200" w:line-rule="auto"/>
        <w:ind w:firstLine="540"/>
        <w:jc w:val="both"/>
      </w:pPr>
      <w:r>
        <w:rPr>
          <w:sz w:val="20"/>
        </w:rP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pPr>
        <w:pStyle w:val="0"/>
        <w:spacing w:before="200" w:line-rule="auto"/>
        <w:ind w:firstLine="540"/>
        <w:jc w:val="both"/>
      </w:pPr>
      <w:r>
        <w:rPr>
          <w:sz w:val="20"/>
        </w:rPr>
        <w:t xml:space="preserve">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pPr>
        <w:pStyle w:val="0"/>
        <w:spacing w:before="200" w:line-rule="auto"/>
        <w:ind w:firstLine="540"/>
        <w:jc w:val="both"/>
      </w:pPr>
      <w:r>
        <w:rPr>
          <w:sz w:val="20"/>
        </w:rPr>
        <w:t xml:space="preserve">принять участие в осмотре (обследовании) присоединяемых энергопринимающих устройств и (или) объектов микрогенерации сетевой организацией;</w:t>
      </w:r>
    </w:p>
    <w:p>
      <w:pPr>
        <w:pStyle w:val="0"/>
        <w:spacing w:before="200" w:line-rule="auto"/>
        <w:ind w:firstLine="540"/>
        <w:jc w:val="both"/>
      </w:pPr>
      <w:r>
        <w:rPr>
          <w:sz w:val="20"/>
        </w:rPr>
        <w:t xml:space="preserve">после осуществления сетевой организацией фактического присоединения энергопринимающих устройств и (или) объектов микрогенерации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pPr>
        <w:pStyle w:val="0"/>
        <w:spacing w:before="200" w:line-rule="auto"/>
        <w:ind w:firstLine="540"/>
        <w:jc w:val="both"/>
      </w:pPr>
      <w:r>
        <w:rPr>
          <w:sz w:val="20"/>
        </w:rPr>
        <w:t xml:space="preserve">надлежащим образом исполнять указанные в </w:t>
      </w:r>
      <w:hyperlink w:history="0" w:anchor="P4135" w:tooltip="III. Плата за технологическое присоединение">
        <w:r>
          <w:rPr>
            <w:sz w:val="20"/>
            <w:color w:val="0000ff"/>
          </w:rPr>
          <w:t xml:space="preserve">разделе III</w:t>
        </w:r>
      </w:hyperlink>
      <w:r>
        <w:rPr>
          <w:sz w:val="20"/>
        </w:rPr>
        <w:t xml:space="preserve"> настоящего договора обязательства по оплате расходов на технологическое присоединение.</w:t>
      </w:r>
    </w:p>
    <w:p>
      <w:pPr>
        <w:pStyle w:val="0"/>
        <w:spacing w:before="200" w:line-rule="auto"/>
        <w:ind w:firstLine="540"/>
        <w:jc w:val="both"/>
      </w:pPr>
      <w:r>
        <w:rPr>
          <w:sz w:val="20"/>
        </w:rPr>
        <w:t xml:space="preserve">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pPr>
        <w:pStyle w:val="0"/>
        <w:jc w:val="both"/>
      </w:pPr>
      <w:r>
        <w:rPr>
          <w:sz w:val="20"/>
        </w:rPr>
      </w:r>
    </w:p>
    <w:bookmarkStart w:id="4135" w:name="P4135"/>
    <w:bookmarkEnd w:id="4135"/>
    <w:p>
      <w:pPr>
        <w:pStyle w:val="0"/>
        <w:outlineLvl w:val="2"/>
        <w:jc w:val="center"/>
      </w:pPr>
      <w:r>
        <w:rPr>
          <w:sz w:val="20"/>
        </w:rPr>
        <w:t xml:space="preserve">III. Плата за технологическое присоединение</w:t>
      </w:r>
    </w:p>
    <w:p>
      <w:pPr>
        <w:pStyle w:val="0"/>
        <w:jc w:val="center"/>
      </w:pPr>
      <w:r>
        <w:rPr>
          <w:sz w:val="20"/>
        </w:rPr>
        <w:t xml:space="preserve">и порядок расчетов</w:t>
      </w:r>
    </w:p>
    <w:p>
      <w:pPr>
        <w:pStyle w:val="0"/>
        <w:jc w:val="both"/>
      </w:pPr>
      <w:r>
        <w:rPr>
          <w:sz w:val="20"/>
        </w:rPr>
      </w:r>
    </w:p>
    <w:p>
      <w:pPr>
        <w:pStyle w:val="1"/>
        <w:jc w:val="both"/>
      </w:pPr>
      <w:r>
        <w:rPr>
          <w:sz w:val="20"/>
        </w:rPr>
        <w:t xml:space="preserve">    10.  Размер  платы  за технологическое присоединение определяется </w:t>
      </w:r>
      <w:hyperlink w:history="0" w:anchor="P4265" w:tooltip="&lt;4&gt; - &lt;5&gt; Сноски исключены.">
        <w:r>
          <w:rPr>
            <w:sz w:val="20"/>
            <w:color w:val="0000ff"/>
          </w:rPr>
          <w:t xml:space="preserve">&lt;5&gt;</w:t>
        </w:r>
      </w:hyperlink>
      <w:r>
        <w:rPr>
          <w:sz w:val="20"/>
        </w:rPr>
        <w:t xml:space="preserve"> в</w:t>
      </w:r>
    </w:p>
    <w:p>
      <w:pPr>
        <w:pStyle w:val="1"/>
        <w:jc w:val="both"/>
      </w:pPr>
      <w:r>
        <w:rPr>
          <w:sz w:val="20"/>
        </w:rPr>
        <w:t xml:space="preserve">соответствии с решением ___________________________________________________</w:t>
      </w:r>
    </w:p>
    <w:p>
      <w:pPr>
        <w:pStyle w:val="1"/>
        <w:jc w:val="both"/>
      </w:pPr>
      <w:r>
        <w:rPr>
          <w:sz w:val="20"/>
        </w:rPr>
        <w:t xml:space="preserve">                            (наименование органа исполнительной власти</w:t>
      </w:r>
    </w:p>
    <w:p>
      <w:pPr>
        <w:pStyle w:val="1"/>
        <w:jc w:val="both"/>
      </w:pPr>
      <w:r>
        <w:rPr>
          <w:sz w:val="20"/>
        </w:rPr>
        <w:t xml:space="preserve">                         в области государственного регулирования тарифов)</w:t>
      </w:r>
    </w:p>
    <w:p>
      <w:pPr>
        <w:pStyle w:val="1"/>
        <w:jc w:val="both"/>
      </w:pPr>
      <w:r>
        <w:rPr>
          <w:sz w:val="20"/>
        </w:rPr>
        <w:t xml:space="preserve">от _________ N _____ и составляет _______ рублей _______ копеек.</w:t>
      </w:r>
    </w:p>
    <w:p>
      <w:pPr>
        <w:pStyle w:val="1"/>
        <w:jc w:val="both"/>
      </w:pPr>
      <w:r>
        <w:rPr>
          <w:sz w:val="20"/>
        </w:rPr>
        <w:t xml:space="preserve">    11.  Внесение  платы  за  технологическое  присоединение осуществляется</w:t>
      </w:r>
    </w:p>
    <w:p>
      <w:pPr>
        <w:pStyle w:val="1"/>
        <w:jc w:val="both"/>
      </w:pPr>
      <w:r>
        <w:rPr>
          <w:sz w:val="20"/>
        </w:rPr>
        <w:t xml:space="preserve">заявителем в следующем порядке: 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(указываются порядок и сроки внесения платы</w:t>
      </w:r>
    </w:p>
    <w:p>
      <w:pPr>
        <w:pStyle w:val="1"/>
        <w:jc w:val="both"/>
      </w:pPr>
      <w:r>
        <w:rPr>
          <w:sz w:val="20"/>
        </w:rPr>
        <w:t xml:space="preserve">                     за технологическое присоединение)</w:t>
      </w:r>
    </w:p>
    <w:p>
      <w:pPr>
        <w:pStyle w:val="0"/>
        <w:ind w:firstLine="540"/>
        <w:jc w:val="both"/>
      </w:pPr>
      <w:r>
        <w:rPr>
          <w:sz w:val="20"/>
        </w:rPr>
        <w:t xml:space="preserve">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pPr>
        <w:pStyle w:val="0"/>
        <w:jc w:val="both"/>
      </w:pPr>
      <w:r>
        <w:rPr>
          <w:sz w:val="20"/>
        </w:rPr>
      </w:r>
    </w:p>
    <w:p>
      <w:pPr>
        <w:pStyle w:val="0"/>
        <w:outlineLvl w:val="2"/>
        <w:jc w:val="center"/>
      </w:pPr>
      <w:r>
        <w:rPr>
          <w:sz w:val="20"/>
        </w:rPr>
        <w:t xml:space="preserve">IV. Разграничение балансовой принадлежности электрических</w:t>
      </w:r>
    </w:p>
    <w:p>
      <w:pPr>
        <w:pStyle w:val="0"/>
        <w:jc w:val="center"/>
      </w:pPr>
      <w:r>
        <w:rPr>
          <w:sz w:val="20"/>
        </w:rPr>
        <w:t xml:space="preserve">сетей и эксплуатационной ответственности сторон</w:t>
      </w:r>
    </w:p>
    <w:p>
      <w:pPr>
        <w:pStyle w:val="0"/>
        <w:jc w:val="both"/>
      </w:pPr>
      <w:r>
        <w:rPr>
          <w:sz w:val="20"/>
        </w:rPr>
      </w:r>
    </w:p>
    <w:p>
      <w:pPr>
        <w:pStyle w:val="0"/>
        <w:ind w:firstLine="540"/>
        <w:jc w:val="both"/>
      </w:pPr>
      <w:r>
        <w:rPr>
          <w:sz w:val="20"/>
        </w:rP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history="0" w:anchor="P4266" w:tooltip="&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обращения заявителя в сетевую организацию.">
        <w:r>
          <w:rPr>
            <w:sz w:val="20"/>
            <w:color w:val="0000ff"/>
          </w:rPr>
          <w:t xml:space="preserve">&lt;6&gt;</w:t>
        </w:r>
      </w:hyperlink>
      <w:r>
        <w:rPr>
          <w:sz w:val="20"/>
        </w:rPr>
        <w:t xml:space="preserve">.</w:t>
      </w:r>
    </w:p>
    <w:p>
      <w:pPr>
        <w:pStyle w:val="0"/>
        <w:jc w:val="both"/>
      </w:pPr>
      <w:r>
        <w:rPr>
          <w:sz w:val="20"/>
        </w:rPr>
      </w:r>
    </w:p>
    <w:p>
      <w:pPr>
        <w:pStyle w:val="0"/>
        <w:outlineLvl w:val="2"/>
        <w:jc w:val="center"/>
      </w:pPr>
      <w:r>
        <w:rPr>
          <w:sz w:val="20"/>
        </w:rPr>
        <w:t xml:space="preserve">V. Условия изменения, расторжения договора</w:t>
      </w:r>
    </w:p>
    <w:p>
      <w:pPr>
        <w:pStyle w:val="0"/>
        <w:jc w:val="center"/>
      </w:pPr>
      <w:r>
        <w:rPr>
          <w:sz w:val="20"/>
        </w:rPr>
        <w:t xml:space="preserve">и ответственность сторон</w:t>
      </w:r>
    </w:p>
    <w:p>
      <w:pPr>
        <w:pStyle w:val="0"/>
        <w:jc w:val="both"/>
      </w:pPr>
      <w:r>
        <w:rPr>
          <w:sz w:val="20"/>
        </w:rPr>
      </w:r>
    </w:p>
    <w:p>
      <w:pPr>
        <w:pStyle w:val="0"/>
        <w:ind w:firstLine="540"/>
        <w:jc w:val="both"/>
      </w:pPr>
      <w:r>
        <w:rPr>
          <w:sz w:val="20"/>
        </w:rPr>
        <w:t xml:space="preserve">14. Настоящий договор может быть изменен по письменному соглашению сторон или в судебном порядке.</w:t>
      </w:r>
    </w:p>
    <w:p>
      <w:pPr>
        <w:pStyle w:val="0"/>
        <w:spacing w:before="200" w:line-rule="auto"/>
        <w:ind w:firstLine="540"/>
        <w:jc w:val="both"/>
      </w:pPr>
      <w:r>
        <w:rPr>
          <w:sz w:val="20"/>
        </w:rPr>
        <w:t xml:space="preserve">15. Настоящий договор может быть расторгнут по требованию одной из сторон по основаниям, предусмотренным Гражданским </w:t>
      </w:r>
      <w:hyperlink w:history="0" r:id="rId1127" w:tooltip="&quot;Гражданский кодекс Российской Федерации (часть первая)&quot; от 30.11.1994 N 51-ФЗ (ред. от 25.02.2022)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pPr>
        <w:pStyle w:val="0"/>
        <w:spacing w:before="200" w:line-rule="auto"/>
        <w:ind w:firstLine="540"/>
        <w:jc w:val="both"/>
      </w:pPr>
      <w:r>
        <w:rPr>
          <w:sz w:val="20"/>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и (или) объектов микрогенерации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bookmarkStart w:id="4162" w:name="P4162"/>
    <w:bookmarkEnd w:id="4162"/>
    <w:p>
      <w:pPr>
        <w:pStyle w:val="0"/>
        <w:spacing w:before="200" w:line-rule="auto"/>
        <w:ind w:firstLine="540"/>
        <w:jc w:val="both"/>
      </w:pPr>
      <w:r>
        <w:rPr>
          <w:sz w:val="20"/>
        </w:rPr>
        <w:t xml:space="preserve">17. Абзац утратил силу.</w:t>
      </w:r>
    </w:p>
    <w:bookmarkStart w:id="4163" w:name="P4163"/>
    <w:bookmarkEnd w:id="4163"/>
    <w:p>
      <w:pPr>
        <w:pStyle w:val="0"/>
        <w:spacing w:before="200" w:line-rule="auto"/>
        <w:ind w:firstLine="540"/>
        <w:jc w:val="both"/>
      </w:pPr>
      <w:r>
        <w:rPr>
          <w:sz w:val="20"/>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pPr>
        <w:pStyle w:val="0"/>
        <w:spacing w:before="200" w:line-rule="auto"/>
        <w:ind w:firstLine="540"/>
        <w:jc w:val="both"/>
      </w:pPr>
      <w:r>
        <w:rPr>
          <w:sz w:val="20"/>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history="0" w:anchor="P4162" w:tooltip="17. Абзац утратил силу.">
        <w:r>
          <w:rPr>
            <w:sz w:val="20"/>
            <w:color w:val="0000ff"/>
          </w:rPr>
          <w:t xml:space="preserve">абзацем первым</w:t>
        </w:r>
      </w:hyperlink>
      <w:r>
        <w:rPr>
          <w:sz w:val="20"/>
        </w:rPr>
        <w:t xml:space="preserve"> или </w:t>
      </w:r>
      <w:hyperlink w:history="0" w:anchor="P4163" w:tooltip="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
        <w:r>
          <w:rPr>
            <w:sz w:val="20"/>
            <w:color w:val="0000ff"/>
          </w:rPr>
          <w:t xml:space="preserve">вторым</w:t>
        </w:r>
      </w:hyperlink>
      <w:r>
        <w:rPr>
          <w:sz w:val="20"/>
        </w:rPr>
        <w:t xml:space="preserve"> настоящего пункта, в случае необоснованного уклонения либо отказа от ее уплаты.</w:t>
      </w:r>
    </w:p>
    <w:p>
      <w:pPr>
        <w:pStyle w:val="0"/>
        <w:spacing w:before="200" w:line-rule="auto"/>
        <w:ind w:firstLine="540"/>
        <w:jc w:val="both"/>
      </w:pPr>
      <w:r>
        <w:rPr>
          <w:sz w:val="20"/>
        </w:rPr>
        <w:t xml:space="preserve">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pPr>
        <w:pStyle w:val="0"/>
        <w:jc w:val="both"/>
      </w:pPr>
      <w:r>
        <w:rPr>
          <w:sz w:val="20"/>
        </w:rPr>
      </w:r>
    </w:p>
    <w:p>
      <w:pPr>
        <w:pStyle w:val="0"/>
        <w:outlineLvl w:val="2"/>
        <w:jc w:val="center"/>
      </w:pPr>
      <w:r>
        <w:rPr>
          <w:sz w:val="20"/>
        </w:rPr>
        <w:t xml:space="preserve">VI. Порядок разрешения споров</w:t>
      </w:r>
    </w:p>
    <w:p>
      <w:pPr>
        <w:pStyle w:val="0"/>
        <w:jc w:val="both"/>
      </w:pPr>
      <w:r>
        <w:rPr>
          <w:sz w:val="20"/>
        </w:rPr>
      </w:r>
    </w:p>
    <w:p>
      <w:pPr>
        <w:pStyle w:val="0"/>
        <w:ind w:firstLine="540"/>
        <w:jc w:val="both"/>
      </w:pPr>
      <w:r>
        <w:rPr>
          <w:sz w:val="20"/>
        </w:rPr>
        <w:t xml:space="preserve">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pPr>
        <w:pStyle w:val="0"/>
        <w:jc w:val="both"/>
      </w:pPr>
      <w:r>
        <w:rPr>
          <w:sz w:val="20"/>
        </w:rPr>
      </w:r>
    </w:p>
    <w:p>
      <w:pPr>
        <w:pStyle w:val="0"/>
        <w:outlineLvl w:val="2"/>
        <w:jc w:val="center"/>
      </w:pPr>
      <w:r>
        <w:rPr>
          <w:sz w:val="20"/>
        </w:rPr>
        <w:t xml:space="preserve">VII. Заключительные положения</w:t>
      </w:r>
    </w:p>
    <w:p>
      <w:pPr>
        <w:pStyle w:val="0"/>
        <w:jc w:val="both"/>
      </w:pPr>
      <w:r>
        <w:rPr>
          <w:sz w:val="20"/>
        </w:rPr>
      </w:r>
    </w:p>
    <w:p>
      <w:pPr>
        <w:pStyle w:val="0"/>
        <w:ind w:firstLine="540"/>
        <w:jc w:val="both"/>
      </w:pPr>
      <w:r>
        <w:rPr>
          <w:sz w:val="20"/>
        </w:rPr>
        <w:t xml:space="preserve">21. Настоящий договор считается заключенным с даты поступления подписанного заявителем экземпляра настоящего договора в сетевую организацию.</w:t>
      </w:r>
    </w:p>
    <w:p>
      <w:pPr>
        <w:pStyle w:val="0"/>
        <w:spacing w:before="200" w:line-rule="auto"/>
        <w:ind w:firstLine="540"/>
        <w:jc w:val="both"/>
      </w:pPr>
      <w:r>
        <w:rPr>
          <w:sz w:val="20"/>
        </w:rPr>
        <w:t xml:space="preserve">22. Настоящий договор составлен и подписан в 2 экземплярах, по одному для каждой из сторон.</w:t>
      </w:r>
    </w:p>
    <w:p>
      <w:pPr>
        <w:pStyle w:val="0"/>
        <w:jc w:val="both"/>
      </w:pPr>
      <w:r>
        <w:rPr>
          <w:sz w:val="20"/>
        </w:rPr>
      </w:r>
    </w:p>
    <w:p>
      <w:pPr>
        <w:pStyle w:val="0"/>
        <w:outlineLvl w:val="2"/>
        <w:jc w:val="center"/>
      </w:pPr>
      <w:r>
        <w:rPr>
          <w:sz w:val="20"/>
        </w:rPr>
        <w:t xml:space="preserve">Реквизиты Сторон</w:t>
      </w:r>
    </w:p>
    <w:p>
      <w:pPr>
        <w:pStyle w:val="0"/>
        <w:jc w:val="both"/>
      </w:pPr>
      <w:r>
        <w:rPr>
          <w:sz w:val="20"/>
        </w:rPr>
      </w:r>
    </w:p>
    <w:tbl>
      <w:tblPr>
        <w:tblInd w:w="0" w:type="dxa"/>
        <w:tblLayout w:type="fixed"/>
        <w:tblCellMar>
          <w:top w:w="102" w:type="dxa"/>
          <w:left w:w="62" w:type="dxa"/>
          <w:bottom w:w="102" w:type="dxa"/>
          <w:right w:w="62" w:type="dxa"/>
        </w:tblCellMar>
      </w:tblPr>
      <w:tblGrid>
        <w:gridCol w:w="4397"/>
        <w:gridCol w:w="340"/>
        <w:gridCol w:w="4315"/>
      </w:tblGrid>
      <w:tr>
        <w:tc>
          <w:tcPr>
            <w:tcW w:w="4397" w:type="dxa"/>
            <w:tcBorders>
              <w:top w:val="nil"/>
              <w:left w:val="nil"/>
              <w:bottom w:val="nil"/>
              <w:right w:val="nil"/>
            </w:tcBorders>
          </w:tcPr>
          <w:p>
            <w:pPr>
              <w:pStyle w:val="0"/>
              <w:jc w:val="center"/>
            </w:pPr>
            <w:r>
              <w:rPr>
                <w:sz w:val="20"/>
              </w:rPr>
              <w:t xml:space="preserve">Сетевая организация</w:t>
            </w:r>
          </w:p>
        </w:tc>
        <w:tc>
          <w:tcPr>
            <w:tcW w:w="340" w:type="dxa"/>
            <w:tcBorders>
              <w:top w:val="nil"/>
              <w:left w:val="nil"/>
              <w:bottom w:val="nil"/>
              <w:right w:val="nil"/>
            </w:tcBorders>
          </w:tcPr>
          <w:p>
            <w:pPr>
              <w:pStyle w:val="0"/>
            </w:pPr>
            <w:r>
              <w:rPr>
                <w:sz w:val="20"/>
              </w:rPr>
            </w:r>
          </w:p>
        </w:tc>
        <w:tc>
          <w:tcPr>
            <w:tcW w:w="4315" w:type="dxa"/>
            <w:tcBorders>
              <w:top w:val="nil"/>
              <w:left w:val="nil"/>
              <w:bottom w:val="nil"/>
              <w:right w:val="nil"/>
            </w:tcBorders>
          </w:tcPr>
          <w:p>
            <w:pPr>
              <w:pStyle w:val="0"/>
              <w:jc w:val="center"/>
            </w:pPr>
            <w:r>
              <w:rPr>
                <w:sz w:val="20"/>
              </w:rPr>
              <w:t xml:space="preserve">Заявитель</w:t>
            </w:r>
          </w:p>
        </w:tc>
      </w:tr>
      <w:tr>
        <w:tc>
          <w:tcPr>
            <w:tcW w:w="4397"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4315" w:type="dxa"/>
            <w:tcBorders>
              <w:top w:val="nil"/>
              <w:left w:val="nil"/>
              <w:bottom w:val="single" w:sz="4"/>
              <w:right w:val="nil"/>
            </w:tcBorders>
          </w:tcPr>
          <w:p>
            <w:pPr>
              <w:pStyle w:val="0"/>
            </w:pPr>
            <w:r>
              <w:rPr>
                <w:sz w:val="20"/>
              </w:rPr>
            </w:r>
          </w:p>
        </w:tc>
      </w:tr>
      <w:tr>
        <w:tc>
          <w:tcPr>
            <w:tcW w:w="4397" w:type="dxa"/>
            <w:tcBorders>
              <w:top w:val="single" w:sz="4"/>
              <w:left w:val="nil"/>
              <w:bottom w:val="nil"/>
              <w:right w:val="nil"/>
            </w:tcBorders>
          </w:tcPr>
          <w:p>
            <w:pPr>
              <w:pStyle w:val="0"/>
              <w:jc w:val="center"/>
            </w:pPr>
            <w:r>
              <w:rPr>
                <w:sz w:val="20"/>
              </w:rPr>
              <w:t xml:space="preserve">(наименование сетевой организации)</w:t>
            </w:r>
          </w:p>
        </w:tc>
        <w:tc>
          <w:tcPr>
            <w:tcW w:w="340" w:type="dxa"/>
            <w:tcBorders>
              <w:top w:val="nil"/>
              <w:left w:val="nil"/>
              <w:bottom w:val="nil"/>
              <w:right w:val="nil"/>
            </w:tcBorders>
          </w:tcPr>
          <w:p>
            <w:pPr>
              <w:pStyle w:val="0"/>
            </w:pPr>
            <w:r>
              <w:rPr>
                <w:sz w:val="20"/>
              </w:rPr>
            </w:r>
          </w:p>
        </w:tc>
        <w:tc>
          <w:tcPr>
            <w:tcW w:w="4315" w:type="dxa"/>
            <w:tcBorders>
              <w:top w:val="single" w:sz="4"/>
              <w:left w:val="nil"/>
              <w:bottom w:val="nil"/>
              <w:right w:val="nil"/>
            </w:tcBorders>
          </w:tcPr>
          <w:p>
            <w:pPr>
              <w:pStyle w:val="0"/>
              <w:jc w:val="center"/>
            </w:pPr>
            <w:r>
              <w:rPr>
                <w:sz w:val="20"/>
              </w:rPr>
              <w:t xml:space="preserve">(для юридических лиц - полное наименование)</w:t>
            </w:r>
          </w:p>
        </w:tc>
      </w:tr>
      <w:tr>
        <w:tc>
          <w:tcPr>
            <w:tcW w:w="4397"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4315" w:type="dxa"/>
            <w:tcBorders>
              <w:top w:val="nil"/>
              <w:left w:val="nil"/>
              <w:bottom w:val="single" w:sz="4"/>
              <w:right w:val="nil"/>
            </w:tcBorders>
          </w:tcPr>
          <w:p>
            <w:pPr>
              <w:pStyle w:val="0"/>
            </w:pPr>
            <w:r>
              <w:rPr>
                <w:sz w:val="20"/>
              </w:rPr>
            </w:r>
          </w:p>
        </w:tc>
      </w:tr>
      <w:tr>
        <w:tc>
          <w:tcPr>
            <w:tcW w:w="4397" w:type="dxa"/>
            <w:tcBorders>
              <w:top w:val="single" w:sz="4"/>
              <w:left w:val="nil"/>
              <w:bottom w:val="single" w:sz="4"/>
              <w:right w:val="nil"/>
            </w:tcBorders>
          </w:tcPr>
          <w:p>
            <w:pPr>
              <w:pStyle w:val="0"/>
              <w:jc w:val="center"/>
            </w:pPr>
            <w:r>
              <w:rPr>
                <w:sz w:val="20"/>
              </w:rPr>
              <w:t xml:space="preserve">(место нахождения)</w:t>
            </w:r>
          </w:p>
          <w:p>
            <w:pPr>
              <w:pStyle w:val="0"/>
            </w:pPr>
            <w:r>
              <w:rPr>
                <w:sz w:val="20"/>
              </w:rPr>
              <w:t xml:space="preserve">ИНН/КПП _________________________</w:t>
            </w:r>
          </w:p>
        </w:tc>
        <w:tc>
          <w:tcPr>
            <w:tcW w:w="340" w:type="dxa"/>
            <w:tcBorders>
              <w:top w:val="nil"/>
              <w:left w:val="nil"/>
              <w:bottom w:val="nil"/>
              <w:right w:val="nil"/>
            </w:tcBorders>
          </w:tcPr>
          <w:p>
            <w:pPr>
              <w:pStyle w:val="0"/>
            </w:pPr>
            <w:r>
              <w:rPr>
                <w:sz w:val="20"/>
              </w:rPr>
            </w:r>
          </w:p>
        </w:tc>
        <w:tc>
          <w:tcPr>
            <w:tcW w:w="4315" w:type="dxa"/>
            <w:tcBorders>
              <w:top w:val="single" w:sz="4"/>
              <w:left w:val="nil"/>
              <w:bottom w:val="nil"/>
              <w:right w:val="nil"/>
            </w:tcBorders>
          </w:tcPr>
          <w:p>
            <w:pPr>
              <w:pStyle w:val="0"/>
              <w:jc w:val="center"/>
            </w:pPr>
            <w:r>
              <w:rPr>
                <w:sz w:val="20"/>
              </w:rPr>
              <w:t xml:space="preserve">(номер записи в Едином государственном реестре юридических лиц)</w:t>
            </w:r>
          </w:p>
        </w:tc>
      </w:tr>
      <w:tr>
        <w:tc>
          <w:tcPr>
            <w:tcW w:w="4397" w:type="dxa"/>
            <w:tcBorders>
              <w:top w:val="single" w:sz="4"/>
              <w:left w:val="nil"/>
              <w:bottom w:val="nil"/>
              <w:right w:val="nil"/>
            </w:tcBorders>
            <w:vMerge w:val="restart"/>
          </w:tcPr>
          <w:p>
            <w:pPr>
              <w:pStyle w:val="0"/>
            </w:pPr>
            <w:r>
              <w:rPr>
                <w:sz w:val="20"/>
              </w:rPr>
              <w:t xml:space="preserve">р/с ________________________________</w:t>
            </w:r>
          </w:p>
          <w:p>
            <w:pPr>
              <w:pStyle w:val="0"/>
            </w:pPr>
            <w:r>
              <w:rPr>
                <w:sz w:val="20"/>
              </w:rPr>
              <w:t xml:space="preserve">к/с ________________________________</w:t>
            </w:r>
          </w:p>
        </w:tc>
        <w:tc>
          <w:tcPr>
            <w:tcW w:w="340" w:type="dxa"/>
            <w:tcBorders>
              <w:top w:val="nil"/>
              <w:left w:val="nil"/>
              <w:bottom w:val="nil"/>
              <w:right w:val="nil"/>
            </w:tcBorders>
          </w:tcPr>
          <w:p>
            <w:pPr>
              <w:pStyle w:val="0"/>
            </w:pPr>
            <w:r>
              <w:rPr>
                <w:sz w:val="20"/>
              </w:rPr>
            </w:r>
          </w:p>
        </w:tc>
        <w:tc>
          <w:tcPr>
            <w:tcW w:w="4315" w:type="dxa"/>
            <w:tcBorders>
              <w:top w:val="nil"/>
              <w:left w:val="nil"/>
              <w:bottom w:val="nil"/>
              <w:right w:val="nil"/>
            </w:tcBorders>
          </w:tcPr>
          <w:p>
            <w:pPr>
              <w:pStyle w:val="0"/>
            </w:pPr>
            <w:r>
              <w:rPr>
                <w:sz w:val="20"/>
              </w:rPr>
              <w:t xml:space="preserve">ИНН _____________________________</w:t>
            </w:r>
          </w:p>
        </w:tc>
      </w:tr>
      <w:tr>
        <w:tc>
          <w:tcPr>
            <w:tcBorders>
              <w:top w:val="single" w:sz="4"/>
              <w:left w:val="nil"/>
              <w:bottom w:val="nil"/>
              <w:right w:val="nil"/>
            </w:tcBorders>
            <w:vMerge w:val="continue"/>
          </w:tcPr>
          <w:p/>
        </w:tc>
        <w:tc>
          <w:tcPr>
            <w:tcW w:w="340" w:type="dxa"/>
            <w:tcBorders>
              <w:top w:val="nil"/>
              <w:left w:val="nil"/>
              <w:bottom w:val="nil"/>
              <w:right w:val="nil"/>
            </w:tcBorders>
          </w:tcPr>
          <w:p>
            <w:pPr>
              <w:pStyle w:val="0"/>
            </w:pPr>
            <w:r>
              <w:rPr>
                <w:sz w:val="20"/>
              </w:rPr>
            </w:r>
          </w:p>
        </w:tc>
        <w:tc>
          <w:tcPr>
            <w:tcW w:w="4315" w:type="dxa"/>
            <w:tcBorders>
              <w:top w:val="nil"/>
              <w:left w:val="nil"/>
              <w:bottom w:val="single" w:sz="4"/>
              <w:right w:val="nil"/>
            </w:tcBorders>
          </w:tcPr>
          <w:p>
            <w:pPr>
              <w:pStyle w:val="0"/>
            </w:pPr>
            <w:r>
              <w:rPr>
                <w:sz w:val="20"/>
              </w:rPr>
            </w:r>
          </w:p>
        </w:tc>
      </w:tr>
      <w:tr>
        <w:tc>
          <w:tcPr>
            <w:tcW w:w="4397" w:type="dxa"/>
            <w:tcBorders>
              <w:top w:val="nil"/>
              <w:left w:val="nil"/>
              <w:bottom w:val="single" w:sz="4"/>
              <w:right w:val="nil"/>
            </w:tcBorders>
          </w:tcPr>
          <w:p>
            <w:pPr>
              <w:pStyle w:val="0"/>
            </w:pPr>
            <w:r>
              <w:rPr>
                <w:sz w:val="20"/>
              </w:rPr>
            </w:r>
          </w:p>
        </w:tc>
        <w:tc>
          <w:tcPr>
            <w:tcW w:w="340" w:type="dxa"/>
            <w:tcBorders>
              <w:top w:val="nil"/>
              <w:left w:val="nil"/>
              <w:bottom w:val="nil"/>
              <w:right w:val="nil"/>
            </w:tcBorders>
            <w:vMerge w:val="restart"/>
          </w:tcPr>
          <w:p>
            <w:pPr>
              <w:pStyle w:val="0"/>
            </w:pPr>
            <w:r>
              <w:rPr>
                <w:sz w:val="20"/>
              </w:rPr>
            </w:r>
          </w:p>
        </w:tc>
        <w:tc>
          <w:tcPr>
            <w:tcW w:w="4315" w:type="dxa"/>
            <w:tcBorders>
              <w:top w:val="single" w:sz="4"/>
              <w:left w:val="nil"/>
              <w:bottom w:val="nil"/>
              <w:right w:val="nil"/>
            </w:tcBorders>
            <w:vMerge w:val="restart"/>
          </w:tcPr>
          <w:p>
            <w:pPr>
              <w:pStyle w:val="0"/>
              <w:jc w:val="center"/>
            </w:pPr>
            <w:r>
              <w:rPr>
                <w:sz w:val="20"/>
              </w:rPr>
              <w:t xml:space="preserve">(должность, фамилия, имя, отчество лица,</w:t>
            </w:r>
          </w:p>
        </w:tc>
      </w:tr>
      <w:tr>
        <w:tc>
          <w:tcPr>
            <w:tcW w:w="4397" w:type="dxa"/>
            <w:tcBorders>
              <w:top w:val="single" w:sz="4"/>
              <w:left w:val="nil"/>
              <w:bottom w:val="nil"/>
              <w:right w:val="nil"/>
            </w:tcBorders>
            <w:vMerge w:val="restart"/>
          </w:tcPr>
          <w:p>
            <w:pPr>
              <w:pStyle w:val="0"/>
              <w:jc w:val="center"/>
            </w:pPr>
            <w:r>
              <w:rPr>
                <w:sz w:val="20"/>
              </w:rPr>
              <w:t xml:space="preserve">(должность, фамилия, имя, отчество лица,</w:t>
            </w:r>
          </w:p>
        </w:tc>
        <w:tc>
          <w:tcPr>
            <w:tcBorders>
              <w:top w:val="nil"/>
              <w:left w:val="nil"/>
              <w:bottom w:val="nil"/>
              <w:right w:val="nil"/>
            </w:tcBorders>
            <w:vMerge w:val="continue"/>
          </w:tcPr>
          <w:p/>
        </w:tc>
        <w:tc>
          <w:tcPr>
            <w:tcBorders>
              <w:top w:val="single" w:sz="4"/>
              <w:left w:val="nil"/>
              <w:bottom w:val="nil"/>
              <w:right w:val="nil"/>
            </w:tcBorders>
            <w:vMerge w:val="continue"/>
          </w:tcPr>
          <w:p/>
        </w:tc>
      </w:tr>
      <w:tr>
        <w:tc>
          <w:tcPr>
            <w:tcBorders>
              <w:top w:val="single" w:sz="4"/>
              <w:left w:val="nil"/>
              <w:bottom w:val="nil"/>
              <w:right w:val="nil"/>
            </w:tcBorders>
            <w:vMerge w:val="continue"/>
          </w:tcPr>
          <w:p/>
        </w:tc>
        <w:tc>
          <w:tcPr>
            <w:tcBorders>
              <w:top w:val="nil"/>
              <w:left w:val="nil"/>
              <w:bottom w:val="nil"/>
              <w:right w:val="nil"/>
            </w:tcBorders>
            <w:vMerge w:val="continue"/>
          </w:tcPr>
          <w:p/>
        </w:tc>
        <w:tc>
          <w:tcPr>
            <w:tcW w:w="4315" w:type="dxa"/>
            <w:tcBorders>
              <w:top w:val="nil"/>
              <w:left w:val="nil"/>
              <w:bottom w:val="single" w:sz="4"/>
              <w:right w:val="nil"/>
            </w:tcBorders>
          </w:tcPr>
          <w:p>
            <w:pPr>
              <w:pStyle w:val="0"/>
            </w:pPr>
            <w:r>
              <w:rPr>
                <w:sz w:val="20"/>
              </w:rPr>
            </w:r>
          </w:p>
        </w:tc>
      </w:tr>
      <w:tr>
        <w:tc>
          <w:tcPr>
            <w:tcW w:w="4397" w:type="dxa"/>
            <w:tcBorders>
              <w:top w:val="nil"/>
              <w:left w:val="nil"/>
              <w:bottom w:val="single" w:sz="4"/>
              <w:right w:val="nil"/>
            </w:tcBorders>
          </w:tcPr>
          <w:p>
            <w:pPr>
              <w:pStyle w:val="0"/>
            </w:pPr>
            <w:r>
              <w:rPr>
                <w:sz w:val="20"/>
              </w:rPr>
            </w:r>
          </w:p>
        </w:tc>
        <w:tc>
          <w:tcPr>
            <w:tcW w:w="340" w:type="dxa"/>
            <w:tcBorders>
              <w:top w:val="nil"/>
              <w:left w:val="nil"/>
              <w:bottom w:val="nil"/>
              <w:right w:val="nil"/>
            </w:tcBorders>
            <w:vMerge w:val="restart"/>
          </w:tcPr>
          <w:p>
            <w:pPr>
              <w:pStyle w:val="0"/>
            </w:pPr>
            <w:r>
              <w:rPr>
                <w:sz w:val="20"/>
              </w:rPr>
            </w:r>
          </w:p>
        </w:tc>
        <w:tc>
          <w:tcPr>
            <w:tcW w:w="4315" w:type="dxa"/>
            <w:tcBorders>
              <w:top w:val="single" w:sz="4"/>
              <w:left w:val="nil"/>
              <w:bottom w:val="nil"/>
              <w:right w:val="nil"/>
            </w:tcBorders>
            <w:vMerge w:val="restart"/>
          </w:tcPr>
          <w:p>
            <w:pPr>
              <w:pStyle w:val="0"/>
              <w:jc w:val="center"/>
            </w:pPr>
            <w:r>
              <w:rPr>
                <w:sz w:val="20"/>
              </w:rPr>
              <w:t xml:space="preserve">действующего от имени юридического лица)</w:t>
            </w:r>
          </w:p>
        </w:tc>
      </w:tr>
      <w:tr>
        <w:tc>
          <w:tcPr>
            <w:tcW w:w="4397" w:type="dxa"/>
            <w:tcBorders>
              <w:top w:val="single" w:sz="4"/>
              <w:left w:val="nil"/>
              <w:bottom w:val="nil"/>
              <w:right w:val="nil"/>
            </w:tcBorders>
            <w:vMerge w:val="restart"/>
          </w:tcPr>
          <w:p>
            <w:pPr>
              <w:pStyle w:val="0"/>
              <w:jc w:val="center"/>
            </w:pPr>
            <w:r>
              <w:rPr>
                <w:sz w:val="20"/>
              </w:rPr>
              <w:t xml:space="preserve">действующего от имени сетевой организации)</w:t>
            </w:r>
          </w:p>
        </w:tc>
        <w:tc>
          <w:tcPr>
            <w:tcBorders>
              <w:top w:val="nil"/>
              <w:left w:val="nil"/>
              <w:bottom w:val="nil"/>
              <w:right w:val="nil"/>
            </w:tcBorders>
            <w:vMerge w:val="continue"/>
          </w:tcPr>
          <w:p/>
        </w:tc>
        <w:tc>
          <w:tcPr>
            <w:tcBorders>
              <w:top w:val="single" w:sz="4"/>
              <w:left w:val="nil"/>
              <w:bottom w:val="nil"/>
              <w:right w:val="nil"/>
            </w:tcBorders>
            <w:vMerge w:val="continue"/>
          </w:tcPr>
          <w:p/>
        </w:tc>
      </w:tr>
      <w:tr>
        <w:tc>
          <w:tcPr>
            <w:tcBorders>
              <w:top w:val="single" w:sz="4"/>
              <w:left w:val="nil"/>
              <w:bottom w:val="nil"/>
              <w:right w:val="nil"/>
            </w:tcBorders>
            <w:vMerge w:val="continue"/>
          </w:tcPr>
          <w:p/>
        </w:tc>
        <w:tc>
          <w:tcPr>
            <w:tcBorders>
              <w:top w:val="nil"/>
              <w:left w:val="nil"/>
              <w:bottom w:val="nil"/>
              <w:right w:val="nil"/>
            </w:tcBorders>
            <w:vMerge w:val="continue"/>
          </w:tcPr>
          <w:p/>
        </w:tc>
        <w:tc>
          <w:tcPr>
            <w:tcW w:w="4315" w:type="dxa"/>
            <w:tcBorders>
              <w:top w:val="nil"/>
              <w:left w:val="nil"/>
              <w:bottom w:val="single" w:sz="4"/>
              <w:right w:val="nil"/>
            </w:tcBorders>
          </w:tcPr>
          <w:p>
            <w:pPr>
              <w:pStyle w:val="0"/>
            </w:pPr>
            <w:r>
              <w:rPr>
                <w:sz w:val="20"/>
              </w:rPr>
            </w:r>
          </w:p>
        </w:tc>
      </w:tr>
      <w:tr>
        <w:tblPrEx>
          <w:tblBorders>
            <w:insideH w:val="single" w:sz="4"/>
          </w:tblBorders>
        </w:tblPrEx>
        <w:tc>
          <w:tcPr>
            <w:tcBorders>
              <w:top w:val="single" w:sz="4"/>
              <w:left w:val="nil"/>
              <w:bottom w:val="nil"/>
              <w:right w:val="nil"/>
            </w:tcBorders>
            <w:vMerge w:val="continue"/>
          </w:tcPr>
          <w:p/>
        </w:tc>
        <w:tc>
          <w:tcPr>
            <w:tcBorders>
              <w:top w:val="nil"/>
              <w:left w:val="nil"/>
              <w:bottom w:val="nil"/>
              <w:right w:val="nil"/>
            </w:tcBorders>
            <w:vMerge w:val="continue"/>
          </w:tcPr>
          <w:p/>
        </w:tc>
        <w:tc>
          <w:tcPr>
            <w:tcW w:w="4315" w:type="dxa"/>
            <w:tcBorders>
              <w:top w:val="single" w:sz="4"/>
              <w:left w:val="nil"/>
              <w:bottom w:val="single" w:sz="4"/>
              <w:right w:val="nil"/>
            </w:tcBorders>
          </w:tcPr>
          <w:p>
            <w:pPr>
              <w:pStyle w:val="0"/>
            </w:pPr>
            <w:r>
              <w:rPr>
                <w:sz w:val="20"/>
              </w:rPr>
            </w:r>
          </w:p>
        </w:tc>
      </w:tr>
      <w:tr>
        <w:tc>
          <w:tcPr>
            <w:tcBorders>
              <w:top w:val="single" w:sz="4"/>
              <w:left w:val="nil"/>
              <w:bottom w:val="nil"/>
              <w:right w:val="nil"/>
            </w:tcBorders>
            <w:vMerge w:val="continue"/>
          </w:tcPr>
          <w:p/>
        </w:tc>
        <w:tc>
          <w:tcPr>
            <w:tcBorders>
              <w:top w:val="nil"/>
              <w:left w:val="nil"/>
              <w:bottom w:val="nil"/>
              <w:right w:val="nil"/>
            </w:tcBorders>
            <w:vMerge w:val="continue"/>
          </w:tcPr>
          <w:p/>
        </w:tc>
        <w:tc>
          <w:tcPr>
            <w:tcW w:w="4315" w:type="dxa"/>
            <w:tcBorders>
              <w:top w:val="single" w:sz="4"/>
              <w:left w:val="nil"/>
              <w:bottom w:val="nil"/>
              <w:right w:val="nil"/>
            </w:tcBorders>
          </w:tcPr>
          <w:p>
            <w:pPr>
              <w:pStyle w:val="0"/>
              <w:jc w:val="center"/>
            </w:pPr>
            <w:r>
              <w:rPr>
                <w:sz w:val="20"/>
              </w:rPr>
              <w:t xml:space="preserve">(место нахождения)</w:t>
            </w:r>
          </w:p>
        </w:tc>
      </w:tr>
      <w:tr>
        <w:tc>
          <w:tcPr>
            <w:tcBorders>
              <w:top w:val="single" w:sz="4"/>
              <w:left w:val="nil"/>
              <w:bottom w:val="nil"/>
              <w:right w:val="nil"/>
            </w:tcBorders>
            <w:vMerge w:val="continue"/>
          </w:tcPr>
          <w:p/>
        </w:tc>
        <w:tc>
          <w:tcPr>
            <w:tcBorders>
              <w:top w:val="nil"/>
              <w:left w:val="nil"/>
              <w:bottom w:val="nil"/>
              <w:right w:val="nil"/>
            </w:tcBorders>
            <w:vMerge w:val="continue"/>
          </w:tcPr>
          <w:p/>
        </w:tc>
        <w:tc>
          <w:tcPr>
            <w:tcW w:w="4315" w:type="dxa"/>
            <w:tcBorders>
              <w:top w:val="nil"/>
              <w:left w:val="nil"/>
              <w:bottom w:val="single" w:sz="4"/>
              <w:right w:val="nil"/>
            </w:tcBorders>
          </w:tcPr>
          <w:p>
            <w:pPr>
              <w:pStyle w:val="0"/>
            </w:pPr>
            <w:r>
              <w:rPr>
                <w:sz w:val="20"/>
              </w:rPr>
            </w:r>
          </w:p>
        </w:tc>
      </w:tr>
      <w:tr>
        <w:tc>
          <w:tcPr>
            <w:tcW w:w="4397" w:type="dxa"/>
            <w:tcBorders>
              <w:top w:val="nil"/>
              <w:left w:val="nil"/>
              <w:bottom w:val="nil"/>
              <w:right w:val="nil"/>
            </w:tcBorders>
            <w:vMerge w:val="restart"/>
          </w:tcPr>
          <w:p>
            <w:pPr>
              <w:pStyle w:val="0"/>
            </w:pPr>
            <w:r>
              <w:rPr>
                <w:sz w:val="20"/>
              </w:rPr>
            </w:r>
          </w:p>
        </w:tc>
        <w:tc>
          <w:tcPr>
            <w:tcW w:w="340" w:type="dxa"/>
            <w:tcBorders>
              <w:top w:val="nil"/>
              <w:left w:val="nil"/>
              <w:bottom w:val="nil"/>
              <w:right w:val="nil"/>
            </w:tcBorders>
            <w:vMerge w:val="restart"/>
          </w:tcPr>
          <w:p>
            <w:pPr>
              <w:pStyle w:val="0"/>
            </w:pPr>
            <w:r>
              <w:rPr>
                <w:sz w:val="20"/>
              </w:rPr>
            </w:r>
          </w:p>
        </w:tc>
        <w:tc>
          <w:tcPr>
            <w:tcW w:w="4315" w:type="dxa"/>
            <w:tcBorders>
              <w:top w:val="single" w:sz="4"/>
              <w:left w:val="nil"/>
              <w:bottom w:val="nil"/>
              <w:right w:val="nil"/>
            </w:tcBorders>
          </w:tcPr>
          <w:p>
            <w:pPr>
              <w:pStyle w:val="0"/>
              <w:jc w:val="center"/>
            </w:pPr>
            <w:r>
              <w:rPr>
                <w:sz w:val="20"/>
              </w:rPr>
              <w:t xml:space="preserve">(для индивидуальных предпринимателей - фамилия, имя, отчество)</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315" w:type="dxa"/>
            <w:tcBorders>
              <w:top w:val="nil"/>
              <w:left w:val="nil"/>
              <w:bottom w:val="single" w:sz="4"/>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315" w:type="dxa"/>
            <w:tcBorders>
              <w:top w:val="single" w:sz="4"/>
              <w:left w:val="nil"/>
              <w:bottom w:val="nil"/>
              <w:right w:val="nil"/>
            </w:tcBorders>
          </w:tcPr>
          <w:p>
            <w:pPr>
              <w:pStyle w:val="0"/>
              <w:jc w:val="center"/>
            </w:pPr>
            <w:r>
              <w:rPr>
                <w:sz w:val="20"/>
              </w:rPr>
              <w:t xml:space="preserve">(номер записи в Едином государственном реестре индивидуальных предпринимателей и дата ее внесения в реестр)</w:t>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pPr>
            <w:r>
              <w:rPr>
                <w:sz w:val="20"/>
              </w:rPr>
            </w:r>
          </w:p>
        </w:tc>
        <w:tc>
          <w:tcPr>
            <w:tcW w:w="4315" w:type="dxa"/>
            <w:tcBorders>
              <w:top w:val="nil"/>
              <w:left w:val="nil"/>
              <w:bottom w:val="single" w:sz="4"/>
              <w:right w:val="nil"/>
            </w:tcBorders>
          </w:tcPr>
          <w:p>
            <w:pPr>
              <w:pStyle w:val="0"/>
            </w:pPr>
            <w:r>
              <w:rPr>
                <w:sz w:val="20"/>
              </w:rPr>
            </w:r>
          </w:p>
        </w:tc>
      </w:tr>
      <w:tr>
        <w:tc>
          <w:tcPr>
            <w:tcW w:w="4397"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4315" w:type="dxa"/>
            <w:tcBorders>
              <w:top w:val="single" w:sz="4"/>
              <w:left w:val="nil"/>
              <w:bottom w:val="nil"/>
              <w:right w:val="nil"/>
            </w:tcBorders>
          </w:tcPr>
          <w:p>
            <w:pPr>
              <w:pStyle w:val="0"/>
              <w:jc w:val="center"/>
            </w:pPr>
            <w:r>
              <w:rPr>
                <w:sz w:val="20"/>
              </w:rPr>
              <w:t xml:space="preserve">(серия, номер и дата выдачи паспорта или</w:t>
            </w:r>
          </w:p>
        </w:tc>
      </w:tr>
      <w:tr>
        <w:tc>
          <w:tcPr>
            <w:tcW w:w="4397"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4315" w:type="dxa"/>
            <w:tcBorders>
              <w:top w:val="nil"/>
              <w:left w:val="nil"/>
              <w:bottom w:val="single" w:sz="4"/>
              <w:right w:val="nil"/>
            </w:tcBorders>
          </w:tcPr>
          <w:p>
            <w:pPr>
              <w:pStyle w:val="0"/>
            </w:pPr>
            <w:r>
              <w:rPr>
                <w:sz w:val="20"/>
              </w:rPr>
            </w:r>
          </w:p>
        </w:tc>
      </w:tr>
      <w:tr>
        <w:tc>
          <w:tcPr>
            <w:tcW w:w="4397"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4315" w:type="dxa"/>
            <w:tcBorders>
              <w:top w:val="single" w:sz="4"/>
              <w:left w:val="nil"/>
              <w:bottom w:val="nil"/>
              <w:right w:val="nil"/>
            </w:tcBorders>
          </w:tcPr>
          <w:p>
            <w:pPr>
              <w:pStyle w:val="0"/>
              <w:jc w:val="center"/>
            </w:pPr>
            <w:r>
              <w:rPr>
                <w:sz w:val="20"/>
              </w:rPr>
              <w:t xml:space="preserve">иного документа, удостоверяющего личность в соответствии с законодательством Российской Федерации)</w:t>
            </w:r>
          </w:p>
        </w:tc>
      </w:tr>
      <w:tr>
        <w:tc>
          <w:tcPr>
            <w:tcW w:w="4397"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4315" w:type="dxa"/>
            <w:tcBorders>
              <w:top w:val="nil"/>
              <w:left w:val="nil"/>
              <w:bottom w:val="nil"/>
              <w:right w:val="nil"/>
            </w:tcBorders>
          </w:tcPr>
          <w:p>
            <w:pPr>
              <w:pStyle w:val="0"/>
            </w:pPr>
            <w:r>
              <w:rPr>
                <w:sz w:val="20"/>
              </w:rPr>
              <w:t xml:space="preserve">ИНН _____________________________</w:t>
            </w:r>
          </w:p>
        </w:tc>
      </w:tr>
      <w:tr>
        <w:tc>
          <w:tcPr>
            <w:tcW w:w="4397"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4315" w:type="dxa"/>
            <w:tcBorders>
              <w:top w:val="nil"/>
              <w:left w:val="nil"/>
              <w:bottom w:val="single" w:sz="4"/>
              <w:right w:val="nil"/>
            </w:tcBorders>
          </w:tcPr>
          <w:p>
            <w:pPr>
              <w:pStyle w:val="0"/>
            </w:pPr>
            <w:r>
              <w:rPr>
                <w:sz w:val="20"/>
              </w:rPr>
            </w:r>
          </w:p>
        </w:tc>
      </w:tr>
      <w:tr>
        <w:tc>
          <w:tcPr>
            <w:tcW w:w="4397"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4315" w:type="dxa"/>
            <w:tcBorders>
              <w:top w:val="single" w:sz="4"/>
              <w:left w:val="nil"/>
              <w:bottom w:val="single" w:sz="4"/>
              <w:right w:val="nil"/>
            </w:tcBorders>
          </w:tcPr>
          <w:p>
            <w:pPr>
              <w:pStyle w:val="0"/>
            </w:pPr>
            <w:r>
              <w:rPr>
                <w:sz w:val="20"/>
              </w:rPr>
            </w:r>
          </w:p>
        </w:tc>
      </w:tr>
      <w:tr>
        <w:tc>
          <w:tcPr>
            <w:tcW w:w="4397"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4315" w:type="dxa"/>
            <w:tcBorders>
              <w:top w:val="single" w:sz="4"/>
              <w:left w:val="nil"/>
              <w:bottom w:val="nil"/>
              <w:right w:val="nil"/>
            </w:tcBorders>
          </w:tcPr>
          <w:p>
            <w:pPr>
              <w:pStyle w:val="0"/>
            </w:pPr>
            <w:r>
              <w:rPr>
                <w:sz w:val="20"/>
              </w:rPr>
              <w:t xml:space="preserve">Место жительства __________________</w:t>
            </w:r>
          </w:p>
        </w:tc>
      </w:tr>
      <w:tr>
        <w:tc>
          <w:tcPr>
            <w:tcW w:w="4397"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4315" w:type="dxa"/>
            <w:tcBorders>
              <w:top w:val="nil"/>
              <w:left w:val="nil"/>
              <w:bottom w:val="single" w:sz="4"/>
              <w:right w:val="nil"/>
            </w:tcBorders>
          </w:tcPr>
          <w:p>
            <w:pPr>
              <w:pStyle w:val="0"/>
            </w:pPr>
            <w:r>
              <w:rPr>
                <w:sz w:val="20"/>
              </w:rPr>
            </w:r>
          </w:p>
        </w:tc>
      </w:tr>
      <w:tr>
        <w:tc>
          <w:tcPr>
            <w:tcW w:w="4397"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4315" w:type="dxa"/>
            <w:tcBorders>
              <w:top w:val="single" w:sz="4"/>
              <w:left w:val="nil"/>
              <w:bottom w:val="single" w:sz="4"/>
              <w:right w:val="nil"/>
            </w:tcBorders>
          </w:tcPr>
          <w:p>
            <w:pPr>
              <w:pStyle w:val="0"/>
            </w:pPr>
            <w:r>
              <w:rPr>
                <w:sz w:val="20"/>
              </w:rPr>
            </w:r>
          </w:p>
        </w:tc>
      </w:tr>
      <w:tr>
        <w:tc>
          <w:tcPr>
            <w:tcW w:w="4397"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4315" w:type="dxa"/>
            <w:tcBorders>
              <w:top w:val="single" w:sz="4"/>
              <w:left w:val="nil"/>
              <w:bottom w:val="nil"/>
              <w:right w:val="nil"/>
            </w:tcBorders>
          </w:tcPr>
          <w:p>
            <w:pPr>
              <w:pStyle w:val="0"/>
            </w:pPr>
            <w:r>
              <w:rPr>
                <w:sz w:val="20"/>
              </w:rPr>
            </w:r>
          </w:p>
        </w:tc>
      </w:tr>
      <w:tr>
        <w:tc>
          <w:tcPr>
            <w:tcW w:w="4397"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4315" w:type="dxa"/>
            <w:tcBorders>
              <w:top w:val="nil"/>
              <w:left w:val="nil"/>
              <w:bottom w:val="single" w:sz="4"/>
              <w:right w:val="nil"/>
            </w:tcBorders>
          </w:tcPr>
          <w:p>
            <w:pPr>
              <w:pStyle w:val="0"/>
            </w:pPr>
            <w:r>
              <w:rPr>
                <w:sz w:val="20"/>
              </w:rPr>
            </w:r>
          </w:p>
        </w:tc>
      </w:tr>
      <w:tr>
        <w:tc>
          <w:tcPr>
            <w:tcW w:w="4397"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4315" w:type="dxa"/>
            <w:tcBorders>
              <w:top w:val="single" w:sz="4"/>
              <w:left w:val="nil"/>
              <w:bottom w:val="nil"/>
              <w:right w:val="nil"/>
            </w:tcBorders>
          </w:tcPr>
          <w:p>
            <w:pPr>
              <w:pStyle w:val="0"/>
              <w:jc w:val="center"/>
            </w:pPr>
            <w:r>
              <w:rPr>
                <w:sz w:val="20"/>
              </w:rPr>
              <w:t xml:space="preserve">(подпись)</w:t>
            </w:r>
          </w:p>
        </w:tc>
      </w:tr>
      <w:tr>
        <w:tc>
          <w:tcPr>
            <w:tcW w:w="4397" w:type="dxa"/>
            <w:tcBorders>
              <w:top w:val="nil"/>
              <w:left w:val="nil"/>
              <w:bottom w:val="nil"/>
              <w:right w:val="nil"/>
            </w:tcBorders>
          </w:tcPr>
          <w:p>
            <w:pPr>
              <w:pStyle w:val="0"/>
            </w:pPr>
            <w:r>
              <w:rPr>
                <w:sz w:val="20"/>
              </w:rPr>
              <w:t xml:space="preserve">М.П.</w:t>
            </w:r>
          </w:p>
        </w:tc>
        <w:tc>
          <w:tcPr>
            <w:tcW w:w="340" w:type="dxa"/>
            <w:tcBorders>
              <w:top w:val="nil"/>
              <w:left w:val="nil"/>
              <w:bottom w:val="nil"/>
              <w:right w:val="nil"/>
            </w:tcBorders>
          </w:tcPr>
          <w:p>
            <w:pPr>
              <w:pStyle w:val="0"/>
            </w:pPr>
            <w:r>
              <w:rPr>
                <w:sz w:val="20"/>
              </w:rPr>
            </w:r>
          </w:p>
        </w:tc>
        <w:tc>
          <w:tcPr>
            <w:tcW w:w="4315" w:type="dxa"/>
            <w:tcBorders>
              <w:top w:val="nil"/>
              <w:left w:val="nil"/>
              <w:bottom w:val="nil"/>
              <w:right w:val="nil"/>
            </w:tcBorders>
          </w:tcPr>
          <w:p>
            <w:pPr>
              <w:pStyle w:val="0"/>
            </w:pPr>
            <w:r>
              <w:rPr>
                <w:sz w:val="20"/>
              </w:rPr>
              <w:t xml:space="preserve">М.П.</w:t>
            </w:r>
          </w:p>
        </w:tc>
      </w:tr>
    </w:tbl>
    <w:p>
      <w:pPr>
        <w:pStyle w:val="0"/>
        <w:jc w:val="both"/>
      </w:pPr>
      <w:r>
        <w:rPr>
          <w:sz w:val="20"/>
        </w:rPr>
      </w:r>
    </w:p>
    <w:p>
      <w:pPr>
        <w:pStyle w:val="0"/>
        <w:ind w:firstLine="540"/>
        <w:jc w:val="both"/>
      </w:pPr>
      <w:r>
        <w:rPr>
          <w:sz w:val="20"/>
        </w:rPr>
        <w:t xml:space="preserve">--------------------------------</w:t>
      </w:r>
    </w:p>
    <w:bookmarkStart w:id="4262" w:name="P4262"/>
    <w:bookmarkEnd w:id="4262"/>
    <w:p>
      <w:pPr>
        <w:pStyle w:val="0"/>
        <w:spacing w:before="200" w:line-rule="auto"/>
        <w:ind w:firstLine="540"/>
        <w:jc w:val="both"/>
      </w:pPr>
      <w:r>
        <w:rPr>
          <w:sz w:val="20"/>
        </w:rPr>
        <w:t xml:space="preserve">&lt;1&gt; Подлежит указанию, если энергопринимающее устройство (объект микрогенерации)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(объектов микрогенерации).</w:t>
      </w:r>
    </w:p>
    <w:bookmarkStart w:id="4263" w:name="P4263"/>
    <w:bookmarkEnd w:id="4263"/>
    <w:p>
      <w:pPr>
        <w:pStyle w:val="0"/>
        <w:spacing w:before="200" w:line-rule="auto"/>
        <w:ind w:firstLine="540"/>
        <w:jc w:val="both"/>
      </w:pPr>
      <w:r>
        <w:rPr>
          <w:sz w:val="20"/>
        </w:rPr>
        <w:t xml:space="preserve">&lt;2&gt;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p>
    <w:bookmarkStart w:id="4264" w:name="P4264"/>
    <w:bookmarkEnd w:id="4264"/>
    <w:p>
      <w:pPr>
        <w:pStyle w:val="0"/>
        <w:spacing w:before="200" w:line-rule="auto"/>
        <w:ind w:firstLine="540"/>
        <w:jc w:val="both"/>
      </w:pPr>
      <w:r>
        <w:rPr>
          <w:sz w:val="20"/>
        </w:rPr>
        <w:t xml:space="preserve">&lt;3&gt; Срок действия технических условий не может составлять менее 2 лет и более 5 лет.</w:t>
      </w:r>
    </w:p>
    <w:bookmarkStart w:id="4265" w:name="P4265"/>
    <w:bookmarkEnd w:id="4265"/>
    <w:p>
      <w:pPr>
        <w:pStyle w:val="0"/>
        <w:spacing w:before="200" w:line-rule="auto"/>
        <w:ind w:firstLine="540"/>
        <w:jc w:val="both"/>
      </w:pPr>
      <w:r>
        <w:rPr>
          <w:sz w:val="20"/>
        </w:rPr>
        <w:t xml:space="preserve">&lt;4&gt; - &lt;5&gt; Сноски исключены.</w:t>
      </w:r>
    </w:p>
    <w:bookmarkStart w:id="4266" w:name="P4266"/>
    <w:bookmarkEnd w:id="4266"/>
    <w:p>
      <w:pPr>
        <w:pStyle w:val="0"/>
        <w:spacing w:before="200" w:line-rule="auto"/>
        <w:ind w:firstLine="540"/>
        <w:jc w:val="both"/>
      </w:pPr>
      <w:r>
        <w:rPr>
          <w:sz w:val="20"/>
        </w:rPr>
        <w:t xml:space="preserve">&lt;6&gt;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обращения заявителя в сетевую организацию.</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w:t>
      </w:r>
    </w:p>
    <w:p>
      <w:pPr>
        <w:pStyle w:val="0"/>
        <w:jc w:val="right"/>
      </w:pPr>
      <w:r>
        <w:rPr>
          <w:sz w:val="20"/>
        </w:rPr>
        <w:t xml:space="preserve">к типовому договору об осуществлении</w:t>
      </w:r>
    </w:p>
    <w:p>
      <w:pPr>
        <w:pStyle w:val="0"/>
        <w:jc w:val="right"/>
      </w:pPr>
      <w:r>
        <w:rPr>
          <w:sz w:val="20"/>
        </w:rPr>
        <w:t xml:space="preserve">технологического присоединения</w:t>
      </w:r>
    </w:p>
    <w:p>
      <w:pPr>
        <w:pStyle w:val="0"/>
        <w:jc w:val="right"/>
      </w:pPr>
      <w:r>
        <w:rPr>
          <w:sz w:val="20"/>
        </w:rPr>
        <w:t xml:space="preserve">к электрическим сетям</w:t>
      </w:r>
    </w:p>
    <w:p>
      <w:pPr>
        <w:pStyle w:val="0"/>
        <w:jc w:val="both"/>
      </w:pPr>
      <w:r>
        <w:rPr>
          <w:sz w:val="20"/>
        </w:rPr>
      </w:r>
    </w:p>
    <w:bookmarkStart w:id="4277" w:name="P4277"/>
    <w:bookmarkEnd w:id="4277"/>
    <w:p>
      <w:pPr>
        <w:pStyle w:val="1"/>
        <w:jc w:val="both"/>
      </w:pPr>
      <w:r>
        <w:rPr>
          <w:sz w:val="20"/>
        </w:rPr>
        <w:t xml:space="preserve">                            ТЕХНИЧЕСКИЕ УСЛОВИЯ</w:t>
      </w:r>
    </w:p>
    <w:p>
      <w:pPr>
        <w:pStyle w:val="1"/>
        <w:jc w:val="both"/>
      </w:pPr>
      <w:r>
        <w:rPr>
          <w:sz w:val="20"/>
        </w:rPr>
        <w:t xml:space="preserve">                  для присоединения к электрическим сетям</w:t>
      </w:r>
    </w:p>
    <w:p>
      <w:pPr>
        <w:pStyle w:val="1"/>
        <w:jc w:val="both"/>
      </w:pPr>
      <w:r>
        <w:rPr>
          <w:sz w:val="20"/>
        </w:rPr>
      </w:r>
    </w:p>
    <w:p>
      <w:pPr>
        <w:pStyle w:val="1"/>
        <w:jc w:val="both"/>
      </w:pPr>
      <w:r>
        <w:rPr>
          <w:sz w:val="20"/>
        </w:rPr>
        <w:t xml:space="preserve">         (для юридических лиц или индивидуальных предпринимателей</w:t>
      </w:r>
    </w:p>
    <w:p>
      <w:pPr>
        <w:pStyle w:val="1"/>
        <w:jc w:val="both"/>
      </w:pPr>
      <w:r>
        <w:rPr>
          <w:sz w:val="20"/>
        </w:rPr>
        <w:t xml:space="preserve">         в целях технологического присоединения энергопринимающих</w:t>
      </w:r>
    </w:p>
    <w:p>
      <w:pPr>
        <w:pStyle w:val="1"/>
        <w:jc w:val="both"/>
      </w:pPr>
      <w:r>
        <w:rPr>
          <w:sz w:val="20"/>
        </w:rPr>
        <w:t xml:space="preserve">         устройств, максимальная мощность которых составляет до 15</w:t>
      </w:r>
    </w:p>
    <w:p>
      <w:pPr>
        <w:pStyle w:val="1"/>
        <w:jc w:val="both"/>
      </w:pPr>
      <w:r>
        <w:rPr>
          <w:sz w:val="20"/>
        </w:rPr>
        <w:t xml:space="preserve">         кВт включительно (с учетом ранее присоединенных в данной</w:t>
      </w:r>
    </w:p>
    <w:p>
      <w:pPr>
        <w:pStyle w:val="1"/>
        <w:jc w:val="both"/>
      </w:pPr>
      <w:r>
        <w:rPr>
          <w:sz w:val="20"/>
        </w:rPr>
        <w:t xml:space="preserve">         точке присоединения энергопринимающих устройств) и (или)</w:t>
      </w:r>
    </w:p>
    <w:p>
      <w:pPr>
        <w:pStyle w:val="1"/>
        <w:jc w:val="both"/>
      </w:pPr>
      <w:r>
        <w:rPr>
          <w:sz w:val="20"/>
        </w:rPr>
        <w:t xml:space="preserve">                         объектов микрогенерации)</w:t>
      </w:r>
    </w:p>
    <w:p>
      <w:pPr>
        <w:pStyle w:val="0"/>
        <w:jc w:val="both"/>
      </w:pPr>
      <w:r>
        <w:rPr>
          <w:sz w:val="20"/>
        </w:rPr>
      </w:r>
    </w:p>
    <w:tbl>
      <w:tblPr>
        <w:tblInd w:w="0" w:type="dxa"/>
        <w:tblLayout w:type="fixed"/>
        <w:tblCellMar>
          <w:top w:w="102" w:type="dxa"/>
          <w:left w:w="62" w:type="dxa"/>
          <w:bottom w:w="102" w:type="dxa"/>
          <w:right w:w="62" w:type="dxa"/>
        </w:tblCellMar>
      </w:tblPr>
      <w:tblGrid>
        <w:gridCol w:w="2645"/>
        <w:gridCol w:w="2496"/>
        <w:gridCol w:w="3855"/>
      </w:tblGrid>
      <w:tr>
        <w:tc>
          <w:tcPr>
            <w:tcW w:w="2645" w:type="dxa"/>
            <w:vAlign w:val="center"/>
            <w:tcBorders>
              <w:top w:val="nil"/>
              <w:left w:val="nil"/>
              <w:bottom w:val="nil"/>
              <w:right w:val="nil"/>
            </w:tcBorders>
          </w:tcPr>
          <w:p>
            <w:pPr>
              <w:pStyle w:val="0"/>
            </w:pPr>
            <w:r>
              <w:rPr>
                <w:sz w:val="20"/>
              </w:rPr>
              <w:t xml:space="preserve">N</w:t>
            </w:r>
          </w:p>
        </w:tc>
        <w:tc>
          <w:tcPr>
            <w:tcW w:w="2496" w:type="dxa"/>
            <w:tcBorders>
              <w:top w:val="nil"/>
              <w:left w:val="nil"/>
              <w:bottom w:val="nil"/>
              <w:right w:val="nil"/>
            </w:tcBorders>
          </w:tcPr>
          <w:p>
            <w:pPr>
              <w:pStyle w:val="0"/>
            </w:pPr>
            <w:r>
              <w:rPr>
                <w:sz w:val="20"/>
              </w:rPr>
            </w:r>
          </w:p>
        </w:tc>
        <w:tc>
          <w:tcPr>
            <w:tcW w:w="3855" w:type="dxa"/>
            <w:vAlign w:val="center"/>
            <w:tcBorders>
              <w:top w:val="nil"/>
              <w:left w:val="nil"/>
              <w:bottom w:val="nil"/>
              <w:right w:val="nil"/>
            </w:tcBorders>
          </w:tcPr>
          <w:p>
            <w:pPr>
              <w:pStyle w:val="0"/>
            </w:pPr>
            <w:r>
              <w:rPr>
                <w:sz w:val="20"/>
              </w:rPr>
              <w:t xml:space="preserve">"__" ___________ 20__ г.</w:t>
            </w:r>
          </w:p>
        </w:tc>
      </w:tr>
    </w:tbl>
    <w:p>
      <w:pPr>
        <w:pStyle w:val="0"/>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сетевой организации, выдавшей технические условия)</w:t>
      </w:r>
    </w:p>
    <w:p>
      <w:pPr>
        <w:pStyle w:val="1"/>
        <w:jc w:val="both"/>
      </w:pPr>
      <w:r>
        <w:rPr>
          <w:sz w:val="20"/>
        </w:rPr>
        <w:t xml:space="preserve">___________________________________________________________________________</w:t>
      </w:r>
    </w:p>
    <w:p>
      <w:pPr>
        <w:pStyle w:val="1"/>
        <w:jc w:val="both"/>
      </w:pPr>
      <w:r>
        <w:rPr>
          <w:sz w:val="20"/>
        </w:rPr>
        <w:t xml:space="preserve">(полное наименование заявителя - юридического лица; фамилия, имя, отчество</w:t>
      </w:r>
    </w:p>
    <w:p>
      <w:pPr>
        <w:pStyle w:val="1"/>
        <w:jc w:val="both"/>
      </w:pPr>
      <w:r>
        <w:rPr>
          <w:sz w:val="20"/>
        </w:rPr>
        <w:t xml:space="preserve">               заявителя - индивидуального предпринимателя)</w:t>
      </w:r>
    </w:p>
    <w:p>
      <w:pPr>
        <w:pStyle w:val="1"/>
        <w:jc w:val="both"/>
      </w:pPr>
      <w:r>
        <w:rPr>
          <w:sz w:val="20"/>
        </w:rPr>
        <w:t xml:space="preserve">    1. Наименование      энергопринимающих       устройств        заявителя</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2. Наименование        объектов        микрогенерации         заявителя</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3.  Наименование  и место нахождения объектов, в целях электроснабжения</w:t>
      </w:r>
    </w:p>
    <w:p>
      <w:pPr>
        <w:pStyle w:val="1"/>
        <w:jc w:val="both"/>
      </w:pPr>
      <w:r>
        <w:rPr>
          <w:sz w:val="20"/>
        </w:rPr>
        <w:t xml:space="preserve">которых   осуществляется  технологическое  присоединение  энергопринимающих</w:t>
      </w:r>
    </w:p>
    <w:p>
      <w:pPr>
        <w:pStyle w:val="1"/>
        <w:jc w:val="both"/>
      </w:pPr>
      <w:r>
        <w:rPr>
          <w:sz w:val="20"/>
        </w:rPr>
        <w:t xml:space="preserve">устройств и (или) объектов микрогенерации заявителя, 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4.  Максимальная  мощность  присоединяемых  энергопринимающих устройств</w:t>
      </w:r>
    </w:p>
    <w:p>
      <w:pPr>
        <w:pStyle w:val="1"/>
        <w:jc w:val="both"/>
      </w:pPr>
      <w:r>
        <w:rPr>
          <w:sz w:val="20"/>
        </w:rPr>
        <w:t xml:space="preserve">заявителя составляет _______________________________________________ (кВт).</w:t>
      </w:r>
    </w:p>
    <w:p>
      <w:pPr>
        <w:pStyle w:val="1"/>
        <w:jc w:val="both"/>
      </w:pPr>
      <w:r>
        <w:rPr>
          <w:sz w:val="20"/>
        </w:rPr>
        <w:t xml:space="preserve">                       (если энергопринимающее устройство вводится</w:t>
      </w:r>
    </w:p>
    <w:p>
      <w:pPr>
        <w:pStyle w:val="1"/>
        <w:jc w:val="both"/>
      </w:pPr>
      <w:r>
        <w:rPr>
          <w:sz w:val="20"/>
        </w:rPr>
        <w:t xml:space="preserve">                           в эксплуатацию по этапам и очередям,</w:t>
      </w:r>
    </w:p>
    <w:p>
      <w:pPr>
        <w:pStyle w:val="1"/>
        <w:jc w:val="both"/>
      </w:pPr>
      <w:r>
        <w:rPr>
          <w:sz w:val="20"/>
        </w:rPr>
        <w:t xml:space="preserve">                      указывается поэтапное распределение мощности)</w:t>
      </w:r>
    </w:p>
    <w:p>
      <w:pPr>
        <w:pStyle w:val="1"/>
        <w:jc w:val="both"/>
      </w:pPr>
      <w:r>
        <w:rPr>
          <w:sz w:val="20"/>
        </w:rPr>
        <w:t xml:space="preserve">    5.   Максимальная   мощность   присоединяемых  объектов  микрогенерации</w:t>
      </w:r>
    </w:p>
    <w:p>
      <w:pPr>
        <w:pStyle w:val="1"/>
        <w:jc w:val="both"/>
      </w:pPr>
      <w:r>
        <w:rPr>
          <w:sz w:val="20"/>
        </w:rPr>
        <w:t xml:space="preserve">заявителя составляет _______________________________________________ (кВт).</w:t>
      </w:r>
    </w:p>
    <w:p>
      <w:pPr>
        <w:pStyle w:val="1"/>
        <w:jc w:val="both"/>
      </w:pPr>
      <w:r>
        <w:rPr>
          <w:sz w:val="20"/>
        </w:rPr>
        <w:t xml:space="preserve">                          (если объекты микрогенерации вводятся</w:t>
      </w:r>
    </w:p>
    <w:p>
      <w:pPr>
        <w:pStyle w:val="1"/>
        <w:jc w:val="both"/>
      </w:pPr>
      <w:r>
        <w:rPr>
          <w:sz w:val="20"/>
        </w:rPr>
        <w:t xml:space="preserve">                          в эксплуатацию по этапам и очередям,</w:t>
      </w:r>
    </w:p>
    <w:p>
      <w:pPr>
        <w:pStyle w:val="1"/>
        <w:jc w:val="both"/>
      </w:pPr>
      <w:r>
        <w:rPr>
          <w:sz w:val="20"/>
        </w:rPr>
        <w:t xml:space="preserve">                      указывается поэтапное распределение мощности)</w:t>
      </w:r>
    </w:p>
    <w:p>
      <w:pPr>
        <w:pStyle w:val="1"/>
        <w:jc w:val="both"/>
      </w:pPr>
      <w:r>
        <w:rPr>
          <w:sz w:val="20"/>
        </w:rPr>
        <w:t xml:space="preserve">    6. Категория надежности ______________________________________________.</w:t>
      </w:r>
    </w:p>
    <w:p>
      <w:pPr>
        <w:pStyle w:val="1"/>
        <w:jc w:val="both"/>
      </w:pPr>
      <w:r>
        <w:rPr>
          <w:sz w:val="20"/>
        </w:rPr>
        <w:t xml:space="preserve">    7.  Класс  напряжения  электрических  сетей,  к  которым осуществляется</w:t>
      </w:r>
    </w:p>
    <w:p>
      <w:pPr>
        <w:pStyle w:val="1"/>
        <w:jc w:val="both"/>
      </w:pPr>
      <w:r>
        <w:rPr>
          <w:sz w:val="20"/>
        </w:rPr>
        <w:t xml:space="preserve">технологическое присоединение, __________ (кВ).</w:t>
      </w:r>
    </w:p>
    <w:p>
      <w:pPr>
        <w:pStyle w:val="1"/>
        <w:jc w:val="both"/>
      </w:pPr>
      <w:r>
        <w:rPr>
          <w:sz w:val="20"/>
        </w:rPr>
        <w:t xml:space="preserve">    8.  Год  ввода  в  эксплуатацию  энергопринимающих  устройств  и  (или)</w:t>
      </w:r>
    </w:p>
    <w:p>
      <w:pPr>
        <w:pStyle w:val="1"/>
        <w:jc w:val="both"/>
      </w:pPr>
      <w:r>
        <w:rPr>
          <w:sz w:val="20"/>
        </w:rPr>
        <w:t xml:space="preserve">объектов микрогенерации заявителя ________________________________________.</w:t>
      </w:r>
    </w:p>
    <w:p>
      <w:pPr>
        <w:pStyle w:val="1"/>
        <w:jc w:val="both"/>
      </w:pPr>
      <w:r>
        <w:rPr>
          <w:sz w:val="20"/>
        </w:rPr>
        <w:t xml:space="preserve">    9.  Точка  (точки) присоединения (вводные распределительные устройства,</w:t>
      </w:r>
    </w:p>
    <w:p>
      <w:pPr>
        <w:pStyle w:val="1"/>
        <w:jc w:val="both"/>
      </w:pPr>
      <w:r>
        <w:rPr>
          <w:sz w:val="20"/>
        </w:rPr>
        <w:t xml:space="preserve">линии  электропередачи,  базовые  подстанции,  генераторы)  и  максимальная</w:t>
      </w:r>
    </w:p>
    <w:p>
      <w:pPr>
        <w:pStyle w:val="1"/>
        <w:jc w:val="both"/>
      </w:pPr>
      <w:r>
        <w:rPr>
          <w:sz w:val="20"/>
        </w:rPr>
        <w:t xml:space="preserve">мощность   энергопринимающих   устройств   по  каждой  точке  присоединения</w:t>
      </w:r>
    </w:p>
    <w:p>
      <w:pPr>
        <w:pStyle w:val="1"/>
        <w:jc w:val="both"/>
      </w:pPr>
      <w:r>
        <w:rPr>
          <w:sz w:val="20"/>
        </w:rPr>
        <w:t xml:space="preserve">_________ (кВт).</w:t>
      </w:r>
    </w:p>
    <w:p>
      <w:pPr>
        <w:pStyle w:val="1"/>
        <w:jc w:val="both"/>
      </w:pPr>
      <w:r>
        <w:rPr>
          <w:sz w:val="20"/>
        </w:rPr>
        <w:t xml:space="preserve">    10.  Точка (точки) присоединения (вводные распределительные устройства,</w:t>
      </w:r>
    </w:p>
    <w:p>
      <w:pPr>
        <w:pStyle w:val="1"/>
        <w:jc w:val="both"/>
      </w:pPr>
      <w:r>
        <w:rPr>
          <w:sz w:val="20"/>
        </w:rPr>
        <w:t xml:space="preserve">линии  электропередачи,  базовые  подстанции,  генераторы)  и  максимальная</w:t>
      </w:r>
    </w:p>
    <w:p>
      <w:pPr>
        <w:pStyle w:val="1"/>
        <w:jc w:val="both"/>
      </w:pPr>
      <w:r>
        <w:rPr>
          <w:sz w:val="20"/>
        </w:rPr>
        <w:t xml:space="preserve">мощность  объектов  микрогенерации  по каждой точке присоединения _________</w:t>
      </w:r>
    </w:p>
    <w:p>
      <w:pPr>
        <w:pStyle w:val="1"/>
        <w:jc w:val="both"/>
      </w:pPr>
      <w:r>
        <w:rPr>
          <w:sz w:val="20"/>
        </w:rPr>
        <w:t xml:space="preserve">(кВт).</w:t>
      </w:r>
    </w:p>
    <w:p>
      <w:pPr>
        <w:pStyle w:val="1"/>
        <w:jc w:val="both"/>
      </w:pPr>
      <w:r>
        <w:rPr>
          <w:sz w:val="20"/>
        </w:rPr>
        <w:t xml:space="preserve">    11. Основной источник питания ________________________________________.</w:t>
      </w:r>
    </w:p>
    <w:p>
      <w:pPr>
        <w:pStyle w:val="1"/>
        <w:jc w:val="both"/>
      </w:pPr>
      <w:r>
        <w:rPr>
          <w:sz w:val="20"/>
        </w:rPr>
        <w:t xml:space="preserve">    12. Резервный источник питания _______________________________________.</w:t>
      </w:r>
    </w:p>
    <w:p>
      <w:pPr>
        <w:pStyle w:val="1"/>
        <w:jc w:val="both"/>
      </w:pPr>
      <w:r>
        <w:rPr>
          <w:sz w:val="20"/>
        </w:rPr>
        <w:t xml:space="preserve">    13. Сетевая организация осуществляет </w:t>
      </w:r>
      <w:hyperlink w:history="0" w:anchor="P4369" w:tooltip="&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и (или) объекты микрогенерации заявителя, включая урегулирование отношений с иными лицами.">
        <w:r>
          <w:rPr>
            <w:sz w:val="20"/>
            <w:color w:val="0000ff"/>
          </w:rPr>
          <w:t xml:space="preserve">&lt;1&gt;</w:t>
        </w:r>
      </w:hyperlink>
      <w:r>
        <w:rPr>
          <w:sz w:val="20"/>
        </w:rPr>
        <w:t xml:space="preserve"> 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(указываются требования к усилению существующей электрической сети в связи</w:t>
      </w:r>
    </w:p>
    <w:p>
      <w:pPr>
        <w:pStyle w:val="1"/>
        <w:jc w:val="both"/>
      </w:pPr>
      <w:r>
        <w:rPr>
          <w:sz w:val="20"/>
        </w:rPr>
        <w:t xml:space="preserve">        с присоединением новых мощностей (строительство новых линий</w:t>
      </w:r>
    </w:p>
    <w:p>
      <w:pPr>
        <w:pStyle w:val="1"/>
        <w:jc w:val="both"/>
      </w:pPr>
      <w:r>
        <w:rPr>
          <w:sz w:val="20"/>
        </w:rPr>
        <w:t xml:space="preserve">электропередачи, подстанций, увеличение сечения проводов и кабелей, замена</w:t>
      </w:r>
    </w:p>
    <w:p>
      <w:pPr>
        <w:pStyle w:val="1"/>
        <w:jc w:val="both"/>
      </w:pPr>
      <w:r>
        <w:rPr>
          <w:sz w:val="20"/>
        </w:rPr>
        <w:t xml:space="preserve">   или увеличение мощности трансформаторов, расширение распределительных</w:t>
      </w:r>
    </w:p>
    <w:p>
      <w:pPr>
        <w:pStyle w:val="1"/>
        <w:jc w:val="both"/>
      </w:pPr>
      <w:r>
        <w:rPr>
          <w:sz w:val="20"/>
        </w:rPr>
        <w:t xml:space="preserve">       устройств, модернизация оборудования, реконструкция объектов</w:t>
      </w:r>
    </w:p>
    <w:p>
      <w:pPr>
        <w:pStyle w:val="1"/>
        <w:jc w:val="both"/>
      </w:pPr>
      <w:r>
        <w:rPr>
          <w:sz w:val="20"/>
        </w:rPr>
        <w:t xml:space="preserve">  электросетевого хозяйства, установка устройств регулирования напряжения</w:t>
      </w:r>
    </w:p>
    <w:p>
      <w:pPr>
        <w:pStyle w:val="1"/>
        <w:jc w:val="both"/>
      </w:pPr>
      <w:r>
        <w:rPr>
          <w:sz w:val="20"/>
        </w:rPr>
        <w:t xml:space="preserve">   для обеспечения надежности и качества электрической энергии, в случае</w:t>
      </w:r>
    </w:p>
    <w:p>
      <w:pPr>
        <w:pStyle w:val="1"/>
        <w:jc w:val="both"/>
      </w:pPr>
      <w:r>
        <w:rPr>
          <w:sz w:val="20"/>
        </w:rPr>
        <w:t xml:space="preserve">   присоединения объектов микрогенерации указываются также требования по</w:t>
      </w:r>
    </w:p>
    <w:p>
      <w:pPr>
        <w:pStyle w:val="1"/>
        <w:jc w:val="both"/>
      </w:pPr>
      <w:r>
        <w:rPr>
          <w:sz w:val="20"/>
        </w:rPr>
        <w:t xml:space="preserve">обеспечению технического ограничения выдачи электрической энергии в сеть с</w:t>
      </w:r>
    </w:p>
    <w:p>
      <w:pPr>
        <w:pStyle w:val="1"/>
        <w:jc w:val="both"/>
      </w:pPr>
      <w:r>
        <w:rPr>
          <w:sz w:val="20"/>
        </w:rPr>
        <w:t xml:space="preserve">   максимальной мощностью, не превышающей величину максимальной мощности</w:t>
      </w:r>
    </w:p>
    <w:p>
      <w:pPr>
        <w:pStyle w:val="1"/>
        <w:jc w:val="both"/>
      </w:pPr>
      <w:r>
        <w:rPr>
          <w:sz w:val="20"/>
        </w:rPr>
        <w:t xml:space="preserve">  энергопринимающих устройств потребителя электрической энергии, которому</w:t>
      </w:r>
    </w:p>
    <w:p>
      <w:pPr>
        <w:pStyle w:val="1"/>
        <w:jc w:val="both"/>
      </w:pPr>
      <w:r>
        <w:rPr>
          <w:sz w:val="20"/>
        </w:rPr>
        <w:t xml:space="preserve"> принадлежат на праве собственности или на ином законном основании объекты</w:t>
      </w:r>
    </w:p>
    <w:p>
      <w:pPr>
        <w:pStyle w:val="1"/>
        <w:jc w:val="both"/>
      </w:pPr>
      <w:r>
        <w:rPr>
          <w:sz w:val="20"/>
        </w:rPr>
        <w:t xml:space="preserve"> микрогенерации, и составляющей не более 15 кВт, а также по договоренности</w:t>
      </w:r>
    </w:p>
    <w:p>
      <w:pPr>
        <w:pStyle w:val="1"/>
        <w:jc w:val="both"/>
      </w:pPr>
      <w:r>
        <w:rPr>
          <w:sz w:val="20"/>
        </w:rPr>
        <w:t xml:space="preserve">сторон иные обязанности по исполнению технических условий, предусмотренные</w:t>
      </w:r>
    </w:p>
    <w:p>
      <w:pPr>
        <w:pStyle w:val="1"/>
        <w:jc w:val="both"/>
      </w:pPr>
      <w:r>
        <w:rPr>
          <w:sz w:val="20"/>
        </w:rPr>
        <w:t xml:space="preserve">    </w:t>
      </w:r>
      <w:hyperlink w:history="0" w:anchor="P1524" w:tooltip="25(1). В технических условиях для заявителей, предусмотренных пунктами 12.1 и 14 настоящих Правил, должны быть указаны:">
        <w:r>
          <w:rPr>
            <w:sz w:val="20"/>
            <w:color w:val="0000ff"/>
          </w:rPr>
          <w:t xml:space="preserve">пунктами 25(1)</w:t>
        </w:r>
      </w:hyperlink>
      <w:r>
        <w:rPr>
          <w:sz w:val="20"/>
        </w:rPr>
        <w:t xml:space="preserve">, </w:t>
      </w:r>
      <w:hyperlink w:history="0" w:anchor="P1552" w:tooltip="25(6). В технических условиях для заявителей, предусмотренных пунктами 13(2) и 13(4) настоящих Правил, должны быть указаны:">
        <w:r>
          <w:rPr>
            <w:sz w:val="20"/>
            <w:color w:val="0000ff"/>
          </w:rPr>
          <w:t xml:space="preserve">25(6)</w:t>
        </w:r>
      </w:hyperlink>
      <w:r>
        <w:rPr>
          <w:sz w:val="20"/>
        </w:rPr>
        <w:t xml:space="preserve"> и </w:t>
      </w:r>
      <w:hyperlink w:history="0" w:anchor="P1559" w:tooltip="25(7). В технических условиях для заявителей, предусмотренных пунктами 13(3) и 13(5) настоящих Правил, должны быть указаны:">
        <w:r>
          <w:rPr>
            <w:sz w:val="20"/>
            <w:color w:val="0000ff"/>
          </w:rPr>
          <w:t xml:space="preserve">25(7)</w:t>
        </w:r>
      </w:hyperlink>
      <w:r>
        <w:rPr>
          <w:sz w:val="20"/>
        </w:rPr>
        <w:t xml:space="preserve"> Правил технологического присоединения</w:t>
      </w:r>
    </w:p>
    <w:p>
      <w:pPr>
        <w:pStyle w:val="1"/>
        <w:jc w:val="both"/>
      </w:pPr>
      <w:r>
        <w:rPr>
          <w:sz w:val="20"/>
        </w:rPr>
        <w:t xml:space="preserve"> энергопринимающих устройств потребителей электрической энергии, объектов</w:t>
      </w:r>
    </w:p>
    <w:p>
      <w:pPr>
        <w:pStyle w:val="1"/>
        <w:jc w:val="both"/>
      </w:pPr>
      <w:r>
        <w:rPr>
          <w:sz w:val="20"/>
        </w:rPr>
        <w:t xml:space="preserve">  по производству электрической энергии, а также объектов электросетевого</w:t>
      </w:r>
    </w:p>
    <w:p>
      <w:pPr>
        <w:pStyle w:val="1"/>
        <w:jc w:val="both"/>
      </w:pPr>
      <w:r>
        <w:rPr>
          <w:sz w:val="20"/>
        </w:rPr>
        <w:t xml:space="preserve">        хозяйства, принадлежащих сетевым организациям и иным лицам,</w:t>
      </w:r>
    </w:p>
    <w:p>
      <w:pPr>
        <w:pStyle w:val="1"/>
        <w:jc w:val="both"/>
      </w:pPr>
      <w:r>
        <w:rPr>
          <w:sz w:val="20"/>
        </w:rPr>
        <w:t xml:space="preserve">                          к электрическим сетям)</w:t>
      </w:r>
    </w:p>
    <w:p>
      <w:pPr>
        <w:pStyle w:val="1"/>
        <w:jc w:val="both"/>
      </w:pPr>
      <w:r>
        <w:rPr>
          <w:sz w:val="20"/>
        </w:rPr>
        <w:t xml:space="preserve">    14. Заявитель осуществляет </w:t>
      </w:r>
      <w:hyperlink w:history="0" w:anchor="P4370" w:tooltip="&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и (или) объекты микрогенерации заявителя, за исключением обязанностей, обязательных для исполнения сетевой организацией за счет ее средств.">
        <w:r>
          <w:rPr>
            <w:sz w:val="20"/>
            <w:color w:val="0000ff"/>
          </w:rPr>
          <w:t xml:space="preserve">&lt;2&gt;</w:t>
        </w:r>
      </w:hyperlink>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15. Срок действия настоящих технических условий составляет _______ года</w:t>
      </w:r>
    </w:p>
    <w:p>
      <w:pPr>
        <w:pStyle w:val="1"/>
        <w:jc w:val="both"/>
      </w:pPr>
      <w:r>
        <w:rPr>
          <w:sz w:val="20"/>
        </w:rPr>
        <w:t xml:space="preserve">(лет)  </w:t>
      </w:r>
      <w:hyperlink w:history="0" w:anchor="P4371" w:tooltip="&lt;3&gt; Срок действия технических условий не может составлять менее 2 лет и более 5 лет.">
        <w:r>
          <w:rPr>
            <w:sz w:val="20"/>
            <w:color w:val="0000ff"/>
          </w:rPr>
          <w:t xml:space="preserve">&lt;3&gt;</w:t>
        </w:r>
      </w:hyperlink>
      <w:r>
        <w:rPr>
          <w:sz w:val="20"/>
        </w:rPr>
        <w:t xml:space="preserve">  со  дня  заключения  договора об осуществлении технологического</w:t>
      </w:r>
    </w:p>
    <w:p>
      <w:pPr>
        <w:pStyle w:val="1"/>
        <w:jc w:val="both"/>
      </w:pPr>
      <w:r>
        <w:rPr>
          <w:sz w:val="20"/>
        </w:rPr>
        <w:t xml:space="preserve">присоединения к электрическим сетям.</w:t>
      </w:r>
    </w:p>
    <w:p>
      <w:pPr>
        <w:pStyle w:val="0"/>
        <w:jc w:val="both"/>
      </w:pPr>
      <w:r>
        <w:rPr>
          <w:sz w:val="20"/>
        </w:rPr>
      </w:r>
    </w:p>
    <w:tbl>
      <w:tblPr>
        <w:tblInd w:w="0" w:type="dxa"/>
        <w:tblLayout w:type="fixed"/>
        <w:tblCellMar>
          <w:top w:w="102" w:type="dxa"/>
          <w:left w:w="62" w:type="dxa"/>
          <w:bottom w:w="102" w:type="dxa"/>
          <w:right w:w="62" w:type="dxa"/>
        </w:tblCellMar>
      </w:tblPr>
      <w:tblGrid>
        <w:gridCol w:w="5280"/>
      </w:tblGrid>
      <w:tr>
        <w:tblPrEx>
          <w:tblBorders>
            <w:insideH w:val="single" w:sz="4"/>
          </w:tblBorders>
        </w:tblPrEx>
        <w:tc>
          <w:tcPr>
            <w:tcW w:w="5280" w:type="dxa"/>
            <w:tcBorders>
              <w:top w:val="nil"/>
              <w:left w:val="nil"/>
              <w:bottom w:val="single" w:sz="4"/>
              <w:right w:val="nil"/>
            </w:tcBorders>
          </w:tcPr>
          <w:p>
            <w:pPr>
              <w:pStyle w:val="0"/>
            </w:pPr>
            <w:r>
              <w:rPr>
                <w:sz w:val="20"/>
              </w:rPr>
            </w:r>
          </w:p>
        </w:tc>
      </w:tr>
      <w:tr>
        <w:tc>
          <w:tcPr>
            <w:tcW w:w="5280" w:type="dxa"/>
            <w:vAlign w:val="center"/>
            <w:tcBorders>
              <w:top w:val="single" w:sz="4"/>
              <w:left w:val="nil"/>
              <w:bottom w:val="nil"/>
              <w:right w:val="nil"/>
            </w:tcBorders>
          </w:tcPr>
          <w:p>
            <w:pPr>
              <w:pStyle w:val="0"/>
              <w:jc w:val="center"/>
            </w:pPr>
            <w:r>
              <w:rPr>
                <w:sz w:val="20"/>
              </w:rPr>
              <w:t xml:space="preserve">(подпись)</w:t>
            </w:r>
          </w:p>
        </w:tc>
      </w:tr>
      <w:tr>
        <w:tc>
          <w:tcPr>
            <w:tcW w:w="5280" w:type="dxa"/>
            <w:tcBorders>
              <w:top w:val="nil"/>
              <w:left w:val="nil"/>
              <w:bottom w:val="single" w:sz="4"/>
              <w:right w:val="nil"/>
            </w:tcBorders>
          </w:tcPr>
          <w:p>
            <w:pPr>
              <w:pStyle w:val="0"/>
            </w:pPr>
            <w:r>
              <w:rPr>
                <w:sz w:val="20"/>
              </w:rPr>
            </w:r>
          </w:p>
        </w:tc>
      </w:tr>
      <w:tr>
        <w:tc>
          <w:tcPr>
            <w:tcW w:w="5280" w:type="dxa"/>
            <w:vAlign w:val="bottom"/>
            <w:tcBorders>
              <w:top w:val="single" w:sz="4"/>
              <w:left w:val="nil"/>
              <w:bottom w:val="nil"/>
              <w:right w:val="nil"/>
            </w:tcBorders>
          </w:tcPr>
          <w:p>
            <w:pPr>
              <w:pStyle w:val="0"/>
              <w:jc w:val="center"/>
            </w:pPr>
            <w:r>
              <w:rPr>
                <w:sz w:val="20"/>
              </w:rPr>
              <w:t xml:space="preserve">(должность, фамилия, имя, отчество лица,</w:t>
            </w:r>
          </w:p>
        </w:tc>
      </w:tr>
      <w:tr>
        <w:tc>
          <w:tcPr>
            <w:tcW w:w="5280" w:type="dxa"/>
            <w:tcBorders>
              <w:top w:val="nil"/>
              <w:left w:val="nil"/>
              <w:bottom w:val="single" w:sz="4"/>
              <w:right w:val="nil"/>
            </w:tcBorders>
          </w:tcPr>
          <w:p>
            <w:pPr>
              <w:pStyle w:val="0"/>
            </w:pPr>
            <w:r>
              <w:rPr>
                <w:sz w:val="20"/>
              </w:rPr>
            </w:r>
          </w:p>
        </w:tc>
      </w:tr>
      <w:tr>
        <w:tc>
          <w:tcPr>
            <w:tcW w:w="5280" w:type="dxa"/>
            <w:vAlign w:val="center"/>
            <w:tcBorders>
              <w:top w:val="single" w:sz="4"/>
              <w:left w:val="nil"/>
              <w:bottom w:val="nil"/>
              <w:right w:val="nil"/>
            </w:tcBorders>
          </w:tcPr>
          <w:p>
            <w:pPr>
              <w:pStyle w:val="0"/>
              <w:jc w:val="center"/>
            </w:pPr>
            <w:r>
              <w:rPr>
                <w:sz w:val="20"/>
              </w:rPr>
              <w:t xml:space="preserve">действующего от имени сетевой организации)</w:t>
            </w:r>
          </w:p>
        </w:tc>
      </w:tr>
      <w:tr>
        <w:tc>
          <w:tcPr>
            <w:tcW w:w="5280" w:type="dxa"/>
            <w:tcBorders>
              <w:top w:val="nil"/>
              <w:left w:val="nil"/>
              <w:bottom w:val="nil"/>
              <w:right w:val="nil"/>
            </w:tcBorders>
          </w:tcPr>
          <w:p>
            <w:pPr>
              <w:pStyle w:val="0"/>
              <w:jc w:val="center"/>
            </w:pPr>
            <w:r>
              <w:rPr>
                <w:sz w:val="20"/>
              </w:rPr>
              <w:t xml:space="preserve">"__" _________ 20__ г.</w:t>
            </w:r>
          </w:p>
        </w:tc>
      </w:tr>
    </w:tbl>
    <w:p>
      <w:pPr>
        <w:pStyle w:val="0"/>
        <w:jc w:val="both"/>
      </w:pPr>
      <w:r>
        <w:rPr>
          <w:sz w:val="20"/>
        </w:rPr>
      </w:r>
    </w:p>
    <w:p>
      <w:pPr>
        <w:pStyle w:val="0"/>
        <w:ind w:firstLine="540"/>
        <w:jc w:val="both"/>
      </w:pPr>
      <w:r>
        <w:rPr>
          <w:sz w:val="20"/>
        </w:rPr>
        <w:t xml:space="preserve">--------------------------------</w:t>
      </w:r>
    </w:p>
    <w:bookmarkStart w:id="4369" w:name="P4369"/>
    <w:bookmarkEnd w:id="4369"/>
    <w:p>
      <w:pPr>
        <w:pStyle w:val="0"/>
        <w:spacing w:before="200" w:line-rule="auto"/>
        <w:ind w:firstLine="540"/>
        <w:jc w:val="both"/>
      </w:pPr>
      <w:r>
        <w:rPr>
          <w:sz w:val="20"/>
        </w:rPr>
        <w:t xml:space="preserve">&lt;1&gt;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и (или) объекты микрогенерации заявителя, включая урегулирование отношений с иными лицами.</w:t>
      </w:r>
    </w:p>
    <w:bookmarkStart w:id="4370" w:name="P4370"/>
    <w:bookmarkEnd w:id="4370"/>
    <w:p>
      <w:pPr>
        <w:pStyle w:val="0"/>
        <w:spacing w:before="200" w:line-rule="auto"/>
        <w:ind w:firstLine="540"/>
        <w:jc w:val="both"/>
      </w:pPr>
      <w:r>
        <w:rPr>
          <w:sz w:val="20"/>
        </w:rPr>
        <w:t xml:space="preserve">&lt;2&gt;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и (или) объекты микрогенерации заявителя, за исключением обязанностей, обязательных для исполнения сетевой организацией за счет ее средств.</w:t>
      </w:r>
    </w:p>
    <w:bookmarkStart w:id="4371" w:name="P4371"/>
    <w:bookmarkEnd w:id="4371"/>
    <w:p>
      <w:pPr>
        <w:pStyle w:val="0"/>
        <w:spacing w:before="200" w:line-rule="auto"/>
        <w:ind w:firstLine="540"/>
        <w:jc w:val="both"/>
      </w:pPr>
      <w:r>
        <w:rPr>
          <w:sz w:val="20"/>
        </w:rPr>
        <w:t xml:space="preserve">&lt;3&gt; Срок действия технических условий не может составлять менее 2 лет и более 5 лет.</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10</w:t>
      </w:r>
    </w:p>
    <w:p>
      <w:pPr>
        <w:pStyle w:val="0"/>
        <w:jc w:val="right"/>
      </w:pPr>
      <w:r>
        <w:rPr>
          <w:sz w:val="20"/>
        </w:rPr>
        <w:t xml:space="preserve">к Правилам технологического</w:t>
      </w:r>
    </w:p>
    <w:p>
      <w:pPr>
        <w:pStyle w:val="0"/>
        <w:jc w:val="right"/>
      </w:pPr>
      <w:r>
        <w:rPr>
          <w:sz w:val="20"/>
        </w:rPr>
        <w:t xml:space="preserve">присоединения энергопринимающих</w:t>
      </w:r>
    </w:p>
    <w:p>
      <w:pPr>
        <w:pStyle w:val="0"/>
        <w:jc w:val="right"/>
      </w:pPr>
      <w:r>
        <w:rPr>
          <w:sz w:val="20"/>
        </w:rPr>
        <w:t xml:space="preserve">устройств потребителей</w:t>
      </w:r>
    </w:p>
    <w:p>
      <w:pPr>
        <w:pStyle w:val="0"/>
        <w:jc w:val="right"/>
      </w:pPr>
      <w:r>
        <w:rPr>
          <w:sz w:val="20"/>
        </w:rPr>
        <w:t xml:space="preserve">электрической энергии, объектов</w:t>
      </w:r>
    </w:p>
    <w:p>
      <w:pPr>
        <w:pStyle w:val="0"/>
        <w:jc w:val="right"/>
      </w:pPr>
      <w:r>
        <w:rPr>
          <w:sz w:val="20"/>
        </w:rPr>
        <w:t xml:space="preserve">по производству электрической</w:t>
      </w:r>
    </w:p>
    <w:p>
      <w:pPr>
        <w:pStyle w:val="0"/>
        <w:jc w:val="right"/>
      </w:pPr>
      <w:r>
        <w:rPr>
          <w:sz w:val="20"/>
        </w:rPr>
        <w:t xml:space="preserve">энергии, а также объектов</w:t>
      </w:r>
    </w:p>
    <w:p>
      <w:pPr>
        <w:pStyle w:val="0"/>
        <w:jc w:val="right"/>
      </w:pPr>
      <w:r>
        <w:rPr>
          <w:sz w:val="20"/>
        </w:rPr>
        <w:t xml:space="preserve">электросетевого хозяйства,</w:t>
      </w:r>
    </w:p>
    <w:p>
      <w:pPr>
        <w:pStyle w:val="0"/>
        <w:jc w:val="right"/>
      </w:pPr>
      <w:r>
        <w:rPr>
          <w:sz w:val="20"/>
        </w:rPr>
        <w:t xml:space="preserve">принадлежащих сетевым организациям</w:t>
      </w:r>
    </w:p>
    <w:p>
      <w:pPr>
        <w:pStyle w:val="0"/>
        <w:jc w:val="right"/>
      </w:pPr>
      <w:r>
        <w:rPr>
          <w:sz w:val="20"/>
        </w:rPr>
        <w:t xml:space="preserve">и иным лицам, к электрическим сетям</w:t>
      </w:r>
    </w:p>
    <w:p>
      <w:pPr>
        <w:pStyle w:val="0"/>
        <w:jc w:val="right"/>
      </w:pPr>
      <w:r>
        <w:rPr>
          <w:sz w:val="20"/>
        </w:rPr>
      </w:r>
    </w:p>
    <w:bookmarkStart w:id="4386" w:name="P4386"/>
    <w:bookmarkEnd w:id="4386"/>
    <w:p>
      <w:pPr>
        <w:pStyle w:val="0"/>
        <w:jc w:val="center"/>
      </w:pPr>
      <w:r>
        <w:rPr>
          <w:sz w:val="20"/>
        </w:rPr>
        <w:t xml:space="preserve">ТИПОВОЙ ДОГОВОР</w:t>
      </w:r>
    </w:p>
    <w:p>
      <w:pPr>
        <w:pStyle w:val="0"/>
        <w:jc w:val="center"/>
      </w:pPr>
      <w:r>
        <w:rPr>
          <w:sz w:val="20"/>
        </w:rPr>
        <w:t xml:space="preserve">об осуществлении технологического присоединения</w:t>
      </w:r>
    </w:p>
    <w:p>
      <w:pPr>
        <w:pStyle w:val="0"/>
        <w:jc w:val="center"/>
      </w:pPr>
      <w:r>
        <w:rPr>
          <w:sz w:val="20"/>
        </w:rPr>
        <w:t xml:space="preserve">к электрическим сетям</w:t>
      </w:r>
    </w:p>
    <w:p>
      <w:pPr>
        <w:pStyle w:val="0"/>
        <w:jc w:val="both"/>
      </w:pPr>
      <w:r>
        <w:rPr>
          <w:sz w:val="20"/>
        </w:rPr>
      </w:r>
    </w:p>
    <w:p>
      <w:pPr>
        <w:pStyle w:val="0"/>
        <w:jc w:val="center"/>
      </w:pPr>
      <w:r>
        <w:rPr>
          <w:sz w:val="20"/>
        </w:rPr>
        <w:t xml:space="preserve">(для юридических лиц или индивидуальных</w:t>
      </w:r>
    </w:p>
    <w:p>
      <w:pPr>
        <w:pStyle w:val="0"/>
        <w:jc w:val="center"/>
      </w:pPr>
      <w:r>
        <w:rPr>
          <w:sz w:val="20"/>
        </w:rPr>
        <w:t xml:space="preserve">предпринимателей в целях технологического присоединения</w:t>
      </w:r>
    </w:p>
    <w:p>
      <w:pPr>
        <w:pStyle w:val="0"/>
        <w:jc w:val="center"/>
      </w:pPr>
      <w:r>
        <w:rPr>
          <w:sz w:val="20"/>
        </w:rPr>
        <w:t xml:space="preserve">энергопринимающих устройств, максимальная мощность которых</w:t>
      </w:r>
    </w:p>
    <w:p>
      <w:pPr>
        <w:pStyle w:val="0"/>
        <w:jc w:val="center"/>
      </w:pPr>
      <w:r>
        <w:rPr>
          <w:sz w:val="20"/>
        </w:rPr>
        <w:t xml:space="preserve">составляет свыше 15 до 150 кВт включительно (с учетом ранее</w:t>
      </w:r>
    </w:p>
    <w:p>
      <w:pPr>
        <w:pStyle w:val="0"/>
        <w:jc w:val="center"/>
      </w:pPr>
      <w:r>
        <w:rPr>
          <w:sz w:val="20"/>
        </w:rPr>
        <w:t xml:space="preserve">присоединенных в данной точке присоединения</w:t>
      </w:r>
    </w:p>
    <w:p>
      <w:pPr>
        <w:pStyle w:val="0"/>
        <w:jc w:val="center"/>
      </w:pPr>
      <w:r>
        <w:rPr>
          <w:sz w:val="20"/>
        </w:rPr>
        <w:t xml:space="preserve">энергопринимающих устройств)</w:t>
      </w:r>
    </w:p>
    <w:p>
      <w:pPr>
        <w:pStyle w:val="0"/>
        <w:jc w:val="both"/>
      </w:pPr>
      <w:r>
        <w:rPr>
          <w:sz w:val="20"/>
        </w:rPr>
      </w:r>
    </w:p>
    <w:p>
      <w:pPr>
        <w:pStyle w:val="0"/>
        <w:ind w:firstLine="540"/>
        <w:jc w:val="both"/>
      </w:pPr>
      <w:r>
        <w:rPr>
          <w:sz w:val="20"/>
        </w:rPr>
        <w:t xml:space="preserve">Утратил силу. - </w:t>
      </w:r>
      <w:hyperlink w:history="0" r:id="rId1128"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30.06.2022 N 1178.</w:t>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11</w:t>
      </w:r>
    </w:p>
    <w:p>
      <w:pPr>
        <w:pStyle w:val="0"/>
        <w:jc w:val="right"/>
      </w:pPr>
      <w:r>
        <w:rPr>
          <w:sz w:val="20"/>
        </w:rPr>
        <w:t xml:space="preserve">к Правилам технологического</w:t>
      </w:r>
    </w:p>
    <w:p>
      <w:pPr>
        <w:pStyle w:val="0"/>
        <w:jc w:val="right"/>
      </w:pPr>
      <w:r>
        <w:rPr>
          <w:sz w:val="20"/>
        </w:rPr>
        <w:t xml:space="preserve">присоединения энергопринимающих</w:t>
      </w:r>
    </w:p>
    <w:p>
      <w:pPr>
        <w:pStyle w:val="0"/>
        <w:jc w:val="right"/>
      </w:pPr>
      <w:r>
        <w:rPr>
          <w:sz w:val="20"/>
        </w:rPr>
        <w:t xml:space="preserve">устройств потребителей</w:t>
      </w:r>
    </w:p>
    <w:p>
      <w:pPr>
        <w:pStyle w:val="0"/>
        <w:jc w:val="right"/>
      </w:pPr>
      <w:r>
        <w:rPr>
          <w:sz w:val="20"/>
        </w:rPr>
        <w:t xml:space="preserve">электрической энергии, объектов</w:t>
      </w:r>
    </w:p>
    <w:p>
      <w:pPr>
        <w:pStyle w:val="0"/>
        <w:jc w:val="right"/>
      </w:pPr>
      <w:r>
        <w:rPr>
          <w:sz w:val="20"/>
        </w:rPr>
        <w:t xml:space="preserve">по производству электрической</w:t>
      </w:r>
    </w:p>
    <w:p>
      <w:pPr>
        <w:pStyle w:val="0"/>
        <w:jc w:val="right"/>
      </w:pPr>
      <w:r>
        <w:rPr>
          <w:sz w:val="20"/>
        </w:rPr>
        <w:t xml:space="preserve">энергии, а также объектов</w:t>
      </w:r>
    </w:p>
    <w:p>
      <w:pPr>
        <w:pStyle w:val="0"/>
        <w:jc w:val="right"/>
      </w:pPr>
      <w:r>
        <w:rPr>
          <w:sz w:val="20"/>
        </w:rPr>
        <w:t xml:space="preserve">электросетевого хозяйства,</w:t>
      </w:r>
    </w:p>
    <w:p>
      <w:pPr>
        <w:pStyle w:val="0"/>
        <w:jc w:val="right"/>
      </w:pPr>
      <w:r>
        <w:rPr>
          <w:sz w:val="20"/>
        </w:rPr>
        <w:t xml:space="preserve">принадлежащих сетевым организациям</w:t>
      </w:r>
    </w:p>
    <w:p>
      <w:pPr>
        <w:pStyle w:val="0"/>
        <w:jc w:val="right"/>
      </w:pPr>
      <w:r>
        <w:rPr>
          <w:sz w:val="20"/>
        </w:rPr>
        <w:t xml:space="preserve">и иным лицам, к электрическим сетям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11.06.2015 </w:t>
            </w:r>
            <w:hyperlink w:history="0" r:id="rId1129" w:tooltip="Постановление Правительства РФ от 11.06.2015 N 588 (ред. от 10.03.2020, с изм. от 30.06.2022) &quot;О внесении изменений в постановление Правительства Российской Федерации от 27 декабря 2004 г. N 861&quot; {КонсультантПлюс}">
              <w:r>
                <w:rPr>
                  <w:sz w:val="20"/>
                  <w:color w:val="0000ff"/>
                </w:rPr>
                <w:t xml:space="preserve">N 588</w:t>
              </w:r>
            </w:hyperlink>
            <w:r>
              <w:rPr>
                <w:sz w:val="20"/>
                <w:color w:val="392c69"/>
              </w:rPr>
              <w:t xml:space="preserve">,</w:t>
            </w:r>
          </w:p>
          <w:p>
            <w:pPr>
              <w:pStyle w:val="0"/>
              <w:jc w:val="center"/>
            </w:pPr>
            <w:r>
              <w:rPr>
                <w:sz w:val="20"/>
                <w:color w:val="392c69"/>
              </w:rPr>
              <w:t xml:space="preserve">от 05.10.2016 </w:t>
            </w:r>
            <w:hyperlink w:history="0" r:id="rId1130" w:tooltip="Постановление Правительства РФ от 05.10.2016 N 999 (с изм. от 30.06.2022) &quot;О внесении изменений в акты Правительства Российской Федерации по вопросам формирования мер ответственности за несоблюдение сроков осуществления мероприятий по технологическому присоединению&quot; {КонсультантПлюс}">
              <w:r>
                <w:rPr>
                  <w:sz w:val="20"/>
                  <w:color w:val="0000ff"/>
                </w:rPr>
                <w:t xml:space="preserve">N 999</w:t>
              </w:r>
            </w:hyperlink>
            <w:r>
              <w:rPr>
                <w:sz w:val="20"/>
                <w:color w:val="392c69"/>
              </w:rPr>
              <w:t xml:space="preserve">, от 07.05.2017 </w:t>
            </w:r>
            <w:hyperlink w:history="0" r:id="rId1131"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N 542</w:t>
              </w:r>
            </w:hyperlink>
            <w:r>
              <w:rPr>
                <w:sz w:val="20"/>
                <w:color w:val="392c69"/>
              </w:rPr>
              <w:t xml:space="preserve">, от 27.12.2017 </w:t>
            </w:r>
            <w:hyperlink w:history="0" r:id="rId1132"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1661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4415" w:name="P4415"/>
    <w:bookmarkEnd w:id="4415"/>
    <w:p>
      <w:pPr>
        <w:pStyle w:val="0"/>
        <w:jc w:val="center"/>
      </w:pPr>
      <w:r>
        <w:rPr>
          <w:sz w:val="20"/>
        </w:rPr>
        <w:t xml:space="preserve">ТИПОВОЙ ДОГОВОР</w:t>
      </w:r>
    </w:p>
    <w:p>
      <w:pPr>
        <w:pStyle w:val="0"/>
        <w:jc w:val="center"/>
      </w:pPr>
      <w:r>
        <w:rPr>
          <w:sz w:val="20"/>
        </w:rPr>
        <w:t xml:space="preserve">об осуществлении технологического присоединения</w:t>
      </w:r>
    </w:p>
    <w:p>
      <w:pPr>
        <w:pStyle w:val="0"/>
        <w:jc w:val="center"/>
      </w:pPr>
      <w:r>
        <w:rPr>
          <w:sz w:val="20"/>
        </w:rPr>
        <w:t xml:space="preserve">к электрическим сетям</w:t>
      </w:r>
    </w:p>
    <w:p>
      <w:pPr>
        <w:pStyle w:val="0"/>
        <w:jc w:val="both"/>
      </w:pPr>
      <w:r>
        <w:rPr>
          <w:sz w:val="20"/>
        </w:rPr>
      </w:r>
    </w:p>
    <w:p>
      <w:pPr>
        <w:pStyle w:val="0"/>
        <w:jc w:val="center"/>
      </w:pPr>
      <w:r>
        <w:rPr>
          <w:sz w:val="20"/>
        </w:rPr>
        <w:t xml:space="preserve">(для юридических лиц или индивидуальных предпринимателей</w:t>
      </w:r>
    </w:p>
    <w:p>
      <w:pPr>
        <w:pStyle w:val="0"/>
        <w:jc w:val="center"/>
      </w:pPr>
      <w:r>
        <w:rPr>
          <w:sz w:val="20"/>
        </w:rPr>
        <w:t xml:space="preserve">в целях технологического присоединения энергопринимающих</w:t>
      </w:r>
    </w:p>
    <w:p>
      <w:pPr>
        <w:pStyle w:val="0"/>
        <w:jc w:val="center"/>
      </w:pPr>
      <w:r>
        <w:rPr>
          <w:sz w:val="20"/>
        </w:rPr>
        <w:t xml:space="preserve">устройств, максимальная мощность которых свыше 150 кВт</w:t>
      </w:r>
    </w:p>
    <w:p>
      <w:pPr>
        <w:pStyle w:val="0"/>
        <w:jc w:val="center"/>
      </w:pPr>
      <w:r>
        <w:rPr>
          <w:sz w:val="20"/>
        </w:rPr>
        <w:t xml:space="preserve">и менее 670 кВт (за исключением случаев, указанных</w:t>
      </w:r>
    </w:p>
    <w:p>
      <w:pPr>
        <w:pStyle w:val="0"/>
        <w:jc w:val="center"/>
      </w:pPr>
      <w:r>
        <w:rPr>
          <w:sz w:val="20"/>
        </w:rPr>
        <w:t xml:space="preserve">в </w:t>
      </w:r>
      <w:hyperlink w:history="0" w:anchor="P3754" w:tooltip="ТИПОВОЙ ДОГОВОР">
        <w:r>
          <w:rPr>
            <w:sz w:val="20"/>
            <w:color w:val="0000ff"/>
          </w:rPr>
          <w:t xml:space="preserve">приложениях N 9</w:t>
        </w:r>
      </w:hyperlink>
      <w:r>
        <w:rPr>
          <w:sz w:val="20"/>
        </w:rPr>
        <w:t xml:space="preserve"> и </w:t>
      </w:r>
      <w:hyperlink w:history="0" w:anchor="P4386" w:tooltip="ТИПОВОЙ ДОГОВОР">
        <w:r>
          <w:rPr>
            <w:sz w:val="20"/>
            <w:color w:val="0000ff"/>
          </w:rPr>
          <w:t xml:space="preserve">10</w:t>
        </w:r>
      </w:hyperlink>
      <w:r>
        <w:rPr>
          <w:sz w:val="20"/>
        </w:rPr>
        <w:t xml:space="preserve">, а также осуществления</w:t>
      </w:r>
    </w:p>
    <w:p>
      <w:pPr>
        <w:pStyle w:val="0"/>
        <w:jc w:val="center"/>
      </w:pPr>
      <w:r>
        <w:rPr>
          <w:sz w:val="20"/>
        </w:rPr>
        <w:t xml:space="preserve">технологического присоединения</w:t>
      </w:r>
    </w:p>
    <w:p>
      <w:pPr>
        <w:pStyle w:val="0"/>
        <w:jc w:val="center"/>
      </w:pPr>
      <w:r>
        <w:rPr>
          <w:sz w:val="20"/>
        </w:rPr>
        <w:t xml:space="preserve">по индивидуальному проекту)</w:t>
      </w:r>
    </w:p>
    <w:p>
      <w:pPr>
        <w:pStyle w:val="0"/>
        <w:jc w:val="both"/>
      </w:pPr>
      <w:r>
        <w:rPr>
          <w:sz w:val="20"/>
        </w:rPr>
      </w:r>
    </w:p>
    <w:p>
      <w:pPr>
        <w:pStyle w:val="1"/>
        <w:jc w:val="both"/>
      </w:pPr>
      <w:r>
        <w:rPr>
          <w:sz w:val="20"/>
        </w:rPr>
        <w:t xml:space="preserve">___________________________                      "__" _____________ 20__ г.</w:t>
      </w:r>
    </w:p>
    <w:p>
      <w:pPr>
        <w:pStyle w:val="1"/>
        <w:jc w:val="both"/>
      </w:pPr>
      <w:r>
        <w:rPr>
          <w:sz w:val="20"/>
        </w:rPr>
        <w:t xml:space="preserve">(место заключения договора)                      (дата заключения договора)</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сетевой организации)</w:t>
      </w:r>
    </w:p>
    <w:p>
      <w:pPr>
        <w:pStyle w:val="1"/>
        <w:jc w:val="both"/>
      </w:pPr>
      <w:r>
        <w:rPr>
          <w:sz w:val="20"/>
        </w:rPr>
        <w:t xml:space="preserve">именуемая в дальнейшем сетевой организацией, в лице 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(должность, фамилия, имя, отчество)</w:t>
      </w:r>
    </w:p>
    <w:p>
      <w:pPr>
        <w:pStyle w:val="1"/>
        <w:jc w:val="both"/>
      </w:pPr>
      <w:r>
        <w:rPr>
          <w:sz w:val="20"/>
        </w:rPr>
        <w:t xml:space="preserve">действующего на основании _________________________________________________</w:t>
      </w:r>
    </w:p>
    <w:p>
      <w:pPr>
        <w:pStyle w:val="1"/>
        <w:jc w:val="both"/>
      </w:pPr>
      <w:r>
        <w:rPr>
          <w:sz w:val="20"/>
        </w:rPr>
        <w:t xml:space="preserve">                                (наименование и реквизиты документа)</w:t>
      </w:r>
    </w:p>
    <w:p>
      <w:pPr>
        <w:pStyle w:val="1"/>
        <w:jc w:val="both"/>
      </w:pPr>
      <w:r>
        <w:rPr>
          <w:sz w:val="20"/>
        </w:rPr>
        <w:t xml:space="preserve">__________________________________________________________________________,</w:t>
      </w:r>
    </w:p>
    <w:p>
      <w:pPr>
        <w:pStyle w:val="1"/>
        <w:jc w:val="both"/>
      </w:pPr>
      <w:r>
        <w:rPr>
          <w:sz w:val="20"/>
        </w:rPr>
        <w:t xml:space="preserve">с одной стороны, и ________________________________________________________</w:t>
      </w:r>
    </w:p>
    <w:p>
      <w:pPr>
        <w:pStyle w:val="1"/>
        <w:jc w:val="both"/>
      </w:pPr>
      <w:r>
        <w:rPr>
          <w:sz w:val="20"/>
        </w:rPr>
        <w:t xml:space="preserve">                     (полное наименование юридического лица, номер записи</w:t>
      </w:r>
    </w:p>
    <w:p>
      <w:pPr>
        <w:pStyle w:val="1"/>
        <w:jc w:val="both"/>
      </w:pPr>
      <w:r>
        <w:rPr>
          <w:sz w:val="20"/>
        </w:rPr>
        <w:t xml:space="preserve">___________________________________________________________________________</w:t>
      </w:r>
    </w:p>
    <w:p>
      <w:pPr>
        <w:pStyle w:val="1"/>
        <w:jc w:val="both"/>
      </w:pPr>
      <w:r>
        <w:rPr>
          <w:sz w:val="20"/>
        </w:rPr>
        <w:t xml:space="preserve">   в Едином государственном реестре юридических лиц с указанием фамилии,</w:t>
      </w:r>
    </w:p>
    <w:p>
      <w:pPr>
        <w:pStyle w:val="1"/>
        <w:jc w:val="both"/>
      </w:pPr>
      <w:r>
        <w:rPr>
          <w:sz w:val="20"/>
        </w:rPr>
        <w:t xml:space="preserve">___________________________________________________________________________</w:t>
      </w:r>
    </w:p>
    <w:p>
      <w:pPr>
        <w:pStyle w:val="1"/>
        <w:jc w:val="both"/>
      </w:pPr>
      <w:r>
        <w:rPr>
          <w:sz w:val="20"/>
        </w:rPr>
        <w:t xml:space="preserve">   имени, отчества лица, действующего от имени этого юридического лица,</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наименования и реквизитов документа, на основании которого он действует,</w:t>
      </w:r>
    </w:p>
    <w:p>
      <w:pPr>
        <w:pStyle w:val="1"/>
        <w:jc w:val="both"/>
      </w:pPr>
      <w:r>
        <w:rPr>
          <w:sz w:val="20"/>
        </w:rPr>
        <w:t xml:space="preserve">__________________________________________________________________________,</w:t>
      </w:r>
    </w:p>
    <w:p>
      <w:pPr>
        <w:pStyle w:val="1"/>
        <w:jc w:val="both"/>
      </w:pPr>
      <w:r>
        <w:rPr>
          <w:sz w:val="20"/>
        </w:rPr>
        <w:t xml:space="preserve"> либо фамилия, имя, отчество индивидуального предпринимателя, номер записи</w:t>
      </w:r>
    </w:p>
    <w:p>
      <w:pPr>
        <w:pStyle w:val="1"/>
        <w:jc w:val="both"/>
      </w:pPr>
      <w:r>
        <w:rPr>
          <w:sz w:val="20"/>
        </w:rPr>
        <w:t xml:space="preserve">  в Едином государственном реестре индивидуальных предпринимателей и дата</w:t>
      </w:r>
    </w:p>
    <w:p>
      <w:pPr>
        <w:pStyle w:val="1"/>
        <w:jc w:val="both"/>
      </w:pPr>
      <w:r>
        <w:rPr>
          <w:sz w:val="20"/>
        </w:rPr>
        <w:t xml:space="preserve">                           ее внесения в реестр)</w:t>
      </w:r>
    </w:p>
    <w:p>
      <w:pPr>
        <w:pStyle w:val="1"/>
        <w:jc w:val="both"/>
      </w:pPr>
      <w:r>
        <w:rPr>
          <w:sz w:val="20"/>
        </w:rPr>
        <w:t xml:space="preserve">именуемый  в  дальнейшем заявителем, с  другой  стороны,  вместе  именуемые</w:t>
      </w:r>
    </w:p>
    <w:p>
      <w:pPr>
        <w:pStyle w:val="1"/>
        <w:jc w:val="both"/>
      </w:pPr>
      <w:r>
        <w:rPr>
          <w:sz w:val="20"/>
        </w:rPr>
        <w:t xml:space="preserve">Сторонами, заключили настоящий договор о нижеследующем:</w:t>
      </w:r>
    </w:p>
    <w:p>
      <w:pPr>
        <w:pStyle w:val="0"/>
        <w:jc w:val="both"/>
      </w:pPr>
      <w:r>
        <w:rPr>
          <w:sz w:val="20"/>
        </w:rPr>
      </w:r>
    </w:p>
    <w:p>
      <w:pPr>
        <w:pStyle w:val="0"/>
        <w:outlineLvl w:val="2"/>
        <w:jc w:val="center"/>
      </w:pPr>
      <w:r>
        <w:rPr>
          <w:sz w:val="20"/>
        </w:rPr>
        <w:t xml:space="preserve">I. Предмет договора</w:t>
      </w:r>
    </w:p>
    <w:p>
      <w:pPr>
        <w:pStyle w:val="0"/>
        <w:jc w:val="both"/>
      </w:pPr>
      <w:r>
        <w:rPr>
          <w:sz w:val="20"/>
        </w:rPr>
      </w:r>
    </w:p>
    <w:p>
      <w:pPr>
        <w:pStyle w:val="1"/>
        <w:jc w:val="both"/>
      </w:pPr>
      <w:r>
        <w:rPr>
          <w:sz w:val="20"/>
        </w:rPr>
        <w:t xml:space="preserve">    1.  По  настоящему  договору  сетевая  организация  принимает  на  себя</w:t>
      </w:r>
    </w:p>
    <w:p>
      <w:pPr>
        <w:pStyle w:val="1"/>
        <w:jc w:val="both"/>
      </w:pPr>
      <w:r>
        <w:rPr>
          <w:sz w:val="20"/>
        </w:rPr>
        <w:t xml:space="preserve">обязательства     по     осуществлению    технологического    присоединения</w:t>
      </w:r>
    </w:p>
    <w:p>
      <w:pPr>
        <w:pStyle w:val="1"/>
        <w:jc w:val="both"/>
      </w:pPr>
      <w:r>
        <w:rPr>
          <w:sz w:val="20"/>
        </w:rPr>
        <w:t xml:space="preserve">энергопринимающих    устройств    заявителя    (далее   -   технологическое</w:t>
      </w:r>
    </w:p>
    <w:p>
      <w:pPr>
        <w:pStyle w:val="1"/>
        <w:jc w:val="both"/>
      </w:pPr>
      <w:r>
        <w:rPr>
          <w:sz w:val="20"/>
        </w:rPr>
        <w:t xml:space="preserve">присоединение) ____________________________________________________________</w:t>
      </w:r>
    </w:p>
    <w:p>
      <w:pPr>
        <w:pStyle w:val="1"/>
        <w:jc w:val="both"/>
      </w:pPr>
      <w:r>
        <w:rPr>
          <w:sz w:val="20"/>
        </w:rPr>
        <w:t xml:space="preserve">                        (наименование энергопринимающих устройств)</w:t>
      </w:r>
    </w:p>
    <w:p>
      <w:pPr>
        <w:pStyle w:val="1"/>
        <w:jc w:val="both"/>
      </w:pPr>
      <w:r>
        <w:rPr>
          <w:sz w:val="20"/>
        </w:rPr>
        <w:t xml:space="preserve">__________________________________________________________________________,</w:t>
      </w:r>
    </w:p>
    <w:p>
      <w:pPr>
        <w:pStyle w:val="1"/>
        <w:jc w:val="both"/>
      </w:pPr>
      <w:r>
        <w:rPr>
          <w:sz w:val="20"/>
        </w:rPr>
        <w:t xml:space="preserve">в   том   числе  по   обеспечению   готовности   объектов   электросетевого</w:t>
      </w:r>
    </w:p>
    <w:p>
      <w:pPr>
        <w:pStyle w:val="1"/>
        <w:jc w:val="both"/>
      </w:pPr>
      <w:r>
        <w:rPr>
          <w:sz w:val="20"/>
        </w:rPr>
        <w:t xml:space="preserve">хозяйства  (включая  их  проектирование,  строительство,  реконструкцию)  к</w:t>
      </w:r>
    </w:p>
    <w:p>
      <w:pPr>
        <w:pStyle w:val="1"/>
        <w:jc w:val="both"/>
      </w:pPr>
      <w:r>
        <w:rPr>
          <w:sz w:val="20"/>
        </w:rPr>
        <w:t xml:space="preserve">присоединению   энергопринимающих  устройств,  урегулированию  отношений  с</w:t>
      </w:r>
    </w:p>
    <w:p>
      <w:pPr>
        <w:pStyle w:val="1"/>
        <w:jc w:val="both"/>
      </w:pPr>
      <w:r>
        <w:rPr>
          <w:sz w:val="20"/>
        </w:rPr>
        <w:t xml:space="preserve">третьими  лицами в случае необходимости строительства (модернизации) такими</w:t>
      </w:r>
    </w:p>
    <w:p>
      <w:pPr>
        <w:pStyle w:val="1"/>
        <w:jc w:val="both"/>
      </w:pPr>
      <w:r>
        <w:rPr>
          <w:sz w:val="20"/>
        </w:rPr>
        <w:t xml:space="preserve">лицами     принадлежащих     им    объектов    электросетевого    хозяйства</w:t>
      </w:r>
    </w:p>
    <w:p>
      <w:pPr>
        <w:pStyle w:val="1"/>
        <w:jc w:val="both"/>
      </w:pPr>
      <w:r>
        <w:rPr>
          <w:sz w:val="20"/>
        </w:rPr>
        <w:t xml:space="preserve">(энергопринимающих   устройств,   объектов   электроэнергетики),  с  учетом</w:t>
      </w:r>
    </w:p>
    <w:p>
      <w:pPr>
        <w:pStyle w:val="1"/>
        <w:jc w:val="both"/>
      </w:pPr>
      <w:r>
        <w:rPr>
          <w:sz w:val="20"/>
        </w:rPr>
        <w:t xml:space="preserve">следующих характеристик:</w:t>
      </w:r>
    </w:p>
    <w:p>
      <w:pPr>
        <w:pStyle w:val="0"/>
        <w:ind w:firstLine="540"/>
        <w:jc w:val="both"/>
      </w:pPr>
      <w:r>
        <w:rPr>
          <w:sz w:val="20"/>
        </w:rPr>
        <w:t xml:space="preserve">максимальная мощность присоединяемых энергопринимающих устройств _______ (кВт);</w:t>
      </w:r>
    </w:p>
    <w:p>
      <w:pPr>
        <w:pStyle w:val="0"/>
        <w:spacing w:before="200" w:line-rule="auto"/>
        <w:ind w:firstLine="540"/>
        <w:jc w:val="both"/>
      </w:pPr>
      <w:r>
        <w:rPr>
          <w:sz w:val="20"/>
        </w:rPr>
        <w:t xml:space="preserve">категория надежности _______;</w:t>
      </w:r>
    </w:p>
    <w:p>
      <w:pPr>
        <w:pStyle w:val="0"/>
        <w:spacing w:before="200" w:line-rule="auto"/>
        <w:ind w:firstLine="540"/>
        <w:jc w:val="both"/>
      </w:pPr>
      <w:r>
        <w:rPr>
          <w:sz w:val="20"/>
        </w:rPr>
        <w:t xml:space="preserve">класс напряжения электрических сетей, к которым осуществляется технологическое присоединение _______ (кВ);</w:t>
      </w:r>
    </w:p>
    <w:p>
      <w:pPr>
        <w:pStyle w:val="0"/>
        <w:spacing w:before="200" w:line-rule="auto"/>
        <w:ind w:firstLine="540"/>
        <w:jc w:val="both"/>
      </w:pPr>
      <w:r>
        <w:rPr>
          <w:sz w:val="20"/>
        </w:rPr>
        <w:t xml:space="preserve">максимальная мощность ранее присоединенных энергопринимающих устройств _______ кВт </w:t>
      </w:r>
      <w:hyperlink w:history="0" w:anchor="P4597" w:tooltip="&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w:r>
          <w:rPr>
            <w:sz w:val="20"/>
            <w:color w:val="0000ff"/>
          </w:rPr>
          <w:t xml:space="preserve">&lt;1&gt;</w:t>
        </w:r>
      </w:hyperlink>
      <w:r>
        <w:rPr>
          <w:sz w:val="20"/>
        </w:rPr>
        <w:t xml:space="preserve">.</w:t>
      </w:r>
    </w:p>
    <w:p>
      <w:pPr>
        <w:pStyle w:val="0"/>
        <w:spacing w:before="200" w:line-rule="auto"/>
        <w:ind w:firstLine="540"/>
        <w:jc w:val="both"/>
      </w:pPr>
      <w:r>
        <w:rPr>
          <w:sz w:val="20"/>
        </w:rPr>
        <w:t xml:space="preserve">Заявитель обязуется оплатить расходы на технологическое присоединение в соответствии с условиями настоящего договора.</w:t>
      </w:r>
    </w:p>
    <w:p>
      <w:pPr>
        <w:pStyle w:val="1"/>
        <w:spacing w:before="200" w:line-rule="auto"/>
        <w:jc w:val="both"/>
      </w:pPr>
      <w:r>
        <w:rPr>
          <w:sz w:val="20"/>
        </w:rPr>
        <w:t xml:space="preserve">    2. Технологическое присоединение необходимо для электроснабжения 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объектов заявителя)</w:t>
      </w:r>
    </w:p>
    <w:p>
      <w:pPr>
        <w:pStyle w:val="1"/>
        <w:jc w:val="both"/>
      </w:pPr>
      <w:r>
        <w:rPr>
          <w:sz w:val="20"/>
        </w:rPr>
        <w:t xml:space="preserve">расположенных (которые будут располагаться) _______________________________</w:t>
      </w:r>
    </w:p>
    <w:p>
      <w:pPr>
        <w:pStyle w:val="1"/>
        <w:jc w:val="both"/>
      </w:pPr>
      <w:r>
        <w:rPr>
          <w:sz w:val="20"/>
        </w:rPr>
        <w:t xml:space="preserve">                                                  (место нахождения</w:t>
      </w:r>
    </w:p>
    <w:p>
      <w:pPr>
        <w:pStyle w:val="1"/>
        <w:jc w:val="both"/>
      </w:pPr>
      <w:r>
        <w:rPr>
          <w:sz w:val="20"/>
        </w:rPr>
        <w:t xml:space="preserve">__________________________________________________________________________.</w:t>
      </w:r>
    </w:p>
    <w:p>
      <w:pPr>
        <w:pStyle w:val="1"/>
        <w:jc w:val="both"/>
      </w:pPr>
      <w:r>
        <w:rPr>
          <w:sz w:val="20"/>
        </w:rPr>
        <w:t xml:space="preserve">                           объектов заявителя)</w:t>
      </w:r>
    </w:p>
    <w:p>
      <w:pPr>
        <w:pStyle w:val="0"/>
        <w:ind w:firstLine="540"/>
        <w:jc w:val="both"/>
      </w:pPr>
      <w:r>
        <w:rPr>
          <w:sz w:val="20"/>
        </w:rP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от границы участка заявителя, на котором располагаются (будут располагаться) присоединяемые объекты заявителя.</w:t>
      </w:r>
    </w:p>
    <w:p>
      <w:pPr>
        <w:pStyle w:val="0"/>
        <w:spacing w:before="200" w:line-rule="auto"/>
        <w:ind w:firstLine="540"/>
        <w:jc w:val="both"/>
      </w:pPr>
      <w:r>
        <w:rPr>
          <w:sz w:val="20"/>
        </w:rPr>
        <w:t xml:space="preserve">4. </w:t>
      </w:r>
      <w:hyperlink w:history="0" w:anchor="P4611" w:tooltip="                            ТЕХНИЧЕСКИЕ УСЛОВИЯ">
        <w:r>
          <w:rPr>
            <w:sz w:val="20"/>
            <w:color w:val="0000ff"/>
          </w:rPr>
          <w:t xml:space="preserve">Технические условия</w:t>
        </w:r>
      </w:hyperlink>
      <w:r>
        <w:rPr>
          <w:sz w:val="20"/>
        </w:rPr>
        <w:t xml:space="preserve"> являются неотъемлемой частью настоящего договора и приведены в приложении.</w:t>
      </w:r>
    </w:p>
    <w:p>
      <w:pPr>
        <w:pStyle w:val="0"/>
        <w:spacing w:before="200" w:line-rule="auto"/>
        <w:ind w:firstLine="540"/>
        <w:jc w:val="both"/>
      </w:pPr>
      <w:r>
        <w:rPr>
          <w:sz w:val="20"/>
        </w:rPr>
        <w:t xml:space="preserve">Срок действия технических условий составляет _______ год (года) </w:t>
      </w:r>
      <w:hyperlink w:history="0" w:anchor="P4598" w:tooltip="&lt;2&gt; Срок действия технических условий не может составлять менее 2 лет и более 5 лет.">
        <w:r>
          <w:rPr>
            <w:sz w:val="20"/>
            <w:color w:val="0000ff"/>
          </w:rPr>
          <w:t xml:space="preserve">&lt;2&gt;</w:t>
        </w:r>
      </w:hyperlink>
      <w:r>
        <w:rPr>
          <w:sz w:val="20"/>
        </w:rPr>
        <w:t xml:space="preserve"> со дня заключения настоящего договора.</w:t>
      </w:r>
    </w:p>
    <w:bookmarkStart w:id="4483" w:name="P4483"/>
    <w:bookmarkEnd w:id="4483"/>
    <w:p>
      <w:pPr>
        <w:pStyle w:val="0"/>
        <w:spacing w:before="200" w:line-rule="auto"/>
        <w:ind w:firstLine="540"/>
        <w:jc w:val="both"/>
      </w:pPr>
      <w:r>
        <w:rPr>
          <w:sz w:val="20"/>
        </w:rPr>
        <w:t xml:space="preserve">5. Срок выполнения мероприятий по технологическому присоединению составляет __________ </w:t>
      </w:r>
      <w:hyperlink w:history="0" w:anchor="P4599" w:tooltip="&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
        <w:r>
          <w:rPr>
            <w:sz w:val="20"/>
            <w:color w:val="0000ff"/>
          </w:rPr>
          <w:t xml:space="preserve">&lt;3&gt;</w:t>
        </w:r>
      </w:hyperlink>
      <w:r>
        <w:rPr>
          <w:sz w:val="20"/>
        </w:rPr>
        <w:t xml:space="preserve"> со дня заключения настоящего договора.</w:t>
      </w:r>
    </w:p>
    <w:p>
      <w:pPr>
        <w:pStyle w:val="0"/>
        <w:jc w:val="both"/>
      </w:pPr>
      <w:r>
        <w:rPr>
          <w:sz w:val="20"/>
        </w:rPr>
      </w:r>
    </w:p>
    <w:p>
      <w:pPr>
        <w:pStyle w:val="0"/>
        <w:outlineLvl w:val="2"/>
        <w:jc w:val="center"/>
      </w:pPr>
      <w:r>
        <w:rPr>
          <w:sz w:val="20"/>
        </w:rPr>
        <w:t xml:space="preserve">II. Обязанности Сторон</w:t>
      </w:r>
    </w:p>
    <w:p>
      <w:pPr>
        <w:pStyle w:val="0"/>
        <w:jc w:val="both"/>
      </w:pPr>
      <w:r>
        <w:rPr>
          <w:sz w:val="20"/>
        </w:rPr>
      </w:r>
    </w:p>
    <w:p>
      <w:pPr>
        <w:pStyle w:val="0"/>
        <w:ind w:firstLine="540"/>
        <w:jc w:val="both"/>
      </w:pPr>
      <w:r>
        <w:rPr>
          <w:sz w:val="20"/>
        </w:rPr>
        <w:t xml:space="preserve">6. Сетевая организация обязуется:</w:t>
      </w:r>
    </w:p>
    <w:p>
      <w:pPr>
        <w:pStyle w:val="0"/>
        <w:spacing w:before="200" w:line-rule="auto"/>
        <w:ind w:firstLine="540"/>
        <w:jc w:val="both"/>
      </w:pPr>
      <w:r>
        <w:rPr>
          <w:sz w:val="20"/>
        </w:rP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pPr>
        <w:pStyle w:val="0"/>
        <w:spacing w:before="200" w:line-rule="auto"/>
        <w:ind w:firstLine="540"/>
        <w:jc w:val="both"/>
      </w:pPr>
      <w:r>
        <w:rPr>
          <w:sz w:val="20"/>
        </w:rPr>
        <w:t xml:space="preserve">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w:t>
      </w:r>
    </w:p>
    <w:p>
      <w:pPr>
        <w:pStyle w:val="0"/>
        <w:spacing w:before="200" w:line-rule="auto"/>
        <w:ind w:firstLine="540"/>
        <w:jc w:val="both"/>
      </w:pPr>
      <w:r>
        <w:rPr>
          <w:sz w:val="20"/>
        </w:rPr>
        <w:t xml:space="preserve">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pPr>
        <w:pStyle w:val="0"/>
        <w:spacing w:before="200" w:line-rule="auto"/>
        <w:ind w:firstLine="540"/>
        <w:jc w:val="both"/>
      </w:pPr>
      <w:r>
        <w:rPr>
          <w:sz w:val="20"/>
        </w:rPr>
        <w:t xml:space="preserve">не позднее 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w:t>
      </w:r>
      <w:hyperlink w:history="0" w:anchor="P4483" w:tooltip="5. Срок выполнения мероприятий по технологическому присоединению составляет __________ &lt;3&gt; со дня заключения настоящего договора.">
        <w:r>
          <w:rPr>
            <w:sz w:val="20"/>
            <w:color w:val="0000ff"/>
          </w:rPr>
          <w:t xml:space="preserve">пунктом 5</w:t>
        </w:r>
      </w:hyperlink>
      <w:r>
        <w:rPr>
          <w:sz w:val="20"/>
        </w:rP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pPr>
        <w:pStyle w:val="0"/>
        <w:spacing w:before="200" w:line-rule="auto"/>
        <w:ind w:firstLine="540"/>
        <w:jc w:val="both"/>
      </w:pPr>
      <w:r>
        <w:rPr>
          <w:sz w:val="20"/>
        </w:rPr>
        <w:t xml:space="preserve">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pPr>
        <w:pStyle w:val="0"/>
        <w:spacing w:before="200" w:line-rule="auto"/>
        <w:ind w:firstLine="540"/>
        <w:jc w:val="both"/>
      </w:pPr>
      <w:r>
        <w:rPr>
          <w:sz w:val="20"/>
        </w:rPr>
        <w:t xml:space="preserve">8. Заявитель обязуется:</w:t>
      </w:r>
    </w:p>
    <w:p>
      <w:pPr>
        <w:pStyle w:val="0"/>
        <w:spacing w:before="200" w:line-rule="auto"/>
        <w:ind w:firstLine="540"/>
        <w:jc w:val="both"/>
      </w:pPr>
      <w:r>
        <w:rPr>
          <w:sz w:val="20"/>
        </w:rP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pPr>
        <w:pStyle w:val="0"/>
        <w:spacing w:before="200" w:line-rule="auto"/>
        <w:ind w:firstLine="540"/>
        <w:jc w:val="both"/>
      </w:pPr>
      <w:r>
        <w:rPr>
          <w:sz w:val="20"/>
        </w:rPr>
        <w:t xml:space="preserve">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pPr>
        <w:pStyle w:val="0"/>
        <w:spacing w:before="200" w:line-rule="auto"/>
        <w:ind w:firstLine="540"/>
        <w:jc w:val="both"/>
      </w:pPr>
      <w:r>
        <w:rPr>
          <w:sz w:val="20"/>
        </w:rPr>
        <w:t xml:space="preserve">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w:t>
      </w:r>
    </w:p>
    <w:p>
      <w:pPr>
        <w:pStyle w:val="0"/>
        <w:spacing w:before="200" w:line-rule="auto"/>
        <w:ind w:firstLine="540"/>
        <w:jc w:val="both"/>
      </w:pPr>
      <w:r>
        <w:rPr>
          <w:sz w:val="20"/>
        </w:rPr>
        <w:t xml:space="preserve">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w:t>
      </w:r>
    </w:p>
    <w:p>
      <w:pPr>
        <w:pStyle w:val="0"/>
        <w:spacing w:before="200" w:line-rule="auto"/>
        <w:ind w:firstLine="540"/>
        <w:jc w:val="both"/>
      </w:pPr>
      <w:r>
        <w:rPr>
          <w:sz w:val="20"/>
        </w:rP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w:t>
      </w:r>
    </w:p>
    <w:p>
      <w:pPr>
        <w:pStyle w:val="0"/>
        <w:spacing w:before="200" w:line-rule="auto"/>
        <w:ind w:firstLine="540"/>
        <w:jc w:val="both"/>
      </w:pPr>
      <w:r>
        <w:rPr>
          <w:sz w:val="20"/>
        </w:rPr>
        <w:t xml:space="preserve">надлежащим образом исполнять указанные в </w:t>
      </w:r>
      <w:hyperlink w:history="0" w:anchor="P4503" w:tooltip="III. Плата за технологическое присоединение">
        <w:r>
          <w:rPr>
            <w:sz w:val="20"/>
            <w:color w:val="0000ff"/>
          </w:rPr>
          <w:t xml:space="preserve">разделе III</w:t>
        </w:r>
      </w:hyperlink>
      <w:r>
        <w:rPr>
          <w:sz w:val="20"/>
        </w:rPr>
        <w:t xml:space="preserve"> настоящего договора обязательства по оплате расходов на технологическое присоединение;</w:t>
      </w:r>
    </w:p>
    <w:p>
      <w:pPr>
        <w:pStyle w:val="0"/>
        <w:spacing w:before="200" w:line-rule="auto"/>
        <w:ind w:firstLine="540"/>
        <w:jc w:val="both"/>
      </w:pPr>
      <w:r>
        <w:rPr>
          <w:sz w:val="20"/>
        </w:rPr>
        <w:t xml:space="preserve">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pPr>
        <w:pStyle w:val="0"/>
        <w:spacing w:before="200" w:line-rule="auto"/>
        <w:ind w:firstLine="540"/>
        <w:jc w:val="both"/>
      </w:pPr>
      <w:r>
        <w:rPr>
          <w:sz w:val="20"/>
        </w:rPr>
        <w:t xml:space="preserve">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pPr>
        <w:pStyle w:val="0"/>
        <w:jc w:val="both"/>
      </w:pPr>
      <w:r>
        <w:rPr>
          <w:sz w:val="20"/>
        </w:rPr>
      </w:r>
    </w:p>
    <w:bookmarkStart w:id="4503" w:name="P4503"/>
    <w:bookmarkEnd w:id="4503"/>
    <w:p>
      <w:pPr>
        <w:pStyle w:val="0"/>
        <w:outlineLvl w:val="2"/>
        <w:jc w:val="center"/>
      </w:pPr>
      <w:r>
        <w:rPr>
          <w:sz w:val="20"/>
        </w:rPr>
        <w:t xml:space="preserve">III. Плата за технологическое присоединение</w:t>
      </w:r>
    </w:p>
    <w:p>
      <w:pPr>
        <w:pStyle w:val="0"/>
        <w:jc w:val="center"/>
      </w:pPr>
      <w:r>
        <w:rPr>
          <w:sz w:val="20"/>
        </w:rPr>
        <w:t xml:space="preserve">и порядок расчетов</w:t>
      </w:r>
    </w:p>
    <w:p>
      <w:pPr>
        <w:pStyle w:val="0"/>
        <w:jc w:val="both"/>
      </w:pPr>
      <w:r>
        <w:rPr>
          <w:sz w:val="20"/>
        </w:rPr>
      </w:r>
    </w:p>
    <w:p>
      <w:pPr>
        <w:pStyle w:val="1"/>
        <w:jc w:val="both"/>
      </w:pPr>
      <w:r>
        <w:rPr>
          <w:sz w:val="20"/>
        </w:rPr>
        <w:t xml:space="preserve">    10.  Размер  платы  за  технологическое  присоединение  определяется  в</w:t>
      </w:r>
    </w:p>
    <w:p>
      <w:pPr>
        <w:pStyle w:val="1"/>
        <w:jc w:val="both"/>
      </w:pPr>
      <w:r>
        <w:rPr>
          <w:sz w:val="20"/>
        </w:rPr>
        <w:t xml:space="preserve">соответствии с решением ___________________________________________________</w:t>
      </w:r>
    </w:p>
    <w:p>
      <w:pPr>
        <w:pStyle w:val="1"/>
        <w:jc w:val="both"/>
      </w:pPr>
      <w:r>
        <w:rPr>
          <w:sz w:val="20"/>
        </w:rPr>
        <w:t xml:space="preserve">                            (наименование органа исполнительной власти</w:t>
      </w:r>
    </w:p>
    <w:p>
      <w:pPr>
        <w:pStyle w:val="1"/>
        <w:jc w:val="both"/>
      </w:pPr>
      <w:r>
        <w:rPr>
          <w:sz w:val="20"/>
        </w:rPr>
        <w:t xml:space="preserve">___________________________________________________________________________</w:t>
      </w:r>
    </w:p>
    <w:p>
      <w:pPr>
        <w:pStyle w:val="1"/>
        <w:jc w:val="both"/>
      </w:pPr>
      <w:r>
        <w:rPr>
          <w:sz w:val="20"/>
        </w:rPr>
        <w:t xml:space="preserve">             в области государственного регулирования тарифов)</w:t>
      </w:r>
    </w:p>
    <w:p>
      <w:pPr>
        <w:pStyle w:val="1"/>
        <w:jc w:val="both"/>
      </w:pPr>
      <w:r>
        <w:rPr>
          <w:sz w:val="20"/>
        </w:rPr>
        <w:t xml:space="preserve">от __________________ N _____________ и составляет _________________ рублей</w:t>
      </w:r>
    </w:p>
    <w:p>
      <w:pPr>
        <w:pStyle w:val="1"/>
        <w:jc w:val="both"/>
      </w:pPr>
      <w:r>
        <w:rPr>
          <w:sz w:val="20"/>
        </w:rPr>
        <w:t xml:space="preserve">_________ копеек, в том числе НДС _________ рублей _________ копеек.</w:t>
      </w:r>
    </w:p>
    <w:p>
      <w:pPr>
        <w:pStyle w:val="0"/>
        <w:ind w:firstLine="540"/>
        <w:jc w:val="both"/>
      </w:pPr>
      <w:r>
        <w:rPr>
          <w:sz w:val="20"/>
        </w:rPr>
        <w:t xml:space="preserve">11. Внесение платы за технологическое присоединение осуществляется заявителем в следующем порядке:</w:t>
      </w:r>
    </w:p>
    <w:p>
      <w:pPr>
        <w:pStyle w:val="0"/>
        <w:spacing w:before="200" w:line-rule="auto"/>
        <w:ind w:firstLine="540"/>
        <w:jc w:val="both"/>
      </w:pPr>
      <w:r>
        <w:rPr>
          <w:sz w:val="20"/>
        </w:rPr>
        <w:t xml:space="preserve">10 процентов платы за технологическое присоединение вносятся в течение 15 дней со дня заключения настоящего договора;</w:t>
      </w:r>
    </w:p>
    <w:p>
      <w:pPr>
        <w:pStyle w:val="0"/>
        <w:spacing w:before="200" w:line-rule="auto"/>
        <w:ind w:firstLine="540"/>
        <w:jc w:val="both"/>
      </w:pPr>
      <w:r>
        <w:rPr>
          <w:sz w:val="20"/>
        </w:rPr>
        <w:t xml:space="preserve">30 процентов платы за технологическое присоединение вносятся в течение 60 дней со дня заключения настоящего договора;</w:t>
      </w:r>
    </w:p>
    <w:p>
      <w:pPr>
        <w:pStyle w:val="0"/>
        <w:spacing w:before="200" w:line-rule="auto"/>
        <w:ind w:firstLine="540"/>
        <w:jc w:val="both"/>
      </w:pPr>
      <w:r>
        <w:rPr>
          <w:sz w:val="20"/>
        </w:rPr>
        <w:t xml:space="preserve">20 процентов платы за технологическое присоединение вносятся в течение 180 дней со дня заключения настоящего договора;</w:t>
      </w:r>
    </w:p>
    <w:p>
      <w:pPr>
        <w:pStyle w:val="0"/>
        <w:spacing w:before="200" w:line-rule="auto"/>
        <w:ind w:firstLine="540"/>
        <w:jc w:val="both"/>
      </w:pPr>
      <w:r>
        <w:rPr>
          <w:sz w:val="20"/>
        </w:rPr>
        <w:t xml:space="preserve">30 процентов платы за технологическое присоединение вносятся в течение 15 дней со дня фактического присоединения;</w:t>
      </w:r>
    </w:p>
    <w:p>
      <w:pPr>
        <w:pStyle w:val="0"/>
        <w:spacing w:before="200" w:line-rule="auto"/>
        <w:ind w:firstLine="540"/>
        <w:jc w:val="both"/>
      </w:pPr>
      <w:r>
        <w:rPr>
          <w:sz w:val="20"/>
        </w:rPr>
        <w:t xml:space="preserve">10 процентов платы за технологическое присоединение вносятся в течение 10 дней со дня подписания акта об осуществлении технологического присоединения.</w:t>
      </w:r>
    </w:p>
    <w:p>
      <w:pPr>
        <w:pStyle w:val="0"/>
        <w:spacing w:before="200" w:line-rule="auto"/>
        <w:ind w:firstLine="540"/>
        <w:jc w:val="both"/>
      </w:pPr>
      <w:r>
        <w:rPr>
          <w:sz w:val="20"/>
        </w:rPr>
        <w:t xml:space="preserve">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pPr>
        <w:pStyle w:val="0"/>
        <w:jc w:val="both"/>
      </w:pPr>
      <w:r>
        <w:rPr>
          <w:sz w:val="20"/>
        </w:rPr>
      </w:r>
    </w:p>
    <w:p>
      <w:pPr>
        <w:pStyle w:val="0"/>
        <w:outlineLvl w:val="2"/>
        <w:jc w:val="center"/>
      </w:pPr>
      <w:r>
        <w:rPr>
          <w:sz w:val="20"/>
        </w:rPr>
        <w:t xml:space="preserve">IV. Разграничение балансовой принадлежности электрических</w:t>
      </w:r>
    </w:p>
    <w:p>
      <w:pPr>
        <w:pStyle w:val="0"/>
        <w:jc w:val="center"/>
      </w:pPr>
      <w:r>
        <w:rPr>
          <w:sz w:val="20"/>
        </w:rPr>
        <w:t xml:space="preserve">сетей и эксплуатационной ответственности Сторон</w:t>
      </w:r>
    </w:p>
    <w:p>
      <w:pPr>
        <w:pStyle w:val="0"/>
        <w:jc w:val="both"/>
      </w:pPr>
      <w:r>
        <w:rPr>
          <w:sz w:val="20"/>
        </w:rPr>
      </w:r>
    </w:p>
    <w:p>
      <w:pPr>
        <w:pStyle w:val="0"/>
        <w:ind w:firstLine="540"/>
        <w:jc w:val="both"/>
      </w:pPr>
      <w:r>
        <w:rPr>
          <w:sz w:val="20"/>
        </w:rP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history="0" w:anchor="P4600" w:tooltip="&lt;4&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
        <w:r>
          <w:rPr>
            <w:sz w:val="20"/>
            <w:color w:val="0000ff"/>
          </w:rPr>
          <w:t xml:space="preserve">&lt;4&gt;</w:t>
        </w:r>
      </w:hyperlink>
      <w:r>
        <w:rPr>
          <w:sz w:val="20"/>
        </w:rPr>
        <w:t xml:space="preserve">.</w:t>
      </w:r>
    </w:p>
    <w:p>
      <w:pPr>
        <w:pStyle w:val="0"/>
        <w:jc w:val="both"/>
      </w:pPr>
      <w:r>
        <w:rPr>
          <w:sz w:val="20"/>
        </w:rPr>
      </w:r>
    </w:p>
    <w:p>
      <w:pPr>
        <w:pStyle w:val="0"/>
        <w:outlineLvl w:val="2"/>
        <w:jc w:val="center"/>
      </w:pPr>
      <w:r>
        <w:rPr>
          <w:sz w:val="20"/>
        </w:rPr>
        <w:t xml:space="preserve">V. Условия изменения, расторжения договора</w:t>
      </w:r>
    </w:p>
    <w:p>
      <w:pPr>
        <w:pStyle w:val="0"/>
        <w:jc w:val="center"/>
      </w:pPr>
      <w:r>
        <w:rPr>
          <w:sz w:val="20"/>
        </w:rPr>
        <w:t xml:space="preserve">и ответственность Сторон</w:t>
      </w:r>
    </w:p>
    <w:p>
      <w:pPr>
        <w:pStyle w:val="0"/>
        <w:jc w:val="both"/>
      </w:pPr>
      <w:r>
        <w:rPr>
          <w:sz w:val="20"/>
        </w:rPr>
      </w:r>
    </w:p>
    <w:p>
      <w:pPr>
        <w:pStyle w:val="0"/>
        <w:ind w:firstLine="540"/>
        <w:jc w:val="both"/>
      </w:pPr>
      <w:r>
        <w:rPr>
          <w:sz w:val="20"/>
        </w:rPr>
        <w:t xml:space="preserve">14. Настоящий договор может быть изменен по письменному соглашению Сторон или в судебном порядке.</w:t>
      </w:r>
    </w:p>
    <w:p>
      <w:pPr>
        <w:pStyle w:val="0"/>
        <w:spacing w:before="200" w:line-rule="auto"/>
        <w:ind w:firstLine="540"/>
        <w:jc w:val="both"/>
      </w:pPr>
      <w:r>
        <w:rPr>
          <w:sz w:val="20"/>
        </w:rPr>
        <w:t xml:space="preserve">15. Настоящий договор может быть расторгнут по требованию одной из Сторон по основаниям, предусмотренным Гражданским </w:t>
      </w:r>
      <w:hyperlink w:history="0" r:id="rId1133" w:tooltip="&quot;Гражданский кодекс Российской Федерации (часть первая)&quot; от 30.11.1994 N 51-ФЗ (ред. от 25.02.2022)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pPr>
        <w:pStyle w:val="0"/>
        <w:spacing w:before="200" w:line-rule="auto"/>
        <w:ind w:firstLine="540"/>
        <w:jc w:val="both"/>
      </w:pPr>
      <w:r>
        <w:rPr>
          <w:sz w:val="20"/>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bookmarkStart w:id="4533" w:name="P4533"/>
    <w:bookmarkEnd w:id="4533"/>
    <w:p>
      <w:pPr>
        <w:pStyle w:val="0"/>
        <w:spacing w:before="200" w:line-rule="auto"/>
        <w:ind w:firstLine="540"/>
        <w:jc w:val="both"/>
      </w:pPr>
      <w:r>
        <w:rPr>
          <w:sz w:val="20"/>
        </w:rPr>
        <w:t xml:space="preserve">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pPr>
        <w:pStyle w:val="0"/>
        <w:spacing w:before="200" w:line-rule="auto"/>
        <w:ind w:firstLine="540"/>
        <w:jc w:val="both"/>
      </w:pPr>
      <w:r>
        <w:rPr>
          <w:sz w:val="20"/>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history="0" w:anchor="P4533" w:tooltip="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
        <w:r>
          <w:rPr>
            <w:sz w:val="20"/>
            <w:color w:val="0000ff"/>
          </w:rPr>
          <w:t xml:space="preserve">абзацем первым</w:t>
        </w:r>
      </w:hyperlink>
      <w:r>
        <w:rPr>
          <w:sz w:val="20"/>
        </w:rPr>
        <w:t xml:space="preserve"> настоящего пункта, в случае необоснованного уклонения либо отказа от ее уплаты.</w:t>
      </w:r>
    </w:p>
    <w:p>
      <w:pPr>
        <w:pStyle w:val="0"/>
        <w:spacing w:before="200" w:line-rule="auto"/>
        <w:ind w:firstLine="540"/>
        <w:jc w:val="both"/>
      </w:pPr>
      <w:r>
        <w:rPr>
          <w:sz w:val="20"/>
        </w:rPr>
        <w:t xml:space="preserve">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pPr>
        <w:pStyle w:val="0"/>
        <w:jc w:val="both"/>
      </w:pPr>
      <w:r>
        <w:rPr>
          <w:sz w:val="20"/>
        </w:rPr>
      </w:r>
    </w:p>
    <w:p>
      <w:pPr>
        <w:pStyle w:val="0"/>
        <w:outlineLvl w:val="2"/>
        <w:jc w:val="center"/>
      </w:pPr>
      <w:r>
        <w:rPr>
          <w:sz w:val="20"/>
        </w:rPr>
        <w:t xml:space="preserve">VI. Порядок разрешения споров</w:t>
      </w:r>
    </w:p>
    <w:p>
      <w:pPr>
        <w:pStyle w:val="0"/>
        <w:jc w:val="both"/>
      </w:pPr>
      <w:r>
        <w:rPr>
          <w:sz w:val="20"/>
        </w:rPr>
      </w:r>
    </w:p>
    <w:p>
      <w:pPr>
        <w:pStyle w:val="0"/>
        <w:ind w:firstLine="540"/>
        <w:jc w:val="both"/>
      </w:pPr>
      <w:r>
        <w:rPr>
          <w:sz w:val="20"/>
        </w:rPr>
        <w:t xml:space="preserve">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pPr>
        <w:pStyle w:val="0"/>
        <w:jc w:val="both"/>
      </w:pPr>
      <w:r>
        <w:rPr>
          <w:sz w:val="20"/>
        </w:rPr>
      </w:r>
    </w:p>
    <w:p>
      <w:pPr>
        <w:pStyle w:val="0"/>
        <w:outlineLvl w:val="2"/>
        <w:jc w:val="center"/>
      </w:pPr>
      <w:r>
        <w:rPr>
          <w:sz w:val="20"/>
        </w:rPr>
        <w:t xml:space="preserve">VII. Заключительные положения</w:t>
      </w:r>
    </w:p>
    <w:p>
      <w:pPr>
        <w:pStyle w:val="0"/>
        <w:jc w:val="both"/>
      </w:pPr>
      <w:r>
        <w:rPr>
          <w:sz w:val="20"/>
        </w:rPr>
      </w:r>
    </w:p>
    <w:p>
      <w:pPr>
        <w:pStyle w:val="0"/>
        <w:ind w:firstLine="540"/>
        <w:jc w:val="both"/>
      </w:pPr>
      <w:r>
        <w:rPr>
          <w:sz w:val="20"/>
        </w:rPr>
        <w:t xml:space="preserve">21. Настоящий договор считается заключенным с даты поступления подписанного заявителем экземпляра настоящего договора в сетевую организацию.</w:t>
      </w:r>
    </w:p>
    <w:p>
      <w:pPr>
        <w:pStyle w:val="0"/>
        <w:spacing w:before="200" w:line-rule="auto"/>
        <w:ind w:firstLine="540"/>
        <w:jc w:val="both"/>
      </w:pPr>
      <w:r>
        <w:rPr>
          <w:sz w:val="20"/>
        </w:rPr>
        <w:t xml:space="preserve">22. Настоящий договор составлен и подписан в двух экземплярах, по одному для каждой из Сторон.</w:t>
      </w:r>
    </w:p>
    <w:p>
      <w:pPr>
        <w:pStyle w:val="0"/>
        <w:jc w:val="both"/>
      </w:pPr>
      <w:r>
        <w:rPr>
          <w:sz w:val="20"/>
        </w:rPr>
      </w:r>
    </w:p>
    <w:p>
      <w:pPr>
        <w:pStyle w:val="0"/>
        <w:outlineLvl w:val="2"/>
        <w:jc w:val="center"/>
      </w:pPr>
      <w:r>
        <w:rPr>
          <w:sz w:val="20"/>
        </w:rPr>
        <w:t xml:space="preserve">Реквизиты Сторон</w:t>
      </w:r>
    </w:p>
    <w:p>
      <w:pPr>
        <w:pStyle w:val="0"/>
        <w:jc w:val="both"/>
      </w:pPr>
      <w:r>
        <w:rPr>
          <w:sz w:val="20"/>
        </w:rPr>
      </w:r>
    </w:p>
    <w:tbl>
      <w:tblPr>
        <w:tblInd w:w="0" w:type="dxa"/>
        <w:tblLayout w:type="fixed"/>
        <w:tblCellMar>
          <w:top w:w="102" w:type="dxa"/>
          <w:left w:w="62" w:type="dxa"/>
          <w:bottom w:w="102" w:type="dxa"/>
          <w:right w:w="62" w:type="dxa"/>
        </w:tblCellMar>
      </w:tblPr>
      <w:tblGrid>
        <w:gridCol w:w="4252"/>
        <w:gridCol w:w="360"/>
        <w:gridCol w:w="4365"/>
      </w:tblGrid>
      <w:tr>
        <w:tc>
          <w:tcPr>
            <w:tcW w:w="4252" w:type="dxa"/>
            <w:tcBorders>
              <w:top w:val="nil"/>
              <w:left w:val="nil"/>
              <w:bottom w:val="nil"/>
              <w:right w:val="nil"/>
            </w:tcBorders>
          </w:tcPr>
          <w:p>
            <w:pPr>
              <w:pStyle w:val="0"/>
              <w:jc w:val="both"/>
            </w:pPr>
            <w:r>
              <w:rPr>
                <w:sz w:val="20"/>
              </w:rPr>
              <w:t xml:space="preserve">Сетевая организация</w:t>
            </w:r>
          </w:p>
          <w:p>
            <w:pPr>
              <w:pStyle w:val="0"/>
              <w:jc w:val="both"/>
            </w:pPr>
            <w:r>
              <w:rPr>
                <w:sz w:val="20"/>
              </w:rPr>
              <w:t xml:space="preserve">_____________________________________</w:t>
            </w:r>
          </w:p>
          <w:p>
            <w:pPr>
              <w:pStyle w:val="0"/>
              <w:jc w:val="center"/>
            </w:pPr>
            <w:r>
              <w:rPr>
                <w:sz w:val="20"/>
              </w:rPr>
              <w:t xml:space="preserve">(наименование сетевой организации)</w:t>
            </w:r>
          </w:p>
          <w:p>
            <w:pPr>
              <w:pStyle w:val="0"/>
              <w:jc w:val="both"/>
            </w:pPr>
            <w:r>
              <w:rPr>
                <w:sz w:val="20"/>
              </w:rPr>
              <w:t xml:space="preserve">_____________________________________</w:t>
            </w:r>
          </w:p>
          <w:p>
            <w:pPr>
              <w:pStyle w:val="0"/>
              <w:jc w:val="center"/>
            </w:pPr>
            <w:r>
              <w:rPr>
                <w:sz w:val="20"/>
              </w:rPr>
              <w:t xml:space="preserve">(место нахождения)</w:t>
            </w:r>
          </w:p>
          <w:p>
            <w:pPr>
              <w:pStyle w:val="0"/>
              <w:jc w:val="both"/>
            </w:pPr>
            <w:r>
              <w:rPr>
                <w:sz w:val="20"/>
              </w:rPr>
              <w:t xml:space="preserve">ИНН/КПП ____________________________</w:t>
            </w:r>
          </w:p>
          <w:p>
            <w:pPr>
              <w:pStyle w:val="0"/>
              <w:jc w:val="both"/>
            </w:pPr>
            <w:r>
              <w:rPr>
                <w:sz w:val="20"/>
              </w:rPr>
              <w:t xml:space="preserve">_____________________________________</w:t>
            </w:r>
          </w:p>
          <w:p>
            <w:pPr>
              <w:pStyle w:val="0"/>
              <w:jc w:val="both"/>
            </w:pPr>
            <w:r>
              <w:rPr>
                <w:sz w:val="20"/>
              </w:rPr>
              <w:t xml:space="preserve">р/с __________________________________</w:t>
            </w:r>
          </w:p>
          <w:p>
            <w:pPr>
              <w:pStyle w:val="0"/>
              <w:jc w:val="both"/>
            </w:pPr>
            <w:r>
              <w:rPr>
                <w:sz w:val="20"/>
              </w:rPr>
              <w:t xml:space="preserve">к/с __________________________________</w:t>
            </w:r>
          </w:p>
          <w:p>
            <w:pPr>
              <w:pStyle w:val="0"/>
              <w:jc w:val="both"/>
            </w:pPr>
            <w:r>
              <w:rPr>
                <w:sz w:val="20"/>
              </w:rPr>
              <w:t xml:space="preserve">_____________________________________</w:t>
            </w:r>
          </w:p>
          <w:p>
            <w:pPr>
              <w:pStyle w:val="0"/>
              <w:jc w:val="center"/>
            </w:pPr>
            <w:r>
              <w:rPr>
                <w:sz w:val="20"/>
              </w:rPr>
              <w:t xml:space="preserve">(должность, фамилия, имя, отчество лица,</w:t>
            </w:r>
          </w:p>
          <w:p>
            <w:pPr>
              <w:pStyle w:val="0"/>
              <w:jc w:val="both"/>
            </w:pPr>
            <w:r>
              <w:rPr>
                <w:sz w:val="20"/>
              </w:rPr>
              <w:t xml:space="preserve">_____________________________________</w:t>
            </w:r>
          </w:p>
          <w:p>
            <w:pPr>
              <w:pStyle w:val="0"/>
              <w:jc w:val="center"/>
            </w:pPr>
            <w:r>
              <w:rPr>
                <w:sz w:val="20"/>
              </w:rPr>
              <w:t xml:space="preserve">действующего от имени сетевой организации)</w:t>
            </w:r>
          </w:p>
        </w:tc>
        <w:tc>
          <w:tcPr>
            <w:tcW w:w="360" w:type="dxa"/>
            <w:tcBorders>
              <w:top w:val="nil"/>
              <w:left w:val="nil"/>
              <w:bottom w:val="nil"/>
              <w:right w:val="nil"/>
            </w:tcBorders>
          </w:tcPr>
          <w:p>
            <w:pPr>
              <w:pStyle w:val="0"/>
            </w:pPr>
            <w:r>
              <w:rPr>
                <w:sz w:val="20"/>
              </w:rPr>
            </w:r>
          </w:p>
        </w:tc>
        <w:tc>
          <w:tcPr>
            <w:tcW w:w="4365" w:type="dxa"/>
            <w:tcBorders>
              <w:top w:val="nil"/>
              <w:left w:val="nil"/>
              <w:bottom w:val="nil"/>
              <w:right w:val="nil"/>
            </w:tcBorders>
            <w:vMerge w:val="restart"/>
          </w:tcPr>
          <w:p>
            <w:pPr>
              <w:pStyle w:val="0"/>
              <w:jc w:val="both"/>
            </w:pPr>
            <w:r>
              <w:rPr>
                <w:sz w:val="20"/>
              </w:rPr>
              <w:t xml:space="preserve">Заявитель</w:t>
            </w:r>
          </w:p>
          <w:p>
            <w:pPr>
              <w:pStyle w:val="0"/>
              <w:jc w:val="both"/>
            </w:pPr>
            <w:r>
              <w:rPr>
                <w:sz w:val="20"/>
              </w:rPr>
              <w:t xml:space="preserve">_____________________________________</w:t>
            </w:r>
          </w:p>
          <w:p>
            <w:pPr>
              <w:pStyle w:val="0"/>
              <w:jc w:val="center"/>
            </w:pPr>
            <w:r>
              <w:rPr>
                <w:sz w:val="20"/>
              </w:rPr>
              <w:t xml:space="preserve">(для юридических лиц - полное наименование)</w:t>
            </w:r>
          </w:p>
          <w:p>
            <w:pPr>
              <w:pStyle w:val="0"/>
              <w:jc w:val="both"/>
            </w:pPr>
            <w:r>
              <w:rPr>
                <w:sz w:val="20"/>
              </w:rPr>
              <w:t xml:space="preserve">_____________________________________</w:t>
            </w:r>
          </w:p>
          <w:p>
            <w:pPr>
              <w:pStyle w:val="0"/>
              <w:jc w:val="center"/>
            </w:pPr>
            <w:r>
              <w:rPr>
                <w:sz w:val="20"/>
              </w:rPr>
              <w:t xml:space="preserve">(номер записи в Едином государственном реестре юридических лиц)</w:t>
            </w:r>
          </w:p>
          <w:p>
            <w:pPr>
              <w:pStyle w:val="0"/>
              <w:jc w:val="both"/>
            </w:pPr>
            <w:r>
              <w:rPr>
                <w:sz w:val="20"/>
              </w:rPr>
              <w:t xml:space="preserve">ИНН ________________________________</w:t>
            </w:r>
          </w:p>
          <w:p>
            <w:pPr>
              <w:pStyle w:val="0"/>
              <w:jc w:val="both"/>
            </w:pPr>
            <w:r>
              <w:rPr>
                <w:sz w:val="20"/>
              </w:rPr>
              <w:t xml:space="preserve">_____________________________________</w:t>
            </w:r>
          </w:p>
          <w:p>
            <w:pPr>
              <w:pStyle w:val="0"/>
              <w:jc w:val="center"/>
            </w:pPr>
            <w:r>
              <w:rPr>
                <w:sz w:val="20"/>
              </w:rPr>
              <w:t xml:space="preserve">(должность, фамилия, имя, отчество лица,</w:t>
            </w:r>
          </w:p>
          <w:p>
            <w:pPr>
              <w:pStyle w:val="0"/>
              <w:jc w:val="both"/>
            </w:pPr>
            <w:r>
              <w:rPr>
                <w:sz w:val="20"/>
              </w:rPr>
              <w:t xml:space="preserve">_____________________________________</w:t>
            </w:r>
          </w:p>
          <w:p>
            <w:pPr>
              <w:pStyle w:val="0"/>
              <w:jc w:val="center"/>
            </w:pPr>
            <w:r>
              <w:rPr>
                <w:sz w:val="20"/>
              </w:rPr>
              <w:t xml:space="preserve">действующего от имени юридического лица)</w:t>
            </w:r>
          </w:p>
          <w:p>
            <w:pPr>
              <w:pStyle w:val="0"/>
              <w:jc w:val="both"/>
            </w:pPr>
            <w:r>
              <w:rPr>
                <w:sz w:val="20"/>
              </w:rPr>
              <w:t xml:space="preserve">_____________________________________</w:t>
            </w:r>
          </w:p>
          <w:p>
            <w:pPr>
              <w:pStyle w:val="0"/>
              <w:jc w:val="both"/>
            </w:pPr>
            <w:r>
              <w:rPr>
                <w:sz w:val="20"/>
              </w:rPr>
              <w:t xml:space="preserve">_____________________________________</w:t>
            </w:r>
          </w:p>
          <w:p>
            <w:pPr>
              <w:pStyle w:val="0"/>
              <w:jc w:val="center"/>
            </w:pPr>
            <w:r>
              <w:rPr>
                <w:sz w:val="20"/>
              </w:rPr>
              <w:t xml:space="preserve">(место нахождения)</w:t>
            </w:r>
          </w:p>
          <w:p>
            <w:pPr>
              <w:pStyle w:val="0"/>
              <w:jc w:val="both"/>
            </w:pPr>
            <w:r>
              <w:rPr>
                <w:sz w:val="20"/>
              </w:rPr>
              <w:t xml:space="preserve">_____________________________________</w:t>
            </w:r>
          </w:p>
          <w:p>
            <w:pPr>
              <w:pStyle w:val="0"/>
              <w:jc w:val="center"/>
            </w:pPr>
            <w:r>
              <w:rPr>
                <w:sz w:val="20"/>
              </w:rPr>
              <w:t xml:space="preserve">(для индивидуальных предпринимателей - фамилия, имя, отчество)</w:t>
            </w:r>
          </w:p>
          <w:p>
            <w:pPr>
              <w:pStyle w:val="0"/>
              <w:jc w:val="both"/>
            </w:pPr>
            <w:r>
              <w:rPr>
                <w:sz w:val="20"/>
              </w:rPr>
              <w:t xml:space="preserve">_____________________________________</w:t>
            </w:r>
          </w:p>
          <w:p>
            <w:pPr>
              <w:pStyle w:val="0"/>
              <w:jc w:val="center"/>
            </w:pPr>
            <w:r>
              <w:rPr>
                <w:sz w:val="20"/>
              </w:rPr>
              <w:t xml:space="preserve">(номер записи в Едином государственном реестре индивидуальных предпринимателей и дата ее внесения в реестр)</w:t>
            </w:r>
          </w:p>
          <w:p>
            <w:pPr>
              <w:pStyle w:val="0"/>
              <w:jc w:val="both"/>
            </w:pPr>
            <w:r>
              <w:rPr>
                <w:sz w:val="20"/>
              </w:rPr>
              <w:t xml:space="preserve">_____________________________________</w:t>
            </w:r>
          </w:p>
          <w:p>
            <w:pPr>
              <w:pStyle w:val="0"/>
              <w:jc w:val="center"/>
            </w:pPr>
            <w:r>
              <w:rPr>
                <w:sz w:val="20"/>
              </w:rPr>
              <w:t xml:space="preserve">(серия, номер и дата выдачи паспорта или</w:t>
            </w:r>
          </w:p>
          <w:p>
            <w:pPr>
              <w:pStyle w:val="0"/>
              <w:jc w:val="both"/>
            </w:pPr>
            <w:r>
              <w:rPr>
                <w:sz w:val="20"/>
              </w:rPr>
              <w:t xml:space="preserve">_____________________________________</w:t>
            </w:r>
          </w:p>
          <w:p>
            <w:pPr>
              <w:pStyle w:val="0"/>
              <w:jc w:val="center"/>
            </w:pPr>
            <w:r>
              <w:rPr>
                <w:sz w:val="20"/>
              </w:rPr>
              <w:t xml:space="preserve">иного документа, удостоверяющего личность в соответствии с законодательством Российской Федерации)</w:t>
            </w:r>
          </w:p>
          <w:p>
            <w:pPr>
              <w:pStyle w:val="0"/>
              <w:jc w:val="both"/>
            </w:pPr>
            <w:r>
              <w:rPr>
                <w:sz w:val="20"/>
              </w:rPr>
              <w:t xml:space="preserve">ИНН ________________________________</w:t>
            </w:r>
          </w:p>
          <w:p>
            <w:pPr>
              <w:pStyle w:val="0"/>
              <w:jc w:val="both"/>
            </w:pPr>
            <w:r>
              <w:rPr>
                <w:sz w:val="20"/>
              </w:rPr>
              <w:t xml:space="preserve">_____________________________________</w:t>
            </w:r>
          </w:p>
          <w:p>
            <w:pPr>
              <w:pStyle w:val="0"/>
              <w:jc w:val="both"/>
            </w:pPr>
            <w:r>
              <w:rPr>
                <w:sz w:val="20"/>
              </w:rPr>
              <w:t xml:space="preserve">_____________________________________</w:t>
            </w:r>
          </w:p>
          <w:p>
            <w:pPr>
              <w:pStyle w:val="0"/>
              <w:jc w:val="center"/>
            </w:pPr>
            <w:r>
              <w:rPr>
                <w:sz w:val="20"/>
              </w:rPr>
              <w:t xml:space="preserve">(место жительства)</w:t>
            </w:r>
          </w:p>
        </w:tc>
      </w:tr>
      <w:tr>
        <w:tc>
          <w:tcPr>
            <w:tcW w:w="4252" w:type="dxa"/>
            <w:tcBorders>
              <w:top w:val="nil"/>
              <w:left w:val="nil"/>
              <w:bottom w:val="nil"/>
              <w:right w:val="nil"/>
            </w:tcBorders>
            <w:vMerge w:val="restart"/>
          </w:tcPr>
          <w:p>
            <w:pPr>
              <w:pStyle w:val="0"/>
              <w:jc w:val="right"/>
            </w:pPr>
            <w:r>
              <w:rPr>
                <w:sz w:val="20"/>
              </w:rPr>
              <w:t xml:space="preserve">_________</w:t>
            </w:r>
          </w:p>
          <w:p>
            <w:pPr>
              <w:pStyle w:val="0"/>
              <w:jc w:val="right"/>
            </w:pPr>
            <w:r>
              <w:rPr>
                <w:sz w:val="20"/>
              </w:rPr>
              <w:t xml:space="preserve">(подпись)</w:t>
            </w:r>
          </w:p>
          <w:p>
            <w:pPr>
              <w:pStyle w:val="0"/>
              <w:jc w:val="both"/>
            </w:pPr>
            <w:r>
              <w:rPr>
                <w:sz w:val="20"/>
              </w:rPr>
              <w:t xml:space="preserve">М.П.</w:t>
            </w:r>
          </w:p>
        </w:tc>
        <w:tc>
          <w:tcPr>
            <w:tcW w:w="360" w:type="dxa"/>
            <w:tcBorders>
              <w:top w:val="nil"/>
              <w:left w:val="nil"/>
              <w:bottom w:val="nil"/>
              <w:right w:val="nil"/>
            </w:tcBorders>
            <w:vMerge w:val="restart"/>
          </w:tcPr>
          <w:p>
            <w:pPr>
              <w:pStyle w:val="0"/>
            </w:pPr>
            <w:r>
              <w:rPr>
                <w:sz w:val="20"/>
              </w:rPr>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365" w:type="dxa"/>
            <w:tcBorders>
              <w:top w:val="nil"/>
              <w:left w:val="nil"/>
              <w:bottom w:val="nil"/>
              <w:right w:val="nil"/>
            </w:tcBorders>
          </w:tcPr>
          <w:p>
            <w:pPr>
              <w:pStyle w:val="0"/>
              <w:jc w:val="right"/>
            </w:pPr>
            <w:r>
              <w:rPr>
                <w:sz w:val="20"/>
              </w:rPr>
              <w:t xml:space="preserve">_________</w:t>
            </w:r>
          </w:p>
          <w:p>
            <w:pPr>
              <w:pStyle w:val="0"/>
              <w:jc w:val="right"/>
            </w:pPr>
            <w:r>
              <w:rPr>
                <w:sz w:val="20"/>
              </w:rPr>
              <w:t xml:space="preserve">(подпись)</w:t>
            </w:r>
          </w:p>
          <w:p>
            <w:pPr>
              <w:pStyle w:val="0"/>
              <w:jc w:val="both"/>
            </w:pPr>
            <w:r>
              <w:rPr>
                <w:sz w:val="20"/>
              </w:rPr>
              <w:t xml:space="preserve">М.П.</w:t>
            </w:r>
          </w:p>
        </w:tc>
      </w:tr>
    </w:tbl>
    <w:p>
      <w:pPr>
        <w:pStyle w:val="0"/>
        <w:jc w:val="both"/>
      </w:pPr>
      <w:r>
        <w:rPr>
          <w:sz w:val="20"/>
        </w:rPr>
      </w:r>
    </w:p>
    <w:p>
      <w:pPr>
        <w:pStyle w:val="0"/>
        <w:ind w:firstLine="540"/>
        <w:jc w:val="both"/>
      </w:pPr>
      <w:r>
        <w:rPr>
          <w:sz w:val="20"/>
        </w:rPr>
        <w:t xml:space="preserve">--------------------------------</w:t>
      </w:r>
    </w:p>
    <w:bookmarkStart w:id="4597" w:name="P4597"/>
    <w:bookmarkEnd w:id="4597"/>
    <w:p>
      <w:pPr>
        <w:pStyle w:val="0"/>
        <w:spacing w:before="200" w:line-rule="auto"/>
        <w:ind w:firstLine="540"/>
        <w:jc w:val="both"/>
      </w:pPr>
      <w:r>
        <w:rPr>
          <w:sz w:val="20"/>
        </w:rPr>
        <w:t xml:space="preserve">&lt;1&gt;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bookmarkStart w:id="4598" w:name="P4598"/>
    <w:bookmarkEnd w:id="4598"/>
    <w:p>
      <w:pPr>
        <w:pStyle w:val="0"/>
        <w:spacing w:before="200" w:line-rule="auto"/>
        <w:ind w:firstLine="540"/>
        <w:jc w:val="both"/>
      </w:pPr>
      <w:r>
        <w:rPr>
          <w:sz w:val="20"/>
        </w:rPr>
        <w:t xml:space="preserve">&lt;2&gt; Срок действия технических условий не может составлять менее 2 лет и более 5 лет.</w:t>
      </w:r>
    </w:p>
    <w:bookmarkStart w:id="4599" w:name="P4599"/>
    <w:bookmarkEnd w:id="4599"/>
    <w:p>
      <w:pPr>
        <w:pStyle w:val="0"/>
        <w:spacing w:before="200" w:line-rule="auto"/>
        <w:ind w:firstLine="540"/>
        <w:jc w:val="both"/>
      </w:pPr>
      <w:r>
        <w:rPr>
          <w:sz w:val="20"/>
        </w:rPr>
        <w:t xml:space="preserve">&lt;3&gt;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bookmarkStart w:id="4600" w:name="P4600"/>
    <w:bookmarkEnd w:id="4600"/>
    <w:p>
      <w:pPr>
        <w:pStyle w:val="0"/>
        <w:spacing w:before="200" w:line-rule="auto"/>
        <w:ind w:firstLine="540"/>
        <w:jc w:val="both"/>
      </w:pPr>
      <w:r>
        <w:rPr>
          <w:sz w:val="20"/>
        </w:rPr>
        <w:t xml:space="preserve">&lt;4&gt;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w:t>
      </w:r>
    </w:p>
    <w:p>
      <w:pPr>
        <w:pStyle w:val="0"/>
        <w:jc w:val="right"/>
      </w:pPr>
      <w:r>
        <w:rPr>
          <w:sz w:val="20"/>
        </w:rPr>
        <w:t xml:space="preserve">к типовому договору</w:t>
      </w:r>
    </w:p>
    <w:p>
      <w:pPr>
        <w:pStyle w:val="0"/>
        <w:jc w:val="right"/>
      </w:pPr>
      <w:r>
        <w:rPr>
          <w:sz w:val="20"/>
        </w:rPr>
        <w:t xml:space="preserve">об осуществлении технологического</w:t>
      </w:r>
    </w:p>
    <w:p>
      <w:pPr>
        <w:pStyle w:val="0"/>
        <w:jc w:val="right"/>
      </w:pPr>
      <w:r>
        <w:rPr>
          <w:sz w:val="20"/>
        </w:rPr>
        <w:t xml:space="preserve">присоединения к электрическим сетям</w:t>
      </w:r>
    </w:p>
    <w:p>
      <w:pPr>
        <w:pStyle w:val="0"/>
        <w:jc w:val="both"/>
      </w:pPr>
      <w:r>
        <w:rPr>
          <w:sz w:val="20"/>
        </w:rPr>
      </w:r>
    </w:p>
    <w:bookmarkStart w:id="4611" w:name="P4611"/>
    <w:bookmarkEnd w:id="4611"/>
    <w:p>
      <w:pPr>
        <w:pStyle w:val="1"/>
        <w:jc w:val="both"/>
      </w:pPr>
      <w:r>
        <w:rPr>
          <w:sz w:val="20"/>
        </w:rPr>
        <w:t xml:space="preserve">                            ТЕХНИЧЕСКИЕ УСЛОВИЯ</w:t>
      </w:r>
    </w:p>
    <w:p>
      <w:pPr>
        <w:pStyle w:val="1"/>
        <w:jc w:val="both"/>
      </w:pPr>
      <w:r>
        <w:rPr>
          <w:sz w:val="20"/>
        </w:rPr>
        <w:t xml:space="preserve">                  для присоединения к электрическим сетям</w:t>
      </w:r>
    </w:p>
    <w:p>
      <w:pPr>
        <w:pStyle w:val="1"/>
        <w:jc w:val="both"/>
      </w:pPr>
      <w:r>
        <w:rPr>
          <w:sz w:val="20"/>
        </w:rPr>
      </w:r>
    </w:p>
    <w:p>
      <w:pPr>
        <w:pStyle w:val="1"/>
        <w:jc w:val="both"/>
      </w:pPr>
      <w:r>
        <w:rPr>
          <w:sz w:val="20"/>
        </w:rPr>
        <w:t xml:space="preserve">     (для юридических лиц или индивидуальных предпринимателей в целях</w:t>
      </w:r>
    </w:p>
    <w:p>
      <w:pPr>
        <w:pStyle w:val="1"/>
        <w:jc w:val="both"/>
      </w:pPr>
      <w:r>
        <w:rPr>
          <w:sz w:val="20"/>
        </w:rPr>
        <w:t xml:space="preserve">        технологического присоединения энергопринимающих устройств,</w:t>
      </w:r>
    </w:p>
    <w:p>
      <w:pPr>
        <w:pStyle w:val="1"/>
        <w:jc w:val="both"/>
      </w:pPr>
      <w:r>
        <w:rPr>
          <w:sz w:val="20"/>
        </w:rPr>
        <w:t xml:space="preserve">        максимальная мощность которых свыше 150 кВт и менее 670 кВт</w:t>
      </w:r>
    </w:p>
    <w:p>
      <w:pPr>
        <w:pStyle w:val="1"/>
        <w:jc w:val="both"/>
      </w:pPr>
      <w:r>
        <w:rPr>
          <w:sz w:val="20"/>
        </w:rPr>
        <w:t xml:space="preserve">        (за исключением случаев, указанных в </w:t>
      </w:r>
      <w:hyperlink w:history="0" w:anchor="P3754" w:tooltip="ТИПОВОЙ ДОГОВОР">
        <w:r>
          <w:rPr>
            <w:sz w:val="20"/>
            <w:color w:val="0000ff"/>
          </w:rPr>
          <w:t xml:space="preserve">приложениях N 9</w:t>
        </w:r>
      </w:hyperlink>
      <w:r>
        <w:rPr>
          <w:sz w:val="20"/>
        </w:rPr>
        <w:t xml:space="preserve"> и </w:t>
      </w:r>
      <w:hyperlink w:history="0" w:anchor="P4386" w:tooltip="ТИПОВОЙ ДОГОВОР">
        <w:r>
          <w:rPr>
            <w:sz w:val="20"/>
            <w:color w:val="0000ff"/>
          </w:rPr>
          <w:t xml:space="preserve">10</w:t>
        </w:r>
      </w:hyperlink>
      <w:r>
        <w:rPr>
          <w:sz w:val="20"/>
        </w:rPr>
        <w:t xml:space="preserve">,</w:t>
      </w:r>
    </w:p>
    <w:p>
      <w:pPr>
        <w:pStyle w:val="1"/>
        <w:jc w:val="both"/>
      </w:pPr>
      <w:r>
        <w:rPr>
          <w:sz w:val="20"/>
        </w:rPr>
        <w:t xml:space="preserve">           а также осуществления технологического присоединения</w:t>
      </w:r>
    </w:p>
    <w:p>
      <w:pPr>
        <w:pStyle w:val="1"/>
        <w:jc w:val="both"/>
      </w:pPr>
      <w:r>
        <w:rPr>
          <w:sz w:val="20"/>
        </w:rPr>
        <w:t xml:space="preserve">                        по индивидуальному проекту)</w:t>
      </w:r>
    </w:p>
    <w:p>
      <w:pPr>
        <w:pStyle w:val="1"/>
        <w:jc w:val="both"/>
      </w:pPr>
      <w:r>
        <w:rPr>
          <w:sz w:val="20"/>
        </w:rPr>
      </w:r>
    </w:p>
    <w:p>
      <w:pPr>
        <w:pStyle w:val="1"/>
        <w:jc w:val="both"/>
      </w:pPr>
      <w:r>
        <w:rPr>
          <w:sz w:val="20"/>
        </w:rPr>
        <w:t xml:space="preserve">N                                                  "__" ___________ 20__ г.</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сетевой организации, выдавшей технические условия)</w:t>
      </w:r>
    </w:p>
    <w:p>
      <w:pPr>
        <w:pStyle w:val="1"/>
        <w:jc w:val="both"/>
      </w:pPr>
      <w:r>
        <w:rPr>
          <w:sz w:val="20"/>
        </w:rPr>
        <w:t xml:space="preserve">___________________________________________________________________________</w:t>
      </w:r>
    </w:p>
    <w:p>
      <w:pPr>
        <w:pStyle w:val="1"/>
        <w:jc w:val="both"/>
      </w:pPr>
      <w:r>
        <w:rPr>
          <w:sz w:val="20"/>
        </w:rPr>
        <w:t xml:space="preserve">            (полное наименование заявителя - юридического лица;</w:t>
      </w:r>
    </w:p>
    <w:p>
      <w:pPr>
        <w:pStyle w:val="1"/>
        <w:jc w:val="both"/>
      </w:pPr>
      <w:r>
        <w:rPr>
          <w:sz w:val="20"/>
        </w:rPr>
        <w:t xml:space="preserve">    фамилия, имя, отчество заявителя - индивидуального предпринимателя)</w:t>
      </w:r>
    </w:p>
    <w:p>
      <w:pPr>
        <w:pStyle w:val="1"/>
        <w:jc w:val="both"/>
      </w:pPr>
      <w:r>
        <w:rPr>
          <w:sz w:val="20"/>
        </w:rPr>
        <w:t xml:space="preserve">    1. Наименование энергопринимающих устройств заявителя _________________</w:t>
      </w:r>
    </w:p>
    <w:p>
      <w:pPr>
        <w:pStyle w:val="1"/>
        <w:jc w:val="both"/>
      </w:pPr>
      <w:r>
        <w:rPr>
          <w:sz w:val="20"/>
        </w:rPr>
        <w:t xml:space="preserve">__________________________________________________________________________.</w:t>
      </w:r>
    </w:p>
    <w:p>
      <w:pPr>
        <w:pStyle w:val="1"/>
        <w:jc w:val="both"/>
      </w:pPr>
      <w:r>
        <w:rPr>
          <w:sz w:val="20"/>
        </w:rPr>
        <w:t xml:space="preserve">    2.  Наименование  и место нахождения объектов, в целях электроснабжения</w:t>
      </w:r>
    </w:p>
    <w:p>
      <w:pPr>
        <w:pStyle w:val="1"/>
        <w:jc w:val="both"/>
      </w:pPr>
      <w:r>
        <w:rPr>
          <w:sz w:val="20"/>
        </w:rPr>
        <w:t xml:space="preserve">которых   осуществляется  технологическое  присоединение  энергопринимающих</w:t>
      </w:r>
    </w:p>
    <w:p>
      <w:pPr>
        <w:pStyle w:val="1"/>
        <w:jc w:val="both"/>
      </w:pPr>
      <w:r>
        <w:rPr>
          <w:sz w:val="20"/>
        </w:rPr>
        <w:t xml:space="preserve">устройств заявителя ______________________________________________________.</w:t>
      </w:r>
    </w:p>
    <w:p>
      <w:pPr>
        <w:pStyle w:val="1"/>
        <w:jc w:val="both"/>
      </w:pPr>
      <w:r>
        <w:rPr>
          <w:sz w:val="20"/>
        </w:rPr>
        <w:t xml:space="preserve">    3.  Максимальная  мощность  присоединяемых  энергопринимающих устройств</w:t>
      </w:r>
    </w:p>
    <w:p>
      <w:pPr>
        <w:pStyle w:val="1"/>
        <w:jc w:val="both"/>
      </w:pPr>
      <w:r>
        <w:rPr>
          <w:sz w:val="20"/>
        </w:rPr>
        <w:t xml:space="preserve">заявителя составляет ________________________________________________ (кВт)</w:t>
      </w:r>
    </w:p>
    <w:p>
      <w:pPr>
        <w:pStyle w:val="1"/>
        <w:jc w:val="both"/>
      </w:pPr>
      <w:r>
        <w:rPr>
          <w:sz w:val="20"/>
        </w:rPr>
        <w:t xml:space="preserve">                       (если энергопринимающее устройство вводится</w:t>
      </w:r>
    </w:p>
    <w:p>
      <w:pPr>
        <w:pStyle w:val="1"/>
        <w:jc w:val="both"/>
      </w:pPr>
      <w:r>
        <w:rPr>
          <w:sz w:val="20"/>
        </w:rPr>
        <w:t xml:space="preserve">__________________________________________________________________________.</w:t>
      </w:r>
    </w:p>
    <w:p>
      <w:pPr>
        <w:pStyle w:val="1"/>
        <w:jc w:val="both"/>
      </w:pPr>
      <w:r>
        <w:rPr>
          <w:sz w:val="20"/>
        </w:rPr>
        <w:t xml:space="preserve">        в эксплуатацию по этапам и очередям, указывается поэтапное</w:t>
      </w:r>
    </w:p>
    <w:p>
      <w:pPr>
        <w:pStyle w:val="1"/>
        <w:jc w:val="both"/>
      </w:pPr>
      <w:r>
        <w:rPr>
          <w:sz w:val="20"/>
        </w:rPr>
        <w:t xml:space="preserve">                         распределение мощности)</w:t>
      </w:r>
    </w:p>
    <w:p>
      <w:pPr>
        <w:pStyle w:val="1"/>
        <w:jc w:val="both"/>
      </w:pPr>
      <w:r>
        <w:rPr>
          <w:sz w:val="20"/>
        </w:rPr>
        <w:t xml:space="preserve">    4. Категория надежности ______________________________________________.</w:t>
      </w:r>
    </w:p>
    <w:p>
      <w:pPr>
        <w:pStyle w:val="1"/>
        <w:jc w:val="both"/>
      </w:pPr>
      <w:r>
        <w:rPr>
          <w:sz w:val="20"/>
        </w:rPr>
        <w:t xml:space="preserve">    5.  Класс  напряжения  электрических  сетей,  к  которым осуществляется</w:t>
      </w:r>
    </w:p>
    <w:p>
      <w:pPr>
        <w:pStyle w:val="1"/>
        <w:jc w:val="both"/>
      </w:pPr>
      <w:r>
        <w:rPr>
          <w:sz w:val="20"/>
        </w:rPr>
        <w:t xml:space="preserve">технологическое присоединение __________________ (кВ).</w:t>
      </w:r>
    </w:p>
    <w:p>
      <w:pPr>
        <w:pStyle w:val="1"/>
        <w:jc w:val="both"/>
      </w:pPr>
      <w:r>
        <w:rPr>
          <w:sz w:val="20"/>
        </w:rPr>
        <w:t xml:space="preserve">    6.  Год  ввода  в  эксплуатацию  энергопринимающих  устройств заявителя</w:t>
      </w:r>
    </w:p>
    <w:p>
      <w:pPr>
        <w:pStyle w:val="1"/>
        <w:jc w:val="both"/>
      </w:pPr>
      <w:r>
        <w:rPr>
          <w:sz w:val="20"/>
        </w:rPr>
        <w:t xml:space="preserve">_______________________________________________________.</w:t>
      </w:r>
    </w:p>
    <w:p>
      <w:pPr>
        <w:pStyle w:val="1"/>
        <w:jc w:val="both"/>
      </w:pPr>
      <w:r>
        <w:rPr>
          <w:sz w:val="20"/>
        </w:rPr>
        <w:t xml:space="preserve">    7.  Точка  (точки) присоединения (вводные распределительные устройства,</w:t>
      </w:r>
    </w:p>
    <w:p>
      <w:pPr>
        <w:pStyle w:val="1"/>
        <w:jc w:val="both"/>
      </w:pPr>
      <w:r>
        <w:rPr>
          <w:sz w:val="20"/>
        </w:rPr>
        <w:t xml:space="preserve">линии  электропередачи,  базовые  подстанции,  генераторы)  и  максимальная</w:t>
      </w:r>
    </w:p>
    <w:p>
      <w:pPr>
        <w:pStyle w:val="1"/>
        <w:jc w:val="both"/>
      </w:pPr>
      <w:r>
        <w:rPr>
          <w:sz w:val="20"/>
        </w:rPr>
        <w:t xml:space="preserve">мощность энергопринимающих устройств по каждой точке присоединения ________</w:t>
      </w:r>
    </w:p>
    <w:p>
      <w:pPr>
        <w:pStyle w:val="1"/>
        <w:jc w:val="both"/>
      </w:pPr>
      <w:r>
        <w:rPr>
          <w:sz w:val="20"/>
        </w:rPr>
        <w:t xml:space="preserve">(кВт).</w:t>
      </w:r>
    </w:p>
    <w:p>
      <w:pPr>
        <w:pStyle w:val="1"/>
        <w:jc w:val="both"/>
      </w:pPr>
      <w:r>
        <w:rPr>
          <w:sz w:val="20"/>
        </w:rPr>
        <w:t xml:space="preserve">    8. Основной источник питания _________________________________________.</w:t>
      </w:r>
    </w:p>
    <w:p>
      <w:pPr>
        <w:pStyle w:val="1"/>
        <w:jc w:val="both"/>
      </w:pPr>
      <w:r>
        <w:rPr>
          <w:sz w:val="20"/>
        </w:rPr>
        <w:t xml:space="preserve">    9. Резервный источник питания ________________________________________.</w:t>
      </w:r>
    </w:p>
    <w:p>
      <w:pPr>
        <w:pStyle w:val="1"/>
        <w:jc w:val="both"/>
      </w:pPr>
      <w:r>
        <w:rPr>
          <w:sz w:val="20"/>
        </w:rPr>
        <w:t xml:space="preserve">    10. Сетевая организация осуществляет </w:t>
      </w:r>
      <w:hyperlink w:history="0" w:anchor="P4688" w:tooltip="&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
        <w:r>
          <w:rPr>
            <w:sz w:val="20"/>
            <w:color w:val="0000ff"/>
          </w:rPr>
          <w:t xml:space="preserve">&lt;1&gt;</w:t>
        </w:r>
      </w:hyperlink>
    </w:p>
    <w:p>
      <w:pPr>
        <w:pStyle w:val="1"/>
        <w:jc w:val="both"/>
      </w:pPr>
      <w:r>
        <w:rPr>
          <w:sz w:val="20"/>
        </w:rPr>
        <w:t xml:space="preserve">___________________________________________________________________________</w:t>
      </w:r>
    </w:p>
    <w:p>
      <w:pPr>
        <w:pStyle w:val="1"/>
        <w:jc w:val="both"/>
      </w:pPr>
      <w:r>
        <w:rPr>
          <w:sz w:val="20"/>
        </w:rPr>
        <w:t xml:space="preserve">    (указываются требования к усилению существующей электрической сети</w:t>
      </w:r>
    </w:p>
    <w:p>
      <w:pPr>
        <w:pStyle w:val="1"/>
        <w:jc w:val="both"/>
      </w:pPr>
      <w:r>
        <w:rPr>
          <w:sz w:val="20"/>
        </w:rPr>
        <w:t xml:space="preserve">___________________________________________________________________________</w:t>
      </w:r>
    </w:p>
    <w:p>
      <w:pPr>
        <w:pStyle w:val="1"/>
        <w:jc w:val="both"/>
      </w:pPr>
      <w:r>
        <w:rPr>
          <w:sz w:val="20"/>
        </w:rPr>
        <w:t xml:space="preserve">    в связи с присоединением новых мощностей (строительство новых линий</w:t>
      </w:r>
    </w:p>
    <w:p>
      <w:pPr>
        <w:pStyle w:val="1"/>
        <w:jc w:val="both"/>
      </w:pPr>
      <w:r>
        <w:rPr>
          <w:sz w:val="20"/>
        </w:rPr>
        <w:t xml:space="preserve">___________________________________________________________________________</w:t>
      </w:r>
    </w:p>
    <w:p>
      <w:pPr>
        <w:pStyle w:val="1"/>
        <w:jc w:val="both"/>
      </w:pPr>
      <w:r>
        <w:rPr>
          <w:sz w:val="20"/>
        </w:rPr>
        <w:t xml:space="preserve">электропередачи, подстанций, увеличение сечения проводов и кабелей, замена</w:t>
      </w:r>
    </w:p>
    <w:p>
      <w:pPr>
        <w:pStyle w:val="1"/>
        <w:jc w:val="both"/>
      </w:pPr>
      <w:r>
        <w:rPr>
          <w:sz w:val="20"/>
        </w:rPr>
        <w:t xml:space="preserve">___________________________________________________________________________</w:t>
      </w:r>
    </w:p>
    <w:p>
      <w:pPr>
        <w:pStyle w:val="1"/>
        <w:jc w:val="both"/>
      </w:pPr>
      <w:r>
        <w:rPr>
          <w:sz w:val="20"/>
        </w:rPr>
        <w:t xml:space="preserve">   или увеличение мощности трансформаторов, расширение распределительных</w:t>
      </w:r>
    </w:p>
    <w:p>
      <w:pPr>
        <w:pStyle w:val="1"/>
        <w:jc w:val="both"/>
      </w:pPr>
      <w:r>
        <w:rPr>
          <w:sz w:val="20"/>
        </w:rPr>
        <w:t xml:space="preserve">___________________________________________________________________________</w:t>
      </w:r>
    </w:p>
    <w:p>
      <w:pPr>
        <w:pStyle w:val="1"/>
        <w:jc w:val="both"/>
      </w:pPr>
      <w:r>
        <w:rPr>
          <w:sz w:val="20"/>
        </w:rPr>
        <w:t xml:space="preserve">       устройств, модернизация оборудования, реконструкция объектов</w:t>
      </w:r>
    </w:p>
    <w:p>
      <w:pPr>
        <w:pStyle w:val="1"/>
        <w:jc w:val="both"/>
      </w:pPr>
      <w:r>
        <w:rPr>
          <w:sz w:val="20"/>
        </w:rPr>
        <w:t xml:space="preserve">__________________________________________________________________________.</w:t>
      </w:r>
    </w:p>
    <w:p>
      <w:pPr>
        <w:pStyle w:val="1"/>
        <w:jc w:val="both"/>
      </w:pPr>
      <w:r>
        <w:rPr>
          <w:sz w:val="20"/>
        </w:rPr>
        <w:t xml:space="preserve">       электросетевого хозяйства, установка устройств регулирования</w:t>
      </w:r>
    </w:p>
    <w:p>
      <w:pPr>
        <w:pStyle w:val="1"/>
        <w:jc w:val="both"/>
      </w:pPr>
      <w:r>
        <w:rPr>
          <w:sz w:val="20"/>
        </w:rPr>
        <w:t xml:space="preserve">  напряжения для обеспечения надежности и качества электрической энергии,</w:t>
      </w:r>
    </w:p>
    <w:p>
      <w:pPr>
        <w:pStyle w:val="1"/>
        <w:jc w:val="both"/>
      </w:pPr>
      <w:r>
        <w:rPr>
          <w:sz w:val="20"/>
        </w:rPr>
        <w:t xml:space="preserve">а также по договоренности Сторон иные обязанности по исполнению технических</w:t>
      </w:r>
    </w:p>
    <w:p>
      <w:pPr>
        <w:pStyle w:val="1"/>
        <w:jc w:val="both"/>
      </w:pPr>
      <w:r>
        <w:rPr>
          <w:sz w:val="20"/>
        </w:rPr>
        <w:t xml:space="preserve"> условий, предусмотренные </w:t>
      </w:r>
      <w:hyperlink w:history="0" w:anchor="P1495" w:tooltip="25. В технических условиях для заявителей, за исключением лиц, указанных в пунктах 12(1), 13(2) - 13(5) и 14 настоящих Правил, должны быть указаны:">
        <w:r>
          <w:rPr>
            <w:sz w:val="20"/>
            <w:color w:val="0000ff"/>
          </w:rPr>
          <w:t xml:space="preserve">пунктом 25</w:t>
        </w:r>
      </w:hyperlink>
      <w:r>
        <w:rPr>
          <w:sz w:val="20"/>
        </w:rPr>
        <w:t xml:space="preserve"> Правил технологического присоединения</w:t>
      </w:r>
    </w:p>
    <w:p>
      <w:pPr>
        <w:pStyle w:val="1"/>
        <w:jc w:val="both"/>
      </w:pPr>
      <w:r>
        <w:rPr>
          <w:sz w:val="20"/>
        </w:rPr>
        <w:t xml:space="preserve"> энергопринимающих устройств потребителей электрической энергии, объектов</w:t>
      </w:r>
    </w:p>
    <w:p>
      <w:pPr>
        <w:pStyle w:val="1"/>
        <w:jc w:val="both"/>
      </w:pPr>
      <w:r>
        <w:rPr>
          <w:sz w:val="20"/>
        </w:rPr>
        <w:t xml:space="preserve">  по производству электрической энергии, а также объектов электросетевого</w:t>
      </w:r>
    </w:p>
    <w:p>
      <w:pPr>
        <w:pStyle w:val="1"/>
        <w:jc w:val="both"/>
      </w:pPr>
      <w:r>
        <w:rPr>
          <w:sz w:val="20"/>
        </w:rPr>
        <w:t xml:space="preserve">        хозяйства, принадлежащих сетевым организациям и иным лицам,</w:t>
      </w:r>
    </w:p>
    <w:p>
      <w:pPr>
        <w:pStyle w:val="1"/>
        <w:jc w:val="both"/>
      </w:pPr>
      <w:r>
        <w:rPr>
          <w:sz w:val="20"/>
        </w:rPr>
        <w:t xml:space="preserve">                          к электрическим сетям)</w:t>
      </w:r>
    </w:p>
    <w:p>
      <w:pPr>
        <w:pStyle w:val="1"/>
        <w:jc w:val="both"/>
      </w:pPr>
      <w:r>
        <w:rPr>
          <w:sz w:val="20"/>
        </w:rPr>
        <w:t xml:space="preserve">    11. Заявитель осуществляет </w:t>
      </w:r>
      <w:hyperlink w:history="0" w:anchor="P4689" w:tooltip="&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
        <w:r>
          <w:rPr>
            <w:sz w:val="20"/>
            <w:color w:val="0000ff"/>
          </w:rPr>
          <w:t xml:space="preserve">&lt;2&gt;</w:t>
        </w:r>
      </w:hyperlink>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12.  Срок действия настоящих технических условий составляет ___________</w:t>
      </w:r>
    </w:p>
    <w:p>
      <w:pPr>
        <w:pStyle w:val="1"/>
        <w:jc w:val="both"/>
      </w:pPr>
      <w:r>
        <w:rPr>
          <w:sz w:val="20"/>
        </w:rPr>
        <w:t xml:space="preserve">год (года) </w:t>
      </w:r>
      <w:hyperlink w:history="0" w:anchor="P4690" w:tooltip="&lt;3&gt; Срок действия технических условий не может составлять менее 2 лет и более 5 лет.">
        <w:r>
          <w:rPr>
            <w:sz w:val="20"/>
            <w:color w:val="0000ff"/>
          </w:rPr>
          <w:t xml:space="preserve">&lt;3&gt;</w:t>
        </w:r>
      </w:hyperlink>
      <w:r>
        <w:rPr>
          <w:sz w:val="20"/>
        </w:rPr>
        <w:t xml:space="preserve"> со дня заключения договора об осуществлении технологического</w:t>
      </w:r>
    </w:p>
    <w:p>
      <w:pPr>
        <w:pStyle w:val="1"/>
        <w:jc w:val="both"/>
      </w:pPr>
      <w:r>
        <w:rPr>
          <w:sz w:val="20"/>
        </w:rPr>
        <w:t xml:space="preserve">присоединения к электрическим сетям.</w:t>
      </w:r>
    </w:p>
    <w:p>
      <w:pPr>
        <w:pStyle w:val="1"/>
        <w:jc w:val="both"/>
      </w:pPr>
      <w:r>
        <w:rPr>
          <w:sz w:val="20"/>
        </w:rPr>
      </w:r>
    </w:p>
    <w:p>
      <w:pPr>
        <w:pStyle w:val="1"/>
        <w:jc w:val="both"/>
      </w:pPr>
      <w:r>
        <w:rPr>
          <w:sz w:val="20"/>
        </w:rPr>
        <w:t xml:space="preserve">                                 __________________________________________</w:t>
      </w:r>
    </w:p>
    <w:p>
      <w:pPr>
        <w:pStyle w:val="1"/>
        <w:jc w:val="both"/>
      </w:pPr>
      <w:r>
        <w:rPr>
          <w:sz w:val="20"/>
        </w:rPr>
        <w:t xml:space="preserve">                                                  (подпись)</w:t>
      </w:r>
    </w:p>
    <w:p>
      <w:pPr>
        <w:pStyle w:val="1"/>
        <w:jc w:val="both"/>
      </w:pPr>
      <w:r>
        <w:rPr>
          <w:sz w:val="20"/>
        </w:rPr>
        <w:t xml:space="preserve">                                 __________________________________________</w:t>
      </w:r>
    </w:p>
    <w:p>
      <w:pPr>
        <w:pStyle w:val="1"/>
        <w:jc w:val="both"/>
      </w:pPr>
      <w:r>
        <w:rPr>
          <w:sz w:val="20"/>
        </w:rPr>
        <w:t xml:space="preserve">                                  (должность, фамилия, имя, отчество лица,</w:t>
      </w:r>
    </w:p>
    <w:p>
      <w:pPr>
        <w:pStyle w:val="1"/>
        <w:jc w:val="both"/>
      </w:pPr>
      <w:r>
        <w:rPr>
          <w:sz w:val="20"/>
        </w:rPr>
        <w:t xml:space="preserve">                                 __________________________________________</w:t>
      </w:r>
    </w:p>
    <w:p>
      <w:pPr>
        <w:pStyle w:val="1"/>
        <w:jc w:val="both"/>
      </w:pPr>
      <w:r>
        <w:rPr>
          <w:sz w:val="20"/>
        </w:rPr>
        <w:t xml:space="preserve">                                 действующего от имени сетевой организации)</w:t>
      </w:r>
    </w:p>
    <w:p>
      <w:pPr>
        <w:pStyle w:val="1"/>
        <w:jc w:val="both"/>
      </w:pPr>
      <w:r>
        <w:rPr>
          <w:sz w:val="20"/>
        </w:rPr>
      </w:r>
    </w:p>
    <w:p>
      <w:pPr>
        <w:pStyle w:val="1"/>
        <w:jc w:val="both"/>
      </w:pPr>
      <w:r>
        <w:rPr>
          <w:sz w:val="20"/>
        </w:rPr>
        <w:t xml:space="preserve">                                   "__" _________________________ 20__ г.</w:t>
      </w:r>
    </w:p>
    <w:p>
      <w:pPr>
        <w:pStyle w:val="0"/>
        <w:jc w:val="both"/>
      </w:pPr>
      <w:r>
        <w:rPr>
          <w:sz w:val="20"/>
        </w:rPr>
      </w:r>
    </w:p>
    <w:p>
      <w:pPr>
        <w:pStyle w:val="0"/>
        <w:ind w:firstLine="540"/>
        <w:jc w:val="both"/>
      </w:pPr>
      <w:r>
        <w:rPr>
          <w:sz w:val="20"/>
        </w:rPr>
        <w:t xml:space="preserve">--------------------------------</w:t>
      </w:r>
    </w:p>
    <w:bookmarkStart w:id="4688" w:name="P4688"/>
    <w:bookmarkEnd w:id="4688"/>
    <w:p>
      <w:pPr>
        <w:pStyle w:val="0"/>
        <w:spacing w:before="200" w:line-rule="auto"/>
        <w:ind w:firstLine="540"/>
        <w:jc w:val="both"/>
      </w:pPr>
      <w:r>
        <w:rPr>
          <w:sz w:val="20"/>
        </w:rPr>
        <w:t xml:space="preserve">&lt;1&gt;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bookmarkStart w:id="4689" w:name="P4689"/>
    <w:bookmarkEnd w:id="4689"/>
    <w:p>
      <w:pPr>
        <w:pStyle w:val="0"/>
        <w:spacing w:before="200" w:line-rule="auto"/>
        <w:ind w:firstLine="540"/>
        <w:jc w:val="both"/>
      </w:pPr>
      <w:r>
        <w:rPr>
          <w:sz w:val="20"/>
        </w:rPr>
        <w:t xml:space="preserve">&lt;2&gt;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bookmarkStart w:id="4690" w:name="P4690"/>
    <w:bookmarkEnd w:id="4690"/>
    <w:p>
      <w:pPr>
        <w:pStyle w:val="0"/>
        <w:spacing w:before="200" w:line-rule="auto"/>
        <w:ind w:firstLine="540"/>
        <w:jc w:val="both"/>
      </w:pPr>
      <w:r>
        <w:rPr>
          <w:sz w:val="20"/>
        </w:rPr>
        <w:t xml:space="preserve">&lt;3&gt; Срок действия технических условий не может составлять менее 2 лет и более 5 лет.</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12</w:t>
      </w:r>
    </w:p>
    <w:p>
      <w:pPr>
        <w:pStyle w:val="0"/>
        <w:jc w:val="right"/>
      </w:pPr>
      <w:r>
        <w:rPr>
          <w:sz w:val="20"/>
        </w:rPr>
        <w:t xml:space="preserve">к Правилам технологического</w:t>
      </w:r>
    </w:p>
    <w:p>
      <w:pPr>
        <w:pStyle w:val="0"/>
        <w:jc w:val="right"/>
      </w:pPr>
      <w:r>
        <w:rPr>
          <w:sz w:val="20"/>
        </w:rPr>
        <w:t xml:space="preserve">присоединения энергопринимающих</w:t>
      </w:r>
    </w:p>
    <w:p>
      <w:pPr>
        <w:pStyle w:val="0"/>
        <w:jc w:val="right"/>
      </w:pPr>
      <w:r>
        <w:rPr>
          <w:sz w:val="20"/>
        </w:rPr>
        <w:t xml:space="preserve">устройств потребителей</w:t>
      </w:r>
    </w:p>
    <w:p>
      <w:pPr>
        <w:pStyle w:val="0"/>
        <w:jc w:val="right"/>
      </w:pPr>
      <w:r>
        <w:rPr>
          <w:sz w:val="20"/>
        </w:rPr>
        <w:t xml:space="preserve">электрической энергии, объектов</w:t>
      </w:r>
    </w:p>
    <w:p>
      <w:pPr>
        <w:pStyle w:val="0"/>
        <w:jc w:val="right"/>
      </w:pPr>
      <w:r>
        <w:rPr>
          <w:sz w:val="20"/>
        </w:rPr>
        <w:t xml:space="preserve">по производству электрической</w:t>
      </w:r>
    </w:p>
    <w:p>
      <w:pPr>
        <w:pStyle w:val="0"/>
        <w:jc w:val="right"/>
      </w:pPr>
      <w:r>
        <w:rPr>
          <w:sz w:val="20"/>
        </w:rPr>
        <w:t xml:space="preserve">энергии, а также объектов</w:t>
      </w:r>
    </w:p>
    <w:p>
      <w:pPr>
        <w:pStyle w:val="0"/>
        <w:jc w:val="right"/>
      </w:pPr>
      <w:r>
        <w:rPr>
          <w:sz w:val="20"/>
        </w:rPr>
        <w:t xml:space="preserve">электросетевого хозяйства,</w:t>
      </w:r>
    </w:p>
    <w:p>
      <w:pPr>
        <w:pStyle w:val="0"/>
        <w:jc w:val="right"/>
      </w:pPr>
      <w:r>
        <w:rPr>
          <w:sz w:val="20"/>
        </w:rPr>
        <w:t xml:space="preserve">принадлежащих сетевым организациям</w:t>
      </w:r>
    </w:p>
    <w:p>
      <w:pPr>
        <w:pStyle w:val="0"/>
        <w:jc w:val="right"/>
      </w:pPr>
      <w:r>
        <w:rPr>
          <w:sz w:val="20"/>
        </w:rPr>
        <w:t xml:space="preserve">и иным лицам, к электрическим сетям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11.06.2015 </w:t>
            </w:r>
            <w:hyperlink w:history="0" r:id="rId1134" w:tooltip="Постановление Правительства РФ от 11.06.2015 N 588 (ред. от 10.03.2020, с изм. от 30.06.2022) &quot;О внесении изменений в постановление Правительства Российской Федерации от 27 декабря 2004 г. N 861&quot; {КонсультантПлюс}">
              <w:r>
                <w:rPr>
                  <w:sz w:val="20"/>
                  <w:color w:val="0000ff"/>
                </w:rPr>
                <w:t xml:space="preserve">N 588</w:t>
              </w:r>
            </w:hyperlink>
            <w:r>
              <w:rPr>
                <w:sz w:val="20"/>
                <w:color w:val="392c69"/>
              </w:rPr>
              <w:t xml:space="preserve">,</w:t>
            </w:r>
          </w:p>
          <w:p>
            <w:pPr>
              <w:pStyle w:val="0"/>
              <w:jc w:val="center"/>
            </w:pPr>
            <w:r>
              <w:rPr>
                <w:sz w:val="20"/>
                <w:color w:val="392c69"/>
              </w:rPr>
              <w:t xml:space="preserve">от 30.09.2015 </w:t>
            </w:r>
            <w:hyperlink w:history="0" r:id="rId1135"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1044</w:t>
              </w:r>
            </w:hyperlink>
            <w:r>
              <w:rPr>
                <w:sz w:val="20"/>
                <w:color w:val="392c69"/>
              </w:rPr>
              <w:t xml:space="preserve">, от 05.10.2016 </w:t>
            </w:r>
            <w:hyperlink w:history="0" r:id="rId1136" w:tooltip="Постановление Правительства РФ от 05.10.2016 N 999 (с изм. от 30.06.2022) &quot;О внесении изменений в акты Правительства Российской Федерации по вопросам формирования мер ответственности за несоблюдение сроков осуществления мероприятий по технологическому присоединению&quot; {КонсультантПлюс}">
              <w:r>
                <w:rPr>
                  <w:sz w:val="20"/>
                  <w:color w:val="0000ff"/>
                </w:rPr>
                <w:t xml:space="preserve">N 999</w:t>
              </w:r>
            </w:hyperlink>
            <w:r>
              <w:rPr>
                <w:sz w:val="20"/>
                <w:color w:val="392c69"/>
              </w:rPr>
              <w:t xml:space="preserve">, от 07.05.2017 </w:t>
            </w:r>
            <w:hyperlink w:history="0" r:id="rId1137"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N 542</w:t>
              </w:r>
            </w:hyperlink>
            <w:r>
              <w:rPr>
                <w:sz w:val="20"/>
                <w:color w:val="392c69"/>
              </w:rPr>
              <w:t xml:space="preserve">,</w:t>
            </w:r>
          </w:p>
          <w:p>
            <w:pPr>
              <w:pStyle w:val="0"/>
              <w:jc w:val="center"/>
            </w:pPr>
            <w:r>
              <w:rPr>
                <w:sz w:val="20"/>
                <w:color w:val="392c69"/>
              </w:rPr>
              <w:t xml:space="preserve">от 27.12.2017 </w:t>
            </w:r>
            <w:hyperlink w:history="0" r:id="rId1138"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N 1661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4711" w:name="P4711"/>
    <w:bookmarkEnd w:id="4711"/>
    <w:p>
      <w:pPr>
        <w:pStyle w:val="0"/>
        <w:jc w:val="center"/>
      </w:pPr>
      <w:r>
        <w:rPr>
          <w:sz w:val="20"/>
        </w:rPr>
        <w:t xml:space="preserve">ТИПОВОЙ ДОГОВОР</w:t>
      </w:r>
    </w:p>
    <w:p>
      <w:pPr>
        <w:pStyle w:val="0"/>
        <w:jc w:val="center"/>
      </w:pPr>
      <w:r>
        <w:rPr>
          <w:sz w:val="20"/>
        </w:rPr>
        <w:t xml:space="preserve">об осуществлении технологического присоединения</w:t>
      </w:r>
    </w:p>
    <w:p>
      <w:pPr>
        <w:pStyle w:val="0"/>
        <w:jc w:val="center"/>
      </w:pPr>
      <w:r>
        <w:rPr>
          <w:sz w:val="20"/>
        </w:rPr>
        <w:t xml:space="preserve">к электрическим сетям посредством перераспределения</w:t>
      </w:r>
    </w:p>
    <w:p>
      <w:pPr>
        <w:pStyle w:val="0"/>
        <w:jc w:val="center"/>
      </w:pPr>
      <w:r>
        <w:rPr>
          <w:sz w:val="20"/>
        </w:rPr>
        <w:t xml:space="preserve">максимальной мощности</w:t>
      </w:r>
    </w:p>
    <w:p>
      <w:pPr>
        <w:pStyle w:val="0"/>
        <w:jc w:val="both"/>
      </w:pPr>
      <w:r>
        <w:rPr>
          <w:sz w:val="20"/>
        </w:rPr>
      </w:r>
    </w:p>
    <w:p>
      <w:pPr>
        <w:pStyle w:val="0"/>
        <w:jc w:val="center"/>
      </w:pPr>
      <w:r>
        <w:rPr>
          <w:sz w:val="20"/>
        </w:rPr>
        <w:t xml:space="preserve">(для заявителей, заключивших соглашение</w:t>
      </w:r>
    </w:p>
    <w:p>
      <w:pPr>
        <w:pStyle w:val="0"/>
        <w:jc w:val="center"/>
      </w:pPr>
      <w:r>
        <w:rPr>
          <w:sz w:val="20"/>
        </w:rPr>
        <w:t xml:space="preserve">о перераспределении максимальной мощности с владельцами</w:t>
      </w:r>
    </w:p>
    <w:p>
      <w:pPr>
        <w:pStyle w:val="0"/>
        <w:jc w:val="center"/>
      </w:pPr>
      <w:r>
        <w:rPr>
          <w:sz w:val="20"/>
        </w:rPr>
        <w:t xml:space="preserve">энергопринимающих устройств (за исключением лиц, указанных</w:t>
      </w:r>
    </w:p>
    <w:p>
      <w:pPr>
        <w:pStyle w:val="0"/>
        <w:jc w:val="center"/>
      </w:pPr>
      <w:r>
        <w:rPr>
          <w:sz w:val="20"/>
        </w:rPr>
        <w:t xml:space="preserve">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пункте 12(1)</w:t>
        </w:r>
      </w:hyperlink>
      <w:r>
        <w:rPr>
          <w:sz w:val="20"/>
        </w:rPr>
        <w:t xml:space="preserve"> Правил технологического присоединения</w:t>
      </w:r>
    </w:p>
    <w:p>
      <w:pPr>
        <w:pStyle w:val="0"/>
        <w:jc w:val="center"/>
      </w:pPr>
      <w:r>
        <w:rPr>
          <w:sz w:val="20"/>
        </w:rPr>
        <w:t xml:space="preserve">энергопринимающих устройств потребителей электрической</w:t>
      </w:r>
    </w:p>
    <w:p>
      <w:pPr>
        <w:pStyle w:val="0"/>
        <w:jc w:val="center"/>
      </w:pPr>
      <w:r>
        <w:rPr>
          <w:sz w:val="20"/>
        </w:rPr>
        <w:t xml:space="preserve">энергии, объектов по производству электрической</w:t>
      </w:r>
    </w:p>
    <w:p>
      <w:pPr>
        <w:pStyle w:val="0"/>
        <w:jc w:val="center"/>
      </w:pPr>
      <w:r>
        <w:rPr>
          <w:sz w:val="20"/>
        </w:rPr>
        <w:t xml:space="preserve">энергии, а также объектов электросетевого хозяйства,</w:t>
      </w:r>
    </w:p>
    <w:p>
      <w:pPr>
        <w:pStyle w:val="0"/>
        <w:jc w:val="center"/>
      </w:pPr>
      <w:r>
        <w:rPr>
          <w:sz w:val="20"/>
        </w:rPr>
        <w:t xml:space="preserve">принадлежащих сетевым организациям и иным лицам,</w:t>
      </w:r>
    </w:p>
    <w:p>
      <w:pPr>
        <w:pStyle w:val="0"/>
        <w:jc w:val="center"/>
      </w:pPr>
      <w:r>
        <w:rPr>
          <w:sz w:val="20"/>
        </w:rPr>
        <w:t xml:space="preserve">к электрическим сетям, лиц, указанных в </w:t>
      </w:r>
      <w:hyperlink w:history="0" w:anchor="P1101" w:tooltip="13. В заявке, направляемой заявителем в целях временного технологического присоединения, предусмотренного разделом VII настоящих Правил, указывается:">
        <w:r>
          <w:rPr>
            <w:sz w:val="20"/>
            <w:color w:val="0000ff"/>
          </w:rPr>
          <w:t xml:space="preserve">пунктах 13</w:t>
        </w:r>
      </w:hyperlink>
    </w:p>
    <w:p>
      <w:pPr>
        <w:pStyle w:val="0"/>
        <w:jc w:val="center"/>
      </w:pPr>
      <w:r>
        <w:rPr>
          <w:sz w:val="20"/>
        </w:rPr>
        <w:t xml:space="preserve">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r>
        <w:rPr>
          <w:sz w:val="20"/>
        </w:rPr>
        <w:t xml:space="preserve"> указанных Правил, лиц, присоединенных к объектам</w:t>
      </w:r>
    </w:p>
    <w:p>
      <w:pPr>
        <w:pStyle w:val="0"/>
        <w:jc w:val="center"/>
      </w:pPr>
      <w:r>
        <w:rPr>
          <w:sz w:val="20"/>
        </w:rPr>
        <w:t xml:space="preserve">единой национальной (общероссийской) электрической</w:t>
      </w:r>
    </w:p>
    <w:p>
      <w:pPr>
        <w:pStyle w:val="0"/>
        <w:jc w:val="center"/>
      </w:pPr>
      <w:r>
        <w:rPr>
          <w:sz w:val="20"/>
        </w:rPr>
        <w:t xml:space="preserve">сети, а также лиц, не внесших плату за технологическое</w:t>
      </w:r>
    </w:p>
    <w:p>
      <w:pPr>
        <w:pStyle w:val="0"/>
        <w:jc w:val="center"/>
      </w:pPr>
      <w:r>
        <w:rPr>
          <w:sz w:val="20"/>
        </w:rPr>
        <w:t xml:space="preserve">присоединение либо внесших плату за технологическое</w:t>
      </w:r>
    </w:p>
    <w:p>
      <w:pPr>
        <w:pStyle w:val="0"/>
        <w:jc w:val="center"/>
      </w:pPr>
      <w:r>
        <w:rPr>
          <w:sz w:val="20"/>
        </w:rPr>
        <w:t xml:space="preserve">присоединение не в полном объеме), имеющими на праве</w:t>
      </w:r>
    </w:p>
    <w:p>
      <w:pPr>
        <w:pStyle w:val="0"/>
        <w:jc w:val="center"/>
      </w:pPr>
      <w:r>
        <w:rPr>
          <w:sz w:val="20"/>
        </w:rPr>
        <w:t xml:space="preserve">собственности или на ином законном основании</w:t>
      </w:r>
    </w:p>
    <w:p>
      <w:pPr>
        <w:pStyle w:val="0"/>
        <w:jc w:val="center"/>
      </w:pPr>
      <w:r>
        <w:rPr>
          <w:sz w:val="20"/>
        </w:rPr>
        <w:t xml:space="preserve">энергопринимающие устройства, в отношении которых</w:t>
      </w:r>
    </w:p>
    <w:p>
      <w:pPr>
        <w:pStyle w:val="0"/>
        <w:jc w:val="center"/>
      </w:pPr>
      <w:r>
        <w:rPr>
          <w:sz w:val="20"/>
        </w:rPr>
        <w:t xml:space="preserve">до 1 января 2009 г. в установленном порядке было</w:t>
      </w:r>
    </w:p>
    <w:p>
      <w:pPr>
        <w:pStyle w:val="0"/>
        <w:jc w:val="center"/>
      </w:pPr>
      <w:r>
        <w:rPr>
          <w:sz w:val="20"/>
        </w:rPr>
        <w:t xml:space="preserve">осуществлено фактическое технологическое</w:t>
      </w:r>
    </w:p>
    <w:p>
      <w:pPr>
        <w:pStyle w:val="0"/>
        <w:jc w:val="center"/>
      </w:pPr>
      <w:r>
        <w:rPr>
          <w:sz w:val="20"/>
        </w:rPr>
        <w:t xml:space="preserve">присоединение к электрическим сетям)</w:t>
      </w:r>
    </w:p>
    <w:p>
      <w:pPr>
        <w:pStyle w:val="0"/>
        <w:jc w:val="both"/>
      </w:pPr>
      <w:r>
        <w:rPr>
          <w:sz w:val="20"/>
        </w:rPr>
      </w:r>
    </w:p>
    <w:p>
      <w:pPr>
        <w:pStyle w:val="1"/>
        <w:jc w:val="both"/>
      </w:pPr>
      <w:r>
        <w:rPr>
          <w:sz w:val="20"/>
        </w:rPr>
        <w:t xml:space="preserve">___________________________                      "__" _____________ 20__ г.</w:t>
      </w:r>
    </w:p>
    <w:p>
      <w:pPr>
        <w:pStyle w:val="1"/>
        <w:jc w:val="both"/>
      </w:pPr>
      <w:r>
        <w:rPr>
          <w:sz w:val="20"/>
        </w:rPr>
        <w:t xml:space="preserve">(место заключения договора)                      (дата заключения договора)</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сетевой организации)</w:t>
      </w:r>
    </w:p>
    <w:p>
      <w:pPr>
        <w:pStyle w:val="1"/>
        <w:jc w:val="both"/>
      </w:pPr>
      <w:r>
        <w:rPr>
          <w:sz w:val="20"/>
        </w:rPr>
        <w:t xml:space="preserve">именуемая в дальнейшем сетевой организацией, в лице 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(должность, фамилия, имя, отчество)</w:t>
      </w:r>
    </w:p>
    <w:p>
      <w:pPr>
        <w:pStyle w:val="1"/>
        <w:jc w:val="both"/>
      </w:pPr>
      <w:r>
        <w:rPr>
          <w:sz w:val="20"/>
        </w:rPr>
        <w:t xml:space="preserve">действующего на основании _________________________________________________</w:t>
      </w:r>
    </w:p>
    <w:p>
      <w:pPr>
        <w:pStyle w:val="1"/>
        <w:jc w:val="both"/>
      </w:pPr>
      <w:r>
        <w:rPr>
          <w:sz w:val="20"/>
        </w:rPr>
        <w:t xml:space="preserve">                                (наименование и реквизиты документа)</w:t>
      </w:r>
    </w:p>
    <w:p>
      <w:pPr>
        <w:pStyle w:val="1"/>
        <w:jc w:val="both"/>
      </w:pPr>
      <w:r>
        <w:rPr>
          <w:sz w:val="20"/>
        </w:rPr>
        <w:t xml:space="preserve">__________________________________________________________________________,</w:t>
      </w:r>
    </w:p>
    <w:p>
      <w:pPr>
        <w:pStyle w:val="1"/>
        <w:jc w:val="both"/>
      </w:pPr>
      <w:r>
        <w:rPr>
          <w:sz w:val="20"/>
        </w:rPr>
        <w:t xml:space="preserve">с одной стороны, и ________________________________________________________</w:t>
      </w:r>
    </w:p>
    <w:p>
      <w:pPr>
        <w:pStyle w:val="1"/>
        <w:jc w:val="both"/>
      </w:pPr>
      <w:r>
        <w:rPr>
          <w:sz w:val="20"/>
        </w:rPr>
        <w:t xml:space="preserve">                     (полное наименование юридического лица, номер записи</w:t>
      </w:r>
    </w:p>
    <w:p>
      <w:pPr>
        <w:pStyle w:val="1"/>
        <w:jc w:val="both"/>
      </w:pPr>
      <w:r>
        <w:rPr>
          <w:sz w:val="20"/>
        </w:rPr>
        <w:t xml:space="preserve">___________________________________________________________________________</w:t>
      </w:r>
    </w:p>
    <w:p>
      <w:pPr>
        <w:pStyle w:val="1"/>
        <w:jc w:val="both"/>
      </w:pPr>
      <w:r>
        <w:rPr>
          <w:sz w:val="20"/>
        </w:rPr>
        <w:t xml:space="preserve">   в Едином государственном реестре юридических лиц с указанием фамилии,</w:t>
      </w:r>
    </w:p>
    <w:p>
      <w:pPr>
        <w:pStyle w:val="1"/>
        <w:jc w:val="both"/>
      </w:pPr>
      <w:r>
        <w:rPr>
          <w:sz w:val="20"/>
        </w:rPr>
        <w:t xml:space="preserve">___________________________________________________________________________</w:t>
      </w:r>
    </w:p>
    <w:p>
      <w:pPr>
        <w:pStyle w:val="1"/>
        <w:jc w:val="both"/>
      </w:pPr>
      <w:r>
        <w:rPr>
          <w:sz w:val="20"/>
        </w:rPr>
        <w:t xml:space="preserve">   имени, отчества лица, действующего от имени этого юридического лица,</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наименования и реквизитов документа, на основании которого он действует,</w:t>
      </w:r>
    </w:p>
    <w:p>
      <w:pPr>
        <w:pStyle w:val="1"/>
        <w:jc w:val="both"/>
      </w:pPr>
      <w:r>
        <w:rPr>
          <w:sz w:val="20"/>
        </w:rPr>
        <w:t xml:space="preserve">__________________________________________________________________________,</w:t>
      </w:r>
    </w:p>
    <w:p>
      <w:pPr>
        <w:pStyle w:val="1"/>
        <w:jc w:val="both"/>
      </w:pPr>
      <w:r>
        <w:rPr>
          <w:sz w:val="20"/>
        </w:rPr>
        <w:t xml:space="preserve">    либо фамилия, имя, отчество индивидуального предпринимателя, номер</w:t>
      </w:r>
    </w:p>
    <w:p>
      <w:pPr>
        <w:pStyle w:val="1"/>
        <w:jc w:val="both"/>
      </w:pPr>
      <w:r>
        <w:rPr>
          <w:sz w:val="20"/>
        </w:rPr>
        <w:t xml:space="preserve">  записи в Едином государственном реестре индивидуальных предпринимателей</w:t>
      </w:r>
    </w:p>
    <w:p>
      <w:pPr>
        <w:pStyle w:val="1"/>
        <w:jc w:val="both"/>
      </w:pPr>
      <w:r>
        <w:rPr>
          <w:sz w:val="20"/>
        </w:rPr>
        <w:t xml:space="preserve">                       и дата ее внесения в реестр)</w:t>
      </w:r>
    </w:p>
    <w:p>
      <w:pPr>
        <w:pStyle w:val="1"/>
        <w:jc w:val="both"/>
      </w:pPr>
      <w:r>
        <w:rPr>
          <w:sz w:val="20"/>
        </w:rPr>
        <w:t xml:space="preserve">именуемый  в  дальнейшем  заявителем,  с  другой  стороны,  далее именуемые</w:t>
      </w:r>
    </w:p>
    <w:p>
      <w:pPr>
        <w:pStyle w:val="1"/>
        <w:jc w:val="both"/>
      </w:pPr>
      <w:r>
        <w:rPr>
          <w:sz w:val="20"/>
        </w:rPr>
        <w:t xml:space="preserve">Сторонами, заключили настоящий договор о нижеследующем:</w:t>
      </w:r>
    </w:p>
    <w:p>
      <w:pPr>
        <w:pStyle w:val="0"/>
        <w:jc w:val="both"/>
      </w:pPr>
      <w:r>
        <w:rPr>
          <w:sz w:val="20"/>
        </w:rPr>
      </w:r>
    </w:p>
    <w:p>
      <w:pPr>
        <w:pStyle w:val="0"/>
        <w:outlineLvl w:val="2"/>
        <w:jc w:val="center"/>
      </w:pPr>
      <w:r>
        <w:rPr>
          <w:sz w:val="20"/>
        </w:rPr>
        <w:t xml:space="preserve">I. Предмет договора</w:t>
      </w:r>
    </w:p>
    <w:p>
      <w:pPr>
        <w:pStyle w:val="0"/>
        <w:jc w:val="both"/>
      </w:pPr>
      <w:r>
        <w:rPr>
          <w:sz w:val="20"/>
        </w:rPr>
      </w:r>
    </w:p>
    <w:p>
      <w:pPr>
        <w:pStyle w:val="1"/>
        <w:jc w:val="both"/>
      </w:pPr>
      <w:r>
        <w:rPr>
          <w:sz w:val="20"/>
        </w:rPr>
        <w:t xml:space="preserve">1.  В  соответствии  с настоящим договором сетевая организация принимает на</w:t>
      </w:r>
    </w:p>
    <w:p>
      <w:pPr>
        <w:pStyle w:val="1"/>
        <w:jc w:val="both"/>
      </w:pPr>
      <w:r>
        <w:rPr>
          <w:sz w:val="20"/>
        </w:rPr>
        <w:t xml:space="preserve">себя   обязательства   по   осуществлению   технологического  присоединения</w:t>
      </w:r>
    </w:p>
    <w:p>
      <w:pPr>
        <w:pStyle w:val="1"/>
        <w:jc w:val="both"/>
      </w:pPr>
      <w:r>
        <w:rPr>
          <w:sz w:val="20"/>
        </w:rPr>
        <w:t xml:space="preserve">энергопринимающих  устройств  заявителя,  в  пользу  которого  предлагается</w:t>
      </w:r>
    </w:p>
    <w:p>
      <w:pPr>
        <w:pStyle w:val="1"/>
        <w:jc w:val="both"/>
      </w:pPr>
      <w:r>
        <w:rPr>
          <w:sz w:val="20"/>
        </w:rPr>
        <w:t xml:space="preserve">перераспределить  избыток  максимальной  мощности  (далее - технологическое</w:t>
      </w:r>
    </w:p>
    <w:p>
      <w:pPr>
        <w:pStyle w:val="1"/>
        <w:jc w:val="both"/>
      </w:pPr>
      <w:r>
        <w:rPr>
          <w:sz w:val="20"/>
        </w:rPr>
        <w:t xml:space="preserve">присоединение),</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энергопринимающих устройств)</w:t>
      </w:r>
    </w:p>
    <w:p>
      <w:pPr>
        <w:pStyle w:val="1"/>
        <w:jc w:val="both"/>
      </w:pPr>
      <w:r>
        <w:rPr>
          <w:sz w:val="20"/>
        </w:rPr>
        <w:t xml:space="preserve">__________________________________________________________________________,</w:t>
      </w:r>
    </w:p>
    <w:p>
      <w:pPr>
        <w:pStyle w:val="1"/>
        <w:jc w:val="both"/>
      </w:pPr>
      <w:r>
        <w:rPr>
          <w:sz w:val="20"/>
        </w:rPr>
        <w:t xml:space="preserve">в  том  числе  по обеспечению готовности объектов электросетевого хозяйства</w:t>
      </w:r>
    </w:p>
    <w:p>
      <w:pPr>
        <w:pStyle w:val="1"/>
        <w:jc w:val="both"/>
      </w:pPr>
      <w:r>
        <w:rPr>
          <w:sz w:val="20"/>
        </w:rPr>
        <w:t xml:space="preserve">(включая  их  проектирование, строительство, реконструкцию) к присоединению</w:t>
      </w:r>
    </w:p>
    <w:p>
      <w:pPr>
        <w:pStyle w:val="1"/>
        <w:jc w:val="both"/>
      </w:pPr>
      <w:r>
        <w:rPr>
          <w:sz w:val="20"/>
        </w:rPr>
        <w:t xml:space="preserve">энергопринимающих  устройств,  урегулированию отношений с третьими лицами в</w:t>
      </w:r>
    </w:p>
    <w:p>
      <w:pPr>
        <w:pStyle w:val="1"/>
        <w:jc w:val="both"/>
      </w:pPr>
      <w:r>
        <w:rPr>
          <w:sz w:val="20"/>
        </w:rPr>
        <w:t xml:space="preserve">случае    необходимости    строительства   (модернизации)   такими   лицами</w:t>
      </w:r>
    </w:p>
    <w:p>
      <w:pPr>
        <w:pStyle w:val="1"/>
        <w:jc w:val="both"/>
      </w:pPr>
      <w:r>
        <w:rPr>
          <w:sz w:val="20"/>
        </w:rPr>
        <w:t xml:space="preserve">принадлежащих  им  объектов  электросетевого  хозяйства  (энергопринимающих</w:t>
      </w:r>
    </w:p>
    <w:p>
      <w:pPr>
        <w:pStyle w:val="1"/>
        <w:jc w:val="both"/>
      </w:pPr>
      <w:r>
        <w:rPr>
          <w:sz w:val="20"/>
        </w:rPr>
        <w:t xml:space="preserve">устройств, объектов электроэнергетики), с учетом следующих характеристик:</w:t>
      </w:r>
    </w:p>
    <w:p>
      <w:pPr>
        <w:pStyle w:val="0"/>
        <w:ind w:firstLine="540"/>
        <w:jc w:val="both"/>
      </w:pPr>
      <w:r>
        <w:rPr>
          <w:sz w:val="20"/>
        </w:rPr>
        <w:t xml:space="preserve">максимальная мощность присоединяемых энергопринимающих устройств _______ (кВт);</w:t>
      </w:r>
    </w:p>
    <w:p>
      <w:pPr>
        <w:pStyle w:val="0"/>
        <w:spacing w:before="200" w:line-rule="auto"/>
        <w:ind w:firstLine="540"/>
        <w:jc w:val="both"/>
      </w:pPr>
      <w:r>
        <w:rPr>
          <w:sz w:val="20"/>
        </w:rPr>
        <w:t xml:space="preserve">категория надежности _______;</w:t>
      </w:r>
    </w:p>
    <w:p>
      <w:pPr>
        <w:pStyle w:val="0"/>
        <w:spacing w:before="200" w:line-rule="auto"/>
        <w:ind w:firstLine="540"/>
        <w:jc w:val="both"/>
      </w:pPr>
      <w:r>
        <w:rPr>
          <w:sz w:val="20"/>
        </w:rPr>
        <w:t xml:space="preserve">класс напряжения электрических сетей, к которым осуществляется технологическое присоединение _______ (кВ);</w:t>
      </w:r>
    </w:p>
    <w:p>
      <w:pPr>
        <w:pStyle w:val="0"/>
        <w:spacing w:before="200" w:line-rule="auto"/>
        <w:ind w:firstLine="540"/>
        <w:jc w:val="both"/>
      </w:pPr>
      <w:r>
        <w:rPr>
          <w:sz w:val="20"/>
        </w:rPr>
        <w:t xml:space="preserve">максимальная мощность ранее присоединенных энергопринимающих устройств _______ кВт </w:t>
      </w:r>
      <w:hyperlink w:history="0" w:anchor="P4920" w:tooltip="&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w:r>
          <w:rPr>
            <w:sz w:val="20"/>
            <w:color w:val="0000ff"/>
          </w:rPr>
          <w:t xml:space="preserve">&lt;1&gt;</w:t>
        </w:r>
      </w:hyperlink>
      <w:r>
        <w:rPr>
          <w:sz w:val="20"/>
        </w:rPr>
        <w:t xml:space="preserve">.</w:t>
      </w:r>
    </w:p>
    <w:p>
      <w:pPr>
        <w:pStyle w:val="0"/>
        <w:spacing w:before="200" w:line-rule="auto"/>
        <w:ind w:firstLine="540"/>
        <w:jc w:val="both"/>
      </w:pPr>
      <w:r>
        <w:rPr>
          <w:sz w:val="20"/>
        </w:rPr>
        <w:t xml:space="preserve">Заявитель обязуется оплатить расходы на технологическое присоединение в соответствии с условиями настоящего договора.</w:t>
      </w:r>
    </w:p>
    <w:p>
      <w:pPr>
        <w:pStyle w:val="1"/>
        <w:spacing w:before="200" w:line-rule="auto"/>
        <w:jc w:val="both"/>
      </w:pPr>
      <w:r>
        <w:rPr>
          <w:sz w:val="20"/>
        </w:rPr>
        <w:t xml:space="preserve">    2. Технологическое        присоединение         необходимо          для</w:t>
      </w:r>
    </w:p>
    <w:p>
      <w:pPr>
        <w:pStyle w:val="1"/>
        <w:jc w:val="both"/>
      </w:pPr>
      <w:r>
        <w:rPr>
          <w:sz w:val="20"/>
        </w:rPr>
        <w:t xml:space="preserve">электроснабжения 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объектов заявителя)</w:t>
      </w:r>
    </w:p>
    <w:p>
      <w:pPr>
        <w:pStyle w:val="1"/>
        <w:jc w:val="both"/>
      </w:pPr>
      <w:r>
        <w:rPr>
          <w:sz w:val="20"/>
        </w:rPr>
        <w:t xml:space="preserve">расположенных (которые будут располагаться) _______________________________</w:t>
      </w:r>
    </w:p>
    <w:p>
      <w:pPr>
        <w:pStyle w:val="1"/>
        <w:jc w:val="both"/>
      </w:pPr>
      <w:r>
        <w:rPr>
          <w:sz w:val="20"/>
        </w:rPr>
        <w:t xml:space="preserve">                                                   (место нахождения</w:t>
      </w:r>
    </w:p>
    <w:p>
      <w:pPr>
        <w:pStyle w:val="1"/>
        <w:jc w:val="both"/>
      </w:pPr>
      <w:r>
        <w:rPr>
          <w:sz w:val="20"/>
        </w:rPr>
        <w:t xml:space="preserve">__________________________________________________________________________.</w:t>
      </w:r>
    </w:p>
    <w:p>
      <w:pPr>
        <w:pStyle w:val="1"/>
        <w:jc w:val="both"/>
      </w:pPr>
      <w:r>
        <w:rPr>
          <w:sz w:val="20"/>
        </w:rPr>
        <w:t xml:space="preserve">                            объектов заявителя)</w:t>
      </w:r>
    </w:p>
    <w:p>
      <w:pPr>
        <w:pStyle w:val="0"/>
        <w:ind w:firstLine="540"/>
        <w:jc w:val="both"/>
      </w:pPr>
      <w:r>
        <w:rPr>
          <w:sz w:val="20"/>
        </w:rPr>
        <w:t xml:space="preserve">3. Точка (точки) присоединения указана в технических условиях для присоединения к электрическим сетям посредством перераспределения максимальной мощности (далее - технические условия) и располагается на расстоянии __________ метров от границы участка заявителя, на котором располагаются (будут располагаться) присоединяемые объекты заявителя.</w:t>
      </w:r>
    </w:p>
    <w:p>
      <w:pPr>
        <w:pStyle w:val="0"/>
        <w:spacing w:before="200" w:line-rule="auto"/>
        <w:ind w:firstLine="540"/>
        <w:jc w:val="both"/>
      </w:pPr>
      <w:r>
        <w:rPr>
          <w:sz w:val="20"/>
        </w:rPr>
        <w:t xml:space="preserve">4. </w:t>
      </w:r>
      <w:hyperlink w:history="0" w:anchor="P4937" w:tooltip="                            ТЕХНИЧЕСКИЕ УСЛОВИЯ">
        <w:r>
          <w:rPr>
            <w:sz w:val="20"/>
            <w:color w:val="0000ff"/>
          </w:rPr>
          <w:t xml:space="preserve">Технические условия</w:t>
        </w:r>
      </w:hyperlink>
      <w:r>
        <w:rPr>
          <w:sz w:val="20"/>
        </w:rPr>
        <w:t xml:space="preserve"> являются неотъемлемой частью настоящего договора и приведены в приложении.</w:t>
      </w:r>
    </w:p>
    <w:p>
      <w:pPr>
        <w:pStyle w:val="0"/>
        <w:spacing w:before="200" w:line-rule="auto"/>
        <w:ind w:firstLine="540"/>
        <w:jc w:val="both"/>
      </w:pPr>
      <w:r>
        <w:rPr>
          <w:sz w:val="20"/>
        </w:rPr>
        <w:t xml:space="preserve">Срок действия технических условий составляет _______ год (года) </w:t>
      </w:r>
      <w:hyperlink w:history="0" w:anchor="P4921" w:tooltip="&lt;2&gt; Срок действия технических условий не может составлять менее 2 лет и более 5 лет.">
        <w:r>
          <w:rPr>
            <w:sz w:val="20"/>
            <w:color w:val="0000ff"/>
          </w:rPr>
          <w:t xml:space="preserve">&lt;2&gt;</w:t>
        </w:r>
      </w:hyperlink>
      <w:r>
        <w:rPr>
          <w:sz w:val="20"/>
        </w:rPr>
        <w:t xml:space="preserve"> со дня заключения настоящего договора.</w:t>
      </w:r>
    </w:p>
    <w:bookmarkStart w:id="4794" w:name="P4794"/>
    <w:bookmarkEnd w:id="4794"/>
    <w:p>
      <w:pPr>
        <w:pStyle w:val="0"/>
        <w:spacing w:before="200" w:line-rule="auto"/>
        <w:ind w:firstLine="540"/>
        <w:jc w:val="both"/>
      </w:pPr>
      <w:r>
        <w:rPr>
          <w:sz w:val="20"/>
        </w:rPr>
        <w:t xml:space="preserve">5. Срок выполнения мероприятий по технологическому присоединению составляет ____________ </w:t>
      </w:r>
      <w:hyperlink w:history="0" w:anchor="P4922" w:tooltip="&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
        <w:r>
          <w:rPr>
            <w:sz w:val="20"/>
            <w:color w:val="0000ff"/>
          </w:rPr>
          <w:t xml:space="preserve">&lt;3&gt;</w:t>
        </w:r>
      </w:hyperlink>
      <w:r>
        <w:rPr>
          <w:sz w:val="20"/>
        </w:rPr>
        <w:t xml:space="preserve"> со дня заключения настоящего договора.</w:t>
      </w:r>
    </w:p>
    <w:p>
      <w:pPr>
        <w:pStyle w:val="0"/>
        <w:jc w:val="both"/>
      </w:pPr>
      <w:r>
        <w:rPr>
          <w:sz w:val="20"/>
        </w:rPr>
      </w:r>
    </w:p>
    <w:p>
      <w:pPr>
        <w:pStyle w:val="0"/>
        <w:outlineLvl w:val="2"/>
        <w:jc w:val="center"/>
      </w:pPr>
      <w:r>
        <w:rPr>
          <w:sz w:val="20"/>
        </w:rPr>
        <w:t xml:space="preserve">II. Обязанности Сторон</w:t>
      </w:r>
    </w:p>
    <w:p>
      <w:pPr>
        <w:pStyle w:val="0"/>
        <w:jc w:val="both"/>
      </w:pPr>
      <w:r>
        <w:rPr>
          <w:sz w:val="20"/>
        </w:rPr>
      </w:r>
    </w:p>
    <w:bookmarkStart w:id="4798" w:name="P4798"/>
    <w:bookmarkEnd w:id="4798"/>
    <w:p>
      <w:pPr>
        <w:pStyle w:val="0"/>
        <w:ind w:firstLine="540"/>
        <w:jc w:val="both"/>
      </w:pPr>
      <w:r>
        <w:rPr>
          <w:sz w:val="20"/>
        </w:rPr>
        <w:t xml:space="preserve">6. Сетевая организация обязуется:</w:t>
      </w:r>
    </w:p>
    <w:p>
      <w:pPr>
        <w:pStyle w:val="0"/>
        <w:spacing w:before="200" w:line-rule="auto"/>
        <w:ind w:firstLine="540"/>
        <w:jc w:val="both"/>
      </w:pPr>
      <w:r>
        <w:rPr>
          <w:sz w:val="20"/>
        </w:rPr>
        <w:t xml:space="preserve">исполнить надлежащим образом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 если иное не определено соглашением между сетевой организацией и заявителем, заключенным на основании его обращения в сетевую организацию;</w:t>
      </w:r>
    </w:p>
    <w:p>
      <w:pPr>
        <w:pStyle w:val="0"/>
        <w:spacing w:before="200" w:line-rule="auto"/>
        <w:ind w:firstLine="540"/>
        <w:jc w:val="both"/>
      </w:pPr>
      <w:r>
        <w:rPr>
          <w:sz w:val="20"/>
        </w:rPr>
        <w:t xml:space="preserve">в течение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направить лицу, максимальная мощность энергопринимающих устройств которого перераспределяется по соглашению о перераспределении мощности, требования:</w:t>
      </w:r>
    </w:p>
    <w:p>
      <w:pPr>
        <w:pStyle w:val="0"/>
        <w:spacing w:before="200" w:line-rule="auto"/>
        <w:ind w:firstLine="540"/>
        <w:jc w:val="both"/>
      </w:pPr>
      <w:r>
        <w:rPr>
          <w:sz w:val="20"/>
        </w:rPr>
        <w:t xml:space="preserve">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случае эксплуатационной принадлежности этих устройств лицам, перераспределяющим максимальную мощность энергопринимающих устройств;</w:t>
      </w:r>
    </w:p>
    <w:p>
      <w:pPr>
        <w:pStyle w:val="0"/>
        <w:spacing w:before="200" w:line-rule="auto"/>
        <w:ind w:firstLine="540"/>
        <w:jc w:val="both"/>
      </w:pPr>
      <w:r>
        <w:rPr>
          <w:sz w:val="20"/>
        </w:rPr>
        <w:t xml:space="preserve">о внесении изменений в документы, предусматривающие взаимодействие сетевой организации и указанного лица, или о подписании новых документов, фиксирующих объем максимальной мощности после ее перераспределения, в соответствии с соглашением о перераспределении мощности (технические условия, акт об осуществлении технологического присоединения);</w:t>
      </w:r>
    </w:p>
    <w:p>
      <w:pPr>
        <w:pStyle w:val="0"/>
        <w:spacing w:before="200" w:line-rule="auto"/>
        <w:ind w:firstLine="540"/>
        <w:jc w:val="both"/>
      </w:pPr>
      <w:r>
        <w:rPr>
          <w:sz w:val="20"/>
        </w:rPr>
        <w:t xml:space="preserve">осуществить в течение __________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w:t>
      </w:r>
    </w:p>
    <w:p>
      <w:pPr>
        <w:pStyle w:val="0"/>
        <w:spacing w:before="200" w:line-rule="auto"/>
        <w:ind w:firstLine="540"/>
        <w:jc w:val="both"/>
      </w:pPr>
      <w:r>
        <w:rPr>
          <w:sz w:val="20"/>
        </w:rPr>
        <w:t xml:space="preserve">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pPr>
        <w:pStyle w:val="0"/>
        <w:spacing w:before="200" w:line-rule="auto"/>
        <w:ind w:firstLine="540"/>
        <w:jc w:val="both"/>
      </w:pPr>
      <w:r>
        <w:rPr>
          <w:sz w:val="20"/>
        </w:rPr>
        <w:t xml:space="preserve">не позднее __________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осуществить с соблюдением срока, установленного </w:t>
      </w:r>
      <w:hyperlink w:history="0" w:anchor="P4794" w:tooltip="5. Срок выполнения мероприятий по технологическому присоединению составляет ____________ &lt;3&gt; со дня заключения настоящего договора.">
        <w:r>
          <w:rPr>
            <w:sz w:val="20"/>
            <w:color w:val="0000ff"/>
          </w:rPr>
          <w:t xml:space="preserve">пунктом 5</w:t>
        </w:r>
      </w:hyperlink>
      <w:r>
        <w:rPr>
          <w:sz w:val="20"/>
        </w:rPr>
        <w:t xml:space="preserve"> настоящего договора,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w:t>
      </w:r>
      <w:hyperlink w:history="0" w:anchor="P4923" w:tooltip="&lt;4&gt; До выполнения лицом, максимальная мощность энергопринимающих устройств которого перераспределяется по соглашению о перераспределении мощности, требований сетевой организации, указанных в пункте 6 настоящего договора, фактическое присоединение энергопринимающих устройств лица, в пользу которого перераспределена максимальная мощность, не производится.">
        <w:r>
          <w:rPr>
            <w:sz w:val="20"/>
            <w:color w:val="0000ff"/>
          </w:rPr>
          <w:t xml:space="preserve">&lt;4&gt;</w:t>
        </w:r>
      </w:hyperlink>
      <w:r>
        <w:rPr>
          <w:sz w:val="20"/>
        </w:rPr>
        <w:t xml:space="preserve">.</w:t>
      </w:r>
    </w:p>
    <w:p>
      <w:pPr>
        <w:pStyle w:val="0"/>
        <w:spacing w:before="200" w:line-rule="auto"/>
        <w:ind w:firstLine="540"/>
        <w:jc w:val="both"/>
      </w:pPr>
      <w:r>
        <w:rPr>
          <w:sz w:val="20"/>
        </w:rPr>
        <w:t xml:space="preserve">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pPr>
        <w:pStyle w:val="0"/>
        <w:spacing w:before="200" w:line-rule="auto"/>
        <w:ind w:firstLine="540"/>
        <w:jc w:val="both"/>
      </w:pPr>
      <w:r>
        <w:rPr>
          <w:sz w:val="20"/>
        </w:rPr>
        <w:t xml:space="preserve">8. Заявитель обязуется:</w:t>
      </w:r>
    </w:p>
    <w:p>
      <w:pPr>
        <w:pStyle w:val="0"/>
        <w:spacing w:before="200" w:line-rule="auto"/>
        <w:ind w:firstLine="540"/>
        <w:jc w:val="both"/>
      </w:pPr>
      <w:r>
        <w:rPr>
          <w:sz w:val="20"/>
        </w:rPr>
        <w:t xml:space="preserve">исполнить надлежащим образом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pPr>
        <w:pStyle w:val="0"/>
        <w:spacing w:before="200" w:line-rule="auto"/>
        <w:ind w:firstLine="540"/>
        <w:jc w:val="both"/>
      </w:pPr>
      <w:r>
        <w:rPr>
          <w:sz w:val="20"/>
        </w:rPr>
        <w:t xml:space="preserve">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pPr>
        <w:pStyle w:val="0"/>
        <w:spacing w:before="200" w:line-rule="auto"/>
        <w:ind w:firstLine="540"/>
        <w:jc w:val="both"/>
      </w:pPr>
      <w:r>
        <w:rPr>
          <w:sz w:val="20"/>
        </w:rPr>
        <w:t xml:space="preserve">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 в случаях, предусмотренных законодательством Российской Федерации;</w:t>
      </w:r>
    </w:p>
    <w:p>
      <w:pPr>
        <w:pStyle w:val="0"/>
        <w:spacing w:before="200" w:line-rule="auto"/>
        <w:ind w:firstLine="540"/>
        <w:jc w:val="both"/>
      </w:pPr>
      <w:r>
        <w:rPr>
          <w:sz w:val="20"/>
        </w:rPr>
        <w:t xml:space="preserve">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 предусмотренных законодательством Российской Федерации;</w:t>
      </w:r>
    </w:p>
    <w:p>
      <w:pPr>
        <w:pStyle w:val="0"/>
        <w:spacing w:before="200" w:line-rule="auto"/>
        <w:ind w:firstLine="540"/>
        <w:jc w:val="both"/>
      </w:pPr>
      <w:r>
        <w:rPr>
          <w:sz w:val="20"/>
        </w:rP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___________ рабочих дней со дня получения указанного акта от сетевой организации;</w:t>
      </w:r>
    </w:p>
    <w:p>
      <w:pPr>
        <w:pStyle w:val="0"/>
        <w:spacing w:before="200" w:line-rule="auto"/>
        <w:ind w:firstLine="540"/>
        <w:jc w:val="both"/>
      </w:pPr>
      <w:r>
        <w:rPr>
          <w:sz w:val="20"/>
        </w:rPr>
        <w:t xml:space="preserve">надлежащим образом исполнять указанные в </w:t>
      </w:r>
      <w:hyperlink w:history="0" w:anchor="P4816" w:tooltip="III. Плата за технологическое присоединение">
        <w:r>
          <w:rPr>
            <w:sz w:val="20"/>
            <w:color w:val="0000ff"/>
          </w:rPr>
          <w:t xml:space="preserve">разделе III</w:t>
        </w:r>
      </w:hyperlink>
      <w:r>
        <w:rPr>
          <w:sz w:val="20"/>
        </w:rPr>
        <w:t xml:space="preserve"> настоящего договора обязательства по оплате расходов на технологическое присоединение.</w:t>
      </w:r>
    </w:p>
    <w:p>
      <w:pPr>
        <w:pStyle w:val="0"/>
        <w:spacing w:before="200" w:line-rule="auto"/>
        <w:ind w:firstLine="540"/>
        <w:jc w:val="both"/>
      </w:pPr>
      <w:r>
        <w:rPr>
          <w:sz w:val="20"/>
        </w:rPr>
        <w:t xml:space="preserve">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pPr>
        <w:pStyle w:val="0"/>
        <w:jc w:val="both"/>
      </w:pPr>
      <w:r>
        <w:rPr>
          <w:sz w:val="20"/>
        </w:rPr>
      </w:r>
    </w:p>
    <w:bookmarkStart w:id="4816" w:name="P4816"/>
    <w:bookmarkEnd w:id="4816"/>
    <w:p>
      <w:pPr>
        <w:pStyle w:val="0"/>
        <w:outlineLvl w:val="2"/>
        <w:jc w:val="center"/>
      </w:pPr>
      <w:r>
        <w:rPr>
          <w:sz w:val="20"/>
        </w:rPr>
        <w:t xml:space="preserve">III. Плата за технологическое присоединение</w:t>
      </w:r>
    </w:p>
    <w:p>
      <w:pPr>
        <w:pStyle w:val="0"/>
        <w:jc w:val="center"/>
      </w:pPr>
      <w:r>
        <w:rPr>
          <w:sz w:val="20"/>
        </w:rPr>
        <w:t xml:space="preserve">и порядок расчетов</w:t>
      </w:r>
    </w:p>
    <w:p>
      <w:pPr>
        <w:pStyle w:val="0"/>
        <w:jc w:val="both"/>
      </w:pPr>
      <w:r>
        <w:rPr>
          <w:sz w:val="20"/>
        </w:rPr>
      </w:r>
    </w:p>
    <w:p>
      <w:pPr>
        <w:pStyle w:val="1"/>
        <w:jc w:val="both"/>
      </w:pPr>
      <w:r>
        <w:rPr>
          <w:sz w:val="20"/>
        </w:rPr>
        <w:t xml:space="preserve">    10. Размер   платы  за  технологическое  присоединение  определяется  в</w:t>
      </w:r>
    </w:p>
    <w:p>
      <w:pPr>
        <w:pStyle w:val="1"/>
        <w:jc w:val="both"/>
      </w:pPr>
      <w:r>
        <w:rPr>
          <w:sz w:val="20"/>
        </w:rPr>
        <w:t xml:space="preserve">соответствии с решением ___________________________________________________</w:t>
      </w:r>
    </w:p>
    <w:p>
      <w:pPr>
        <w:pStyle w:val="1"/>
        <w:jc w:val="both"/>
      </w:pPr>
      <w:r>
        <w:rPr>
          <w:sz w:val="20"/>
        </w:rPr>
        <w:t xml:space="preserve">                            (наименование органа исполнительной власти</w:t>
      </w:r>
    </w:p>
    <w:p>
      <w:pPr>
        <w:pStyle w:val="1"/>
        <w:jc w:val="both"/>
      </w:pPr>
      <w:r>
        <w:rPr>
          <w:sz w:val="20"/>
        </w:rPr>
        <w:t xml:space="preserve">___________________________________________________________________________</w:t>
      </w:r>
    </w:p>
    <w:p>
      <w:pPr>
        <w:pStyle w:val="1"/>
        <w:jc w:val="both"/>
      </w:pPr>
      <w:r>
        <w:rPr>
          <w:sz w:val="20"/>
        </w:rPr>
        <w:t xml:space="preserve">             в области государственного регулирования тарифов)</w:t>
      </w:r>
    </w:p>
    <w:p>
      <w:pPr>
        <w:pStyle w:val="1"/>
        <w:jc w:val="both"/>
      </w:pPr>
      <w:r>
        <w:rPr>
          <w:sz w:val="20"/>
        </w:rPr>
        <w:t xml:space="preserve">от _______________ N ___________ и составляет ______________ рублей _______</w:t>
      </w:r>
    </w:p>
    <w:p>
      <w:pPr>
        <w:pStyle w:val="1"/>
        <w:jc w:val="both"/>
      </w:pPr>
      <w:r>
        <w:rPr>
          <w:sz w:val="20"/>
        </w:rPr>
        <w:t xml:space="preserve">копеек, в том числе НДС ___________ рублей _________ копеек.</w:t>
      </w:r>
    </w:p>
    <w:p>
      <w:pPr>
        <w:pStyle w:val="1"/>
        <w:jc w:val="both"/>
      </w:pPr>
      <w:r>
        <w:rPr>
          <w:sz w:val="20"/>
        </w:rPr>
        <w:t xml:space="preserve">    11. Внесение  платы  за  технологическое  присоединение  осуществляется</w:t>
      </w:r>
    </w:p>
    <w:p>
      <w:pPr>
        <w:pStyle w:val="1"/>
        <w:jc w:val="both"/>
      </w:pPr>
      <w:r>
        <w:rPr>
          <w:sz w:val="20"/>
        </w:rPr>
        <w:t xml:space="preserve">заявителем в следующем порядке: ___________________________________________</w:t>
      </w:r>
    </w:p>
    <w:p>
      <w:pPr>
        <w:pStyle w:val="1"/>
        <w:jc w:val="both"/>
      </w:pPr>
      <w:r>
        <w:rPr>
          <w:sz w:val="20"/>
        </w:rPr>
        <w:t xml:space="preserve">                                       (указываются порядок и сроки</w:t>
      </w:r>
    </w:p>
    <w:p>
      <w:pPr>
        <w:pStyle w:val="1"/>
        <w:jc w:val="both"/>
      </w:pPr>
      <w:r>
        <w:rPr>
          <w:sz w:val="20"/>
        </w:rPr>
        <w:t xml:space="preserve">__________________________________________________________________________.</w:t>
      </w:r>
    </w:p>
    <w:p>
      <w:pPr>
        <w:pStyle w:val="1"/>
        <w:jc w:val="both"/>
      </w:pPr>
      <w:r>
        <w:rPr>
          <w:sz w:val="20"/>
        </w:rPr>
        <w:t xml:space="preserve">             внесения платы за технологическое присоединение)</w:t>
      </w:r>
    </w:p>
    <w:p>
      <w:pPr>
        <w:pStyle w:val="0"/>
        <w:ind w:firstLine="540"/>
        <w:jc w:val="both"/>
      </w:pPr>
      <w:r>
        <w:rPr>
          <w:sz w:val="20"/>
        </w:rPr>
        <w:t xml:space="preserve">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pPr>
        <w:pStyle w:val="0"/>
        <w:jc w:val="both"/>
      </w:pPr>
      <w:r>
        <w:rPr>
          <w:sz w:val="20"/>
        </w:rPr>
      </w:r>
    </w:p>
    <w:p>
      <w:pPr>
        <w:pStyle w:val="0"/>
        <w:outlineLvl w:val="2"/>
        <w:jc w:val="center"/>
      </w:pPr>
      <w:r>
        <w:rPr>
          <w:sz w:val="20"/>
        </w:rPr>
        <w:t xml:space="preserve">IV. Разграничение балансовой принадлежности электрических</w:t>
      </w:r>
    </w:p>
    <w:p>
      <w:pPr>
        <w:pStyle w:val="0"/>
        <w:jc w:val="center"/>
      </w:pPr>
      <w:r>
        <w:rPr>
          <w:sz w:val="20"/>
        </w:rPr>
        <w:t xml:space="preserve">сетей и эксплуатационной ответственности Сторон</w:t>
      </w:r>
    </w:p>
    <w:p>
      <w:pPr>
        <w:pStyle w:val="0"/>
        <w:jc w:val="both"/>
      </w:pPr>
      <w:r>
        <w:rPr>
          <w:sz w:val="20"/>
        </w:rPr>
      </w:r>
    </w:p>
    <w:p>
      <w:pPr>
        <w:pStyle w:val="0"/>
        <w:ind w:firstLine="540"/>
        <w:jc w:val="both"/>
      </w:pPr>
      <w:r>
        <w:rPr>
          <w:sz w:val="20"/>
        </w:rP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history="0" w:anchor="P4924" w:tooltip="&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
        <w:r>
          <w:rPr>
            <w:sz w:val="20"/>
            <w:color w:val="0000ff"/>
          </w:rPr>
          <w:t xml:space="preserve">&lt;5&gt;</w:t>
        </w:r>
      </w:hyperlink>
      <w:r>
        <w:rPr>
          <w:sz w:val="20"/>
        </w:rPr>
        <w:t xml:space="preserve">.</w:t>
      </w:r>
    </w:p>
    <w:p>
      <w:pPr>
        <w:pStyle w:val="0"/>
        <w:jc w:val="both"/>
      </w:pPr>
      <w:r>
        <w:rPr>
          <w:sz w:val="20"/>
        </w:rPr>
      </w:r>
    </w:p>
    <w:p>
      <w:pPr>
        <w:pStyle w:val="0"/>
        <w:outlineLvl w:val="2"/>
        <w:jc w:val="center"/>
      </w:pPr>
      <w:r>
        <w:rPr>
          <w:sz w:val="20"/>
        </w:rPr>
        <w:t xml:space="preserve">V. Условия изменения, расторжения договора</w:t>
      </w:r>
    </w:p>
    <w:p>
      <w:pPr>
        <w:pStyle w:val="0"/>
        <w:jc w:val="center"/>
      </w:pPr>
      <w:r>
        <w:rPr>
          <w:sz w:val="20"/>
        </w:rPr>
        <w:t xml:space="preserve">и ответственность Сторон</w:t>
      </w:r>
    </w:p>
    <w:p>
      <w:pPr>
        <w:pStyle w:val="0"/>
        <w:jc w:val="both"/>
      </w:pPr>
      <w:r>
        <w:rPr>
          <w:sz w:val="20"/>
        </w:rPr>
      </w:r>
    </w:p>
    <w:p>
      <w:pPr>
        <w:pStyle w:val="0"/>
        <w:ind w:firstLine="540"/>
        <w:jc w:val="both"/>
      </w:pPr>
      <w:r>
        <w:rPr>
          <w:sz w:val="20"/>
        </w:rPr>
        <w:t xml:space="preserve">14. Настоящий договор может быть изменен по письменному соглашению Сторон или в судебном порядке.</w:t>
      </w:r>
    </w:p>
    <w:p>
      <w:pPr>
        <w:pStyle w:val="0"/>
        <w:spacing w:before="200" w:line-rule="auto"/>
        <w:ind w:firstLine="540"/>
        <w:jc w:val="both"/>
      </w:pPr>
      <w:r>
        <w:rPr>
          <w:sz w:val="20"/>
        </w:rPr>
        <w:t xml:space="preserve">15. Настоящий договор может быть расторгнут по требованию одной из Сторон по основаниям, предусмотренным Гражданским </w:t>
      </w:r>
      <w:hyperlink w:history="0" r:id="rId1139" w:tooltip="&quot;Гражданский кодекс Российской Федерации (часть первая)&quot; от 30.11.1994 N 51-ФЗ (ред. от 25.02.2022)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pPr>
        <w:pStyle w:val="0"/>
        <w:spacing w:before="200" w:line-rule="auto"/>
        <w:ind w:firstLine="540"/>
        <w:jc w:val="both"/>
      </w:pPr>
      <w:r>
        <w:rPr>
          <w:sz w:val="20"/>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bookmarkStart w:id="4845" w:name="P4845"/>
    <w:bookmarkEnd w:id="4845"/>
    <w:p>
      <w:pPr>
        <w:pStyle w:val="0"/>
        <w:spacing w:before="200" w:line-rule="auto"/>
        <w:ind w:firstLine="540"/>
        <w:jc w:val="both"/>
      </w:pPr>
      <w:r>
        <w:rPr>
          <w:sz w:val="20"/>
        </w:rPr>
        <w:t xml:space="preserve">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pPr>
        <w:pStyle w:val="0"/>
        <w:spacing w:before="200" w:line-rule="auto"/>
        <w:ind w:firstLine="540"/>
        <w:jc w:val="both"/>
      </w:pPr>
      <w:r>
        <w:rPr>
          <w:sz w:val="20"/>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history="0" w:anchor="P4845" w:tooltip="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
        <w:r>
          <w:rPr>
            <w:sz w:val="20"/>
            <w:color w:val="0000ff"/>
          </w:rPr>
          <w:t xml:space="preserve">абзацем первым</w:t>
        </w:r>
      </w:hyperlink>
      <w:r>
        <w:rPr>
          <w:sz w:val="20"/>
        </w:rPr>
        <w:t xml:space="preserve"> настоящего пункта, в случае необоснованного уклонения либо отказа от ее уплаты.</w:t>
      </w:r>
    </w:p>
    <w:p>
      <w:pPr>
        <w:pStyle w:val="0"/>
        <w:spacing w:before="200" w:line-rule="auto"/>
        <w:ind w:firstLine="540"/>
        <w:jc w:val="both"/>
      </w:pPr>
      <w:r>
        <w:rPr>
          <w:sz w:val="20"/>
        </w:rPr>
        <w:t xml:space="preserve">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pPr>
        <w:pStyle w:val="0"/>
        <w:jc w:val="both"/>
      </w:pPr>
      <w:r>
        <w:rPr>
          <w:sz w:val="20"/>
        </w:rPr>
      </w:r>
    </w:p>
    <w:p>
      <w:pPr>
        <w:pStyle w:val="0"/>
        <w:outlineLvl w:val="2"/>
        <w:jc w:val="center"/>
      </w:pPr>
      <w:r>
        <w:rPr>
          <w:sz w:val="20"/>
        </w:rPr>
        <w:t xml:space="preserve">VI. Порядок разрешения споров</w:t>
      </w:r>
    </w:p>
    <w:p>
      <w:pPr>
        <w:pStyle w:val="0"/>
        <w:jc w:val="both"/>
      </w:pPr>
      <w:r>
        <w:rPr>
          <w:sz w:val="20"/>
        </w:rPr>
      </w:r>
    </w:p>
    <w:p>
      <w:pPr>
        <w:pStyle w:val="0"/>
        <w:ind w:firstLine="540"/>
        <w:jc w:val="both"/>
      </w:pPr>
      <w:r>
        <w:rPr>
          <w:sz w:val="20"/>
        </w:rPr>
        <w:t xml:space="preserve">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pPr>
        <w:pStyle w:val="0"/>
        <w:jc w:val="both"/>
      </w:pPr>
      <w:r>
        <w:rPr>
          <w:sz w:val="20"/>
        </w:rPr>
      </w:r>
    </w:p>
    <w:p>
      <w:pPr>
        <w:pStyle w:val="0"/>
        <w:outlineLvl w:val="2"/>
        <w:jc w:val="center"/>
      </w:pPr>
      <w:r>
        <w:rPr>
          <w:sz w:val="20"/>
        </w:rPr>
        <w:t xml:space="preserve">VII. Заключительные положения</w:t>
      </w:r>
    </w:p>
    <w:p>
      <w:pPr>
        <w:pStyle w:val="0"/>
        <w:jc w:val="both"/>
      </w:pPr>
      <w:r>
        <w:rPr>
          <w:sz w:val="20"/>
        </w:rPr>
      </w:r>
    </w:p>
    <w:p>
      <w:pPr>
        <w:pStyle w:val="0"/>
        <w:ind w:firstLine="540"/>
        <w:jc w:val="both"/>
      </w:pPr>
      <w:r>
        <w:rPr>
          <w:sz w:val="20"/>
        </w:rPr>
        <w:t xml:space="preserve">21. Настоящий договор считается заключенным со дня поступления подписанного заявителем экземпляра настоящего договора в сетевую организацию.</w:t>
      </w:r>
    </w:p>
    <w:p>
      <w:pPr>
        <w:pStyle w:val="0"/>
        <w:spacing w:before="200" w:line-rule="auto"/>
        <w:ind w:firstLine="540"/>
        <w:jc w:val="both"/>
      </w:pPr>
      <w:r>
        <w:rPr>
          <w:sz w:val="20"/>
        </w:rPr>
        <w:t xml:space="preserve">22. Настоящий договор составлен и подписан в двух экземплярах, по одному для каждой из Сторон.</w:t>
      </w:r>
    </w:p>
    <w:p>
      <w:pPr>
        <w:pStyle w:val="0"/>
        <w:jc w:val="both"/>
      </w:pPr>
      <w:r>
        <w:rPr>
          <w:sz w:val="20"/>
        </w:rPr>
      </w:r>
    </w:p>
    <w:p>
      <w:pPr>
        <w:pStyle w:val="0"/>
        <w:outlineLvl w:val="2"/>
        <w:jc w:val="center"/>
      </w:pPr>
      <w:r>
        <w:rPr>
          <w:sz w:val="20"/>
        </w:rPr>
        <w:t xml:space="preserve">Реквизиты Сторон</w:t>
      </w:r>
    </w:p>
    <w:p>
      <w:pPr>
        <w:pStyle w:val="0"/>
        <w:jc w:val="both"/>
      </w:pPr>
      <w:r>
        <w:rPr>
          <w:sz w:val="20"/>
        </w:rPr>
      </w:r>
    </w:p>
    <w:tbl>
      <w:tblPr>
        <w:tblInd w:w="0" w:type="dxa"/>
        <w:tblLayout w:type="fixed"/>
        <w:tblCellMar>
          <w:top w:w="102" w:type="dxa"/>
          <w:left w:w="62" w:type="dxa"/>
          <w:bottom w:w="102" w:type="dxa"/>
          <w:right w:w="62" w:type="dxa"/>
        </w:tblCellMar>
      </w:tblPr>
      <w:tblGrid>
        <w:gridCol w:w="2291"/>
        <w:gridCol w:w="1871"/>
        <w:gridCol w:w="360"/>
        <w:gridCol w:w="2302"/>
        <w:gridCol w:w="2154"/>
      </w:tblGrid>
      <w:tr>
        <w:tc>
          <w:tcPr>
            <w:gridSpan w:val="2"/>
            <w:tcW w:w="4162" w:type="dxa"/>
            <w:tcBorders>
              <w:top w:val="nil"/>
              <w:left w:val="nil"/>
              <w:bottom w:val="nil"/>
              <w:right w:val="nil"/>
            </w:tcBorders>
          </w:tcPr>
          <w:p>
            <w:pPr>
              <w:pStyle w:val="0"/>
              <w:jc w:val="both"/>
            </w:pPr>
            <w:r>
              <w:rPr>
                <w:sz w:val="20"/>
              </w:rPr>
              <w:t xml:space="preserve">Сетевая организация</w:t>
            </w:r>
          </w:p>
        </w:tc>
        <w:tc>
          <w:tcPr>
            <w:tcW w:w="360" w:type="dxa"/>
            <w:tcBorders>
              <w:top w:val="nil"/>
              <w:left w:val="nil"/>
              <w:bottom w:val="nil"/>
              <w:right w:val="nil"/>
            </w:tcBorders>
          </w:tcPr>
          <w:p>
            <w:pPr>
              <w:pStyle w:val="0"/>
            </w:pPr>
            <w:r>
              <w:rPr>
                <w:sz w:val="20"/>
              </w:rPr>
            </w:r>
          </w:p>
        </w:tc>
        <w:tc>
          <w:tcPr>
            <w:gridSpan w:val="2"/>
            <w:tcW w:w="4456" w:type="dxa"/>
            <w:tcBorders>
              <w:top w:val="nil"/>
              <w:left w:val="nil"/>
              <w:bottom w:val="nil"/>
              <w:right w:val="nil"/>
            </w:tcBorders>
          </w:tcPr>
          <w:p>
            <w:pPr>
              <w:pStyle w:val="0"/>
            </w:pPr>
            <w:r>
              <w:rPr>
                <w:sz w:val="20"/>
              </w:rPr>
              <w:t xml:space="preserve">Заявитель</w:t>
            </w:r>
          </w:p>
        </w:tc>
      </w:tr>
      <w:tr>
        <w:tc>
          <w:tcPr>
            <w:gridSpan w:val="2"/>
            <w:tcW w:w="4162" w:type="dxa"/>
            <w:tcBorders>
              <w:top w:val="nil"/>
              <w:left w:val="nil"/>
              <w:bottom w:val="nil"/>
              <w:right w:val="nil"/>
            </w:tcBorders>
          </w:tcPr>
          <w:p>
            <w:pPr>
              <w:pStyle w:val="0"/>
              <w:jc w:val="center"/>
            </w:pPr>
            <w:r>
              <w:rPr>
                <w:sz w:val="20"/>
              </w:rPr>
              <w:t xml:space="preserve">___________________________________</w:t>
            </w:r>
          </w:p>
          <w:p>
            <w:pPr>
              <w:pStyle w:val="0"/>
              <w:jc w:val="center"/>
            </w:pPr>
            <w:r>
              <w:rPr>
                <w:sz w:val="20"/>
              </w:rPr>
              <w:t xml:space="preserve">(наименование сетевой организации)</w:t>
            </w:r>
          </w:p>
        </w:tc>
        <w:tc>
          <w:tcPr>
            <w:tcW w:w="360" w:type="dxa"/>
            <w:tcBorders>
              <w:top w:val="nil"/>
              <w:left w:val="nil"/>
              <w:bottom w:val="nil"/>
              <w:right w:val="nil"/>
            </w:tcBorders>
          </w:tcPr>
          <w:p>
            <w:pPr>
              <w:pStyle w:val="0"/>
            </w:pPr>
            <w:r>
              <w:rPr>
                <w:sz w:val="20"/>
              </w:rPr>
            </w:r>
          </w:p>
        </w:tc>
        <w:tc>
          <w:tcPr>
            <w:gridSpan w:val="2"/>
            <w:tcW w:w="4456" w:type="dxa"/>
            <w:tcBorders>
              <w:top w:val="nil"/>
              <w:left w:val="nil"/>
              <w:bottom w:val="nil"/>
              <w:right w:val="nil"/>
            </w:tcBorders>
          </w:tcPr>
          <w:p>
            <w:pPr>
              <w:pStyle w:val="0"/>
              <w:jc w:val="center"/>
            </w:pPr>
            <w:r>
              <w:rPr>
                <w:sz w:val="20"/>
              </w:rPr>
              <w:t xml:space="preserve">____________________________________</w:t>
            </w:r>
          </w:p>
          <w:p>
            <w:pPr>
              <w:pStyle w:val="0"/>
              <w:jc w:val="center"/>
            </w:pPr>
            <w:r>
              <w:rPr>
                <w:sz w:val="20"/>
              </w:rPr>
              <w:t xml:space="preserve">(для юридических лиц - полное наименование)</w:t>
            </w:r>
          </w:p>
        </w:tc>
      </w:tr>
      <w:tr>
        <w:tc>
          <w:tcPr>
            <w:gridSpan w:val="2"/>
            <w:tcW w:w="4162" w:type="dxa"/>
            <w:tcBorders>
              <w:top w:val="nil"/>
              <w:left w:val="nil"/>
              <w:bottom w:val="nil"/>
              <w:right w:val="nil"/>
            </w:tcBorders>
          </w:tcPr>
          <w:p>
            <w:pPr>
              <w:pStyle w:val="0"/>
              <w:jc w:val="center"/>
            </w:pPr>
            <w:r>
              <w:rPr>
                <w:sz w:val="20"/>
              </w:rPr>
              <w:t xml:space="preserve">___________________________________</w:t>
            </w:r>
          </w:p>
          <w:p>
            <w:pPr>
              <w:pStyle w:val="0"/>
              <w:jc w:val="center"/>
            </w:pPr>
            <w:r>
              <w:rPr>
                <w:sz w:val="20"/>
              </w:rPr>
              <w:t xml:space="preserve">(место нахождения)</w:t>
            </w:r>
          </w:p>
        </w:tc>
        <w:tc>
          <w:tcPr>
            <w:tcW w:w="360" w:type="dxa"/>
            <w:tcBorders>
              <w:top w:val="nil"/>
              <w:left w:val="nil"/>
              <w:bottom w:val="nil"/>
              <w:right w:val="nil"/>
            </w:tcBorders>
          </w:tcPr>
          <w:p>
            <w:pPr>
              <w:pStyle w:val="0"/>
            </w:pPr>
            <w:r>
              <w:rPr>
                <w:sz w:val="20"/>
              </w:rPr>
            </w:r>
          </w:p>
        </w:tc>
        <w:tc>
          <w:tcPr>
            <w:gridSpan w:val="2"/>
            <w:tcW w:w="4456" w:type="dxa"/>
            <w:tcBorders>
              <w:top w:val="nil"/>
              <w:left w:val="nil"/>
              <w:bottom w:val="nil"/>
              <w:right w:val="nil"/>
            </w:tcBorders>
          </w:tcPr>
          <w:p>
            <w:pPr>
              <w:pStyle w:val="0"/>
              <w:jc w:val="center"/>
            </w:pPr>
            <w:r>
              <w:rPr>
                <w:sz w:val="20"/>
              </w:rPr>
              <w:t xml:space="preserve">_____________________________________</w:t>
            </w:r>
          </w:p>
          <w:p>
            <w:pPr>
              <w:pStyle w:val="0"/>
              <w:jc w:val="center"/>
            </w:pPr>
            <w:r>
              <w:rPr>
                <w:sz w:val="20"/>
              </w:rPr>
              <w:t xml:space="preserve">(номер записи в Едином государственном реестре юридических лиц)</w:t>
            </w:r>
          </w:p>
        </w:tc>
      </w:tr>
      <w:tr>
        <w:tc>
          <w:tcPr>
            <w:gridSpan w:val="2"/>
            <w:tcW w:w="4162" w:type="dxa"/>
            <w:tcBorders>
              <w:top w:val="nil"/>
              <w:left w:val="nil"/>
              <w:bottom w:val="nil"/>
              <w:right w:val="nil"/>
            </w:tcBorders>
          </w:tcPr>
          <w:p>
            <w:pPr>
              <w:pStyle w:val="0"/>
              <w:jc w:val="both"/>
            </w:pPr>
            <w:r>
              <w:rPr>
                <w:sz w:val="20"/>
              </w:rPr>
              <w:t xml:space="preserve">ИНН/КПП __________________________</w:t>
            </w:r>
          </w:p>
        </w:tc>
        <w:tc>
          <w:tcPr>
            <w:tcW w:w="360" w:type="dxa"/>
            <w:tcBorders>
              <w:top w:val="nil"/>
              <w:left w:val="nil"/>
              <w:bottom w:val="nil"/>
              <w:right w:val="nil"/>
            </w:tcBorders>
          </w:tcPr>
          <w:p>
            <w:pPr>
              <w:pStyle w:val="0"/>
            </w:pPr>
            <w:r>
              <w:rPr>
                <w:sz w:val="20"/>
              </w:rPr>
            </w:r>
          </w:p>
        </w:tc>
        <w:tc>
          <w:tcPr>
            <w:gridSpan w:val="2"/>
            <w:tcW w:w="4456" w:type="dxa"/>
            <w:tcBorders>
              <w:top w:val="nil"/>
              <w:left w:val="nil"/>
              <w:bottom w:val="nil"/>
              <w:right w:val="nil"/>
            </w:tcBorders>
          </w:tcPr>
          <w:p>
            <w:pPr>
              <w:pStyle w:val="0"/>
            </w:pPr>
            <w:r>
              <w:rPr>
                <w:sz w:val="20"/>
              </w:rPr>
              <w:t xml:space="preserve">ИНН ________________________________</w:t>
            </w:r>
          </w:p>
        </w:tc>
      </w:tr>
      <w:tr>
        <w:tc>
          <w:tcPr>
            <w:gridSpan w:val="2"/>
            <w:tcW w:w="4162" w:type="dxa"/>
            <w:tcBorders>
              <w:top w:val="nil"/>
              <w:left w:val="nil"/>
              <w:bottom w:val="nil"/>
              <w:right w:val="nil"/>
            </w:tcBorders>
          </w:tcPr>
          <w:p>
            <w:pPr>
              <w:pStyle w:val="0"/>
              <w:jc w:val="both"/>
            </w:pPr>
            <w:r>
              <w:rPr>
                <w:sz w:val="20"/>
              </w:rPr>
              <w:t xml:space="preserve">р/с ________________________________</w:t>
            </w:r>
          </w:p>
        </w:tc>
        <w:tc>
          <w:tcPr>
            <w:tcW w:w="360" w:type="dxa"/>
            <w:tcBorders>
              <w:top w:val="nil"/>
              <w:left w:val="nil"/>
              <w:bottom w:val="nil"/>
              <w:right w:val="nil"/>
            </w:tcBorders>
            <w:vMerge w:val="restart"/>
          </w:tcPr>
          <w:p>
            <w:pPr>
              <w:pStyle w:val="0"/>
            </w:pPr>
            <w:r>
              <w:rPr>
                <w:sz w:val="20"/>
              </w:rPr>
            </w:r>
          </w:p>
        </w:tc>
        <w:tc>
          <w:tcPr>
            <w:gridSpan w:val="2"/>
            <w:tcW w:w="4456" w:type="dxa"/>
            <w:tcBorders>
              <w:top w:val="nil"/>
              <w:left w:val="nil"/>
              <w:bottom w:val="nil"/>
              <w:right w:val="nil"/>
            </w:tcBorders>
            <w:vMerge w:val="restart"/>
          </w:tcPr>
          <w:p>
            <w:pPr>
              <w:pStyle w:val="0"/>
              <w:jc w:val="center"/>
            </w:pPr>
            <w:r>
              <w:rPr>
                <w:sz w:val="20"/>
              </w:rPr>
              <w:t xml:space="preserve">___________________________________</w:t>
            </w:r>
          </w:p>
          <w:p>
            <w:pPr>
              <w:pStyle w:val="0"/>
              <w:jc w:val="center"/>
            </w:pPr>
            <w:r>
              <w:rPr>
                <w:sz w:val="20"/>
              </w:rPr>
              <w:t xml:space="preserve">(должность, фамилия, имя,</w:t>
            </w:r>
          </w:p>
        </w:tc>
      </w:tr>
      <w:tr>
        <w:tc>
          <w:tcPr>
            <w:gridSpan w:val="2"/>
            <w:tcW w:w="4162" w:type="dxa"/>
            <w:tcBorders>
              <w:top w:val="nil"/>
              <w:left w:val="nil"/>
              <w:bottom w:val="nil"/>
              <w:right w:val="nil"/>
            </w:tcBorders>
          </w:tcPr>
          <w:p>
            <w:pPr>
              <w:pStyle w:val="0"/>
              <w:jc w:val="both"/>
            </w:pPr>
            <w:r>
              <w:rPr>
                <w:sz w:val="20"/>
              </w:rPr>
              <w:t xml:space="preserve">к/с ________________________________</w:t>
            </w:r>
          </w:p>
        </w:tc>
        <w:tc>
          <w:tcPr>
            <w:tcBorders>
              <w:top w:val="nil"/>
              <w:left w:val="nil"/>
              <w:bottom w:val="nil"/>
              <w:right w:val="nil"/>
            </w:tcBorders>
            <w:vMerge w:val="continue"/>
          </w:tcPr>
          <w:p/>
        </w:tc>
        <w:tc>
          <w:tcPr>
            <w:gridSpan w:val="2"/>
            <w:tcBorders>
              <w:top w:val="nil"/>
              <w:left w:val="nil"/>
              <w:bottom w:val="nil"/>
              <w:right w:val="nil"/>
            </w:tcBorders>
            <w:vMerge w:val="continue"/>
          </w:tcPr>
          <w:p/>
        </w:tc>
      </w:tr>
      <w:tr>
        <w:tc>
          <w:tcPr>
            <w:gridSpan w:val="2"/>
            <w:tcW w:w="4162" w:type="dxa"/>
            <w:tcBorders>
              <w:top w:val="nil"/>
              <w:left w:val="nil"/>
              <w:bottom w:val="nil"/>
              <w:right w:val="nil"/>
            </w:tcBorders>
          </w:tcPr>
          <w:p>
            <w:pPr>
              <w:pStyle w:val="0"/>
              <w:jc w:val="center"/>
            </w:pPr>
            <w:r>
              <w:rPr>
                <w:sz w:val="20"/>
              </w:rPr>
              <w:t xml:space="preserve">____________________________________</w:t>
            </w:r>
          </w:p>
          <w:p>
            <w:pPr>
              <w:pStyle w:val="0"/>
              <w:jc w:val="center"/>
            </w:pPr>
            <w:r>
              <w:rPr>
                <w:sz w:val="20"/>
              </w:rPr>
              <w:t xml:space="preserve">(должность, фамилия, имя, отчество</w:t>
            </w:r>
          </w:p>
          <w:p>
            <w:pPr>
              <w:pStyle w:val="0"/>
              <w:jc w:val="center"/>
            </w:pPr>
            <w:r>
              <w:rPr>
                <w:sz w:val="20"/>
              </w:rPr>
              <w:t xml:space="preserve">___________________________________</w:t>
            </w:r>
          </w:p>
          <w:p>
            <w:pPr>
              <w:pStyle w:val="0"/>
              <w:jc w:val="center"/>
            </w:pPr>
            <w:r>
              <w:rPr>
                <w:sz w:val="20"/>
              </w:rPr>
              <w:t xml:space="preserve">лица, действующего от имени сетевой организации)</w:t>
            </w:r>
          </w:p>
        </w:tc>
        <w:tc>
          <w:tcPr>
            <w:tcW w:w="360" w:type="dxa"/>
            <w:tcBorders>
              <w:top w:val="nil"/>
              <w:left w:val="nil"/>
              <w:bottom w:val="nil"/>
              <w:right w:val="nil"/>
            </w:tcBorders>
            <w:vMerge w:val="restart"/>
          </w:tcPr>
          <w:p>
            <w:pPr>
              <w:pStyle w:val="0"/>
            </w:pPr>
            <w:r>
              <w:rPr>
                <w:sz w:val="20"/>
              </w:rPr>
            </w:r>
          </w:p>
        </w:tc>
        <w:tc>
          <w:tcPr>
            <w:gridSpan w:val="2"/>
            <w:tcW w:w="4456" w:type="dxa"/>
            <w:tcBorders>
              <w:top w:val="nil"/>
              <w:left w:val="nil"/>
              <w:bottom w:val="nil"/>
              <w:right w:val="nil"/>
            </w:tcBorders>
            <w:vMerge w:val="restart"/>
          </w:tcPr>
          <w:p>
            <w:pPr>
              <w:pStyle w:val="0"/>
              <w:jc w:val="center"/>
            </w:pPr>
            <w:r>
              <w:rPr>
                <w:sz w:val="20"/>
              </w:rPr>
              <w:t xml:space="preserve">____________________________________</w:t>
            </w:r>
          </w:p>
          <w:p>
            <w:pPr>
              <w:pStyle w:val="0"/>
              <w:jc w:val="center"/>
            </w:pPr>
            <w:r>
              <w:rPr>
                <w:sz w:val="20"/>
              </w:rPr>
              <w:t xml:space="preserve">отчество лица, действующего от</w:t>
            </w:r>
          </w:p>
          <w:p>
            <w:pPr>
              <w:pStyle w:val="0"/>
              <w:jc w:val="center"/>
            </w:pPr>
            <w:r>
              <w:rPr>
                <w:sz w:val="20"/>
              </w:rPr>
              <w:t xml:space="preserve">____________________________________</w:t>
            </w:r>
          </w:p>
          <w:p>
            <w:pPr>
              <w:pStyle w:val="0"/>
              <w:jc w:val="center"/>
            </w:pPr>
            <w:r>
              <w:rPr>
                <w:sz w:val="20"/>
              </w:rPr>
              <w:t xml:space="preserve">имени юридического лица)</w:t>
            </w:r>
          </w:p>
          <w:p>
            <w:pPr>
              <w:pStyle w:val="0"/>
              <w:jc w:val="center"/>
            </w:pPr>
            <w:r>
              <w:rPr>
                <w:sz w:val="20"/>
              </w:rPr>
              <w:t xml:space="preserve">____________________________________</w:t>
            </w:r>
          </w:p>
          <w:p>
            <w:pPr>
              <w:pStyle w:val="0"/>
              <w:jc w:val="center"/>
            </w:pPr>
            <w:r>
              <w:rPr>
                <w:sz w:val="20"/>
              </w:rPr>
              <w:t xml:space="preserve">(место нахождения)</w:t>
            </w:r>
          </w:p>
        </w:tc>
      </w:tr>
      <w:tr>
        <w:tc>
          <w:tcPr>
            <w:tcW w:w="2291" w:type="dxa"/>
            <w:tcBorders>
              <w:top w:val="nil"/>
              <w:left w:val="nil"/>
              <w:bottom w:val="nil"/>
              <w:right w:val="nil"/>
            </w:tcBorders>
          </w:tcPr>
          <w:p>
            <w:pPr>
              <w:pStyle w:val="0"/>
            </w:pPr>
            <w:r>
              <w:rPr>
                <w:sz w:val="20"/>
              </w:rPr>
            </w:r>
          </w:p>
        </w:tc>
        <w:tc>
          <w:tcPr>
            <w:tcW w:w="1871" w:type="dxa"/>
            <w:tcBorders>
              <w:top w:val="nil"/>
              <w:left w:val="nil"/>
              <w:bottom w:val="nil"/>
              <w:right w:val="nil"/>
            </w:tcBorders>
          </w:tcPr>
          <w:p>
            <w:pPr>
              <w:pStyle w:val="0"/>
              <w:jc w:val="center"/>
            </w:pPr>
            <w:r>
              <w:rPr>
                <w:sz w:val="20"/>
              </w:rPr>
              <w:t xml:space="preserve">______________</w:t>
            </w:r>
          </w:p>
          <w:p>
            <w:pPr>
              <w:pStyle w:val="0"/>
              <w:jc w:val="center"/>
            </w:pPr>
            <w:r>
              <w:rPr>
                <w:sz w:val="20"/>
              </w:rPr>
              <w:t xml:space="preserve">(подпись)</w:t>
            </w:r>
          </w:p>
        </w:tc>
        <w:tc>
          <w:tcPr>
            <w:tcBorders>
              <w:top w:val="nil"/>
              <w:left w:val="nil"/>
              <w:bottom w:val="nil"/>
              <w:right w:val="nil"/>
            </w:tcBorders>
            <w:vMerge w:val="continue"/>
          </w:tcPr>
          <w:p/>
        </w:tc>
        <w:tc>
          <w:tcPr>
            <w:gridSpan w:val="2"/>
            <w:tcBorders>
              <w:top w:val="nil"/>
              <w:left w:val="nil"/>
              <w:bottom w:val="nil"/>
              <w:right w:val="nil"/>
            </w:tcBorders>
            <w:vMerge w:val="continue"/>
          </w:tcPr>
          <w:p/>
        </w:tc>
      </w:tr>
      <w:tr>
        <w:tc>
          <w:tcPr>
            <w:gridSpan w:val="2"/>
            <w:tcW w:w="4162" w:type="dxa"/>
            <w:tcBorders>
              <w:top w:val="nil"/>
              <w:left w:val="nil"/>
              <w:bottom w:val="nil"/>
              <w:right w:val="nil"/>
            </w:tcBorders>
            <w:vMerge w:val="restart"/>
          </w:tcPr>
          <w:p>
            <w:pPr>
              <w:pStyle w:val="0"/>
              <w:jc w:val="both"/>
            </w:pPr>
            <w:r>
              <w:rPr>
                <w:sz w:val="20"/>
              </w:rPr>
              <w:t xml:space="preserve">М.П.</w:t>
            </w:r>
          </w:p>
        </w:tc>
        <w:tc>
          <w:tcPr>
            <w:tcW w:w="360" w:type="dxa"/>
            <w:tcBorders>
              <w:top w:val="nil"/>
              <w:left w:val="nil"/>
              <w:bottom w:val="nil"/>
              <w:right w:val="nil"/>
            </w:tcBorders>
            <w:vMerge w:val="restart"/>
          </w:tcPr>
          <w:p>
            <w:pPr>
              <w:pStyle w:val="0"/>
            </w:pPr>
            <w:r>
              <w:rPr>
                <w:sz w:val="20"/>
              </w:rPr>
            </w:r>
          </w:p>
        </w:tc>
        <w:tc>
          <w:tcPr>
            <w:gridSpan w:val="2"/>
            <w:tcW w:w="4456" w:type="dxa"/>
            <w:tcBorders>
              <w:top w:val="nil"/>
              <w:left w:val="nil"/>
              <w:bottom w:val="nil"/>
              <w:right w:val="nil"/>
            </w:tcBorders>
          </w:tcPr>
          <w:p>
            <w:pPr>
              <w:pStyle w:val="0"/>
              <w:jc w:val="center"/>
            </w:pPr>
            <w:r>
              <w:rPr>
                <w:sz w:val="20"/>
              </w:rPr>
              <w:t xml:space="preserve">____________________________________</w:t>
            </w:r>
          </w:p>
          <w:p>
            <w:pPr>
              <w:pStyle w:val="0"/>
              <w:jc w:val="center"/>
            </w:pPr>
            <w:r>
              <w:rPr>
                <w:sz w:val="20"/>
              </w:rPr>
              <w:t xml:space="preserve">(для индивидуальных предпринимателей - фамилия, имя отчество)</w:t>
            </w:r>
          </w:p>
        </w:tc>
      </w:tr>
      <w:tr>
        <w:tc>
          <w:tcPr>
            <w:gridSpan w:val="2"/>
            <w:tcBorders>
              <w:top w:val="nil"/>
              <w:left w:val="nil"/>
              <w:bottom w:val="nil"/>
              <w:right w:val="nil"/>
            </w:tcBorders>
            <w:vMerge w:val="continue"/>
          </w:tcPr>
          <w:p/>
        </w:tc>
        <w:tc>
          <w:tcPr>
            <w:tcBorders>
              <w:top w:val="nil"/>
              <w:left w:val="nil"/>
              <w:bottom w:val="nil"/>
              <w:right w:val="nil"/>
            </w:tcBorders>
            <w:vMerge w:val="continue"/>
          </w:tcPr>
          <w:p/>
        </w:tc>
        <w:tc>
          <w:tcPr>
            <w:gridSpan w:val="2"/>
            <w:tcW w:w="4456" w:type="dxa"/>
            <w:tcBorders>
              <w:top w:val="nil"/>
              <w:left w:val="nil"/>
              <w:bottom w:val="nil"/>
              <w:right w:val="nil"/>
            </w:tcBorders>
          </w:tcPr>
          <w:p>
            <w:pPr>
              <w:pStyle w:val="0"/>
              <w:jc w:val="center"/>
            </w:pPr>
            <w:r>
              <w:rPr>
                <w:sz w:val="20"/>
              </w:rPr>
              <w:t xml:space="preserve">____________________________________</w:t>
            </w:r>
          </w:p>
          <w:p>
            <w:pPr>
              <w:pStyle w:val="0"/>
              <w:jc w:val="center"/>
            </w:pPr>
            <w:r>
              <w:rPr>
                <w:sz w:val="20"/>
              </w:rPr>
              <w:t xml:space="preserve">(номер записи в Едином государственном реестре индивидуальных предпринимателей и дата ее внесения в реестр)</w:t>
            </w:r>
          </w:p>
        </w:tc>
      </w:tr>
      <w:tr>
        <w:tc>
          <w:tcPr>
            <w:gridSpan w:val="2"/>
            <w:tcBorders>
              <w:top w:val="nil"/>
              <w:left w:val="nil"/>
              <w:bottom w:val="nil"/>
              <w:right w:val="nil"/>
            </w:tcBorders>
            <w:vMerge w:val="continue"/>
          </w:tcPr>
          <w:p/>
        </w:tc>
        <w:tc>
          <w:tcPr>
            <w:tcBorders>
              <w:top w:val="nil"/>
              <w:left w:val="nil"/>
              <w:bottom w:val="nil"/>
              <w:right w:val="nil"/>
            </w:tcBorders>
            <w:vMerge w:val="continue"/>
          </w:tcPr>
          <w:p/>
        </w:tc>
        <w:tc>
          <w:tcPr>
            <w:gridSpan w:val="2"/>
            <w:tcW w:w="4456" w:type="dxa"/>
            <w:tcBorders>
              <w:top w:val="nil"/>
              <w:left w:val="nil"/>
              <w:bottom w:val="nil"/>
              <w:right w:val="nil"/>
            </w:tcBorders>
          </w:tcPr>
          <w:p>
            <w:pPr>
              <w:pStyle w:val="0"/>
              <w:jc w:val="center"/>
            </w:pPr>
            <w:r>
              <w:rPr>
                <w:sz w:val="20"/>
              </w:rPr>
              <w:t xml:space="preserve">____________________________________</w:t>
            </w:r>
          </w:p>
          <w:p>
            <w:pPr>
              <w:pStyle w:val="0"/>
              <w:jc w:val="center"/>
            </w:pPr>
            <w:r>
              <w:rPr>
                <w:sz w:val="20"/>
              </w:rPr>
              <w:t xml:space="preserve">(серия, номер, дата и место выдачи</w:t>
            </w:r>
          </w:p>
          <w:p>
            <w:pPr>
              <w:pStyle w:val="0"/>
              <w:jc w:val="center"/>
            </w:pPr>
            <w:r>
              <w:rPr>
                <w:sz w:val="20"/>
              </w:rPr>
              <w:t xml:space="preserve">____________________________________</w:t>
            </w:r>
          </w:p>
          <w:p>
            <w:pPr>
              <w:pStyle w:val="0"/>
              <w:jc w:val="center"/>
            </w:pPr>
            <w:r>
              <w:rPr>
                <w:sz w:val="20"/>
              </w:rPr>
              <w:t xml:space="preserve">паспорта или иного документа,</w:t>
            </w:r>
          </w:p>
        </w:tc>
      </w:tr>
      <w:tr>
        <w:tc>
          <w:tcPr>
            <w:gridSpan w:val="2"/>
            <w:tcBorders>
              <w:top w:val="nil"/>
              <w:left w:val="nil"/>
              <w:bottom w:val="nil"/>
              <w:right w:val="nil"/>
            </w:tcBorders>
            <w:vMerge w:val="continue"/>
          </w:tcPr>
          <w:p/>
        </w:tc>
        <w:tc>
          <w:tcPr>
            <w:tcBorders>
              <w:top w:val="nil"/>
              <w:left w:val="nil"/>
              <w:bottom w:val="nil"/>
              <w:right w:val="nil"/>
            </w:tcBorders>
            <w:vMerge w:val="continue"/>
          </w:tcPr>
          <w:p/>
        </w:tc>
        <w:tc>
          <w:tcPr>
            <w:gridSpan w:val="2"/>
            <w:tcW w:w="4456" w:type="dxa"/>
            <w:tcBorders>
              <w:top w:val="nil"/>
              <w:left w:val="nil"/>
              <w:bottom w:val="nil"/>
              <w:right w:val="nil"/>
            </w:tcBorders>
          </w:tcPr>
          <w:p>
            <w:pPr>
              <w:pStyle w:val="0"/>
              <w:jc w:val="center"/>
            </w:pPr>
            <w:r>
              <w:rPr>
                <w:sz w:val="20"/>
              </w:rPr>
              <w:t xml:space="preserve">____________________________________</w:t>
            </w:r>
          </w:p>
          <w:p>
            <w:pPr>
              <w:pStyle w:val="0"/>
              <w:jc w:val="center"/>
            </w:pPr>
            <w:r>
              <w:rPr>
                <w:sz w:val="20"/>
              </w:rPr>
              <w:t xml:space="preserve">удостоверяющего личность в соответствии с законодательством Российской Федерации)</w:t>
            </w:r>
          </w:p>
        </w:tc>
      </w:tr>
      <w:tr>
        <w:tc>
          <w:tcPr>
            <w:gridSpan w:val="2"/>
            <w:tcBorders>
              <w:top w:val="nil"/>
              <w:left w:val="nil"/>
              <w:bottom w:val="nil"/>
              <w:right w:val="nil"/>
            </w:tcBorders>
            <w:vMerge w:val="continue"/>
          </w:tcPr>
          <w:p/>
        </w:tc>
        <w:tc>
          <w:tcPr>
            <w:tcBorders>
              <w:top w:val="nil"/>
              <w:left w:val="nil"/>
              <w:bottom w:val="nil"/>
              <w:right w:val="nil"/>
            </w:tcBorders>
            <w:vMerge w:val="continue"/>
          </w:tcPr>
          <w:p/>
        </w:tc>
        <w:tc>
          <w:tcPr>
            <w:gridSpan w:val="2"/>
            <w:tcW w:w="4456" w:type="dxa"/>
            <w:tcBorders>
              <w:top w:val="nil"/>
              <w:left w:val="nil"/>
              <w:bottom w:val="nil"/>
              <w:right w:val="nil"/>
            </w:tcBorders>
          </w:tcPr>
          <w:p>
            <w:pPr>
              <w:pStyle w:val="0"/>
            </w:pPr>
            <w:r>
              <w:rPr>
                <w:sz w:val="20"/>
              </w:rPr>
              <w:t xml:space="preserve">ИНН _______________________________</w:t>
            </w:r>
          </w:p>
          <w:p>
            <w:pPr>
              <w:pStyle w:val="0"/>
            </w:pPr>
            <w:r>
              <w:rPr>
                <w:sz w:val="20"/>
              </w:rPr>
              <w:t xml:space="preserve">____________________________________</w:t>
            </w:r>
          </w:p>
        </w:tc>
      </w:tr>
      <w:tr>
        <w:tc>
          <w:tcPr>
            <w:gridSpan w:val="2"/>
            <w:tcBorders>
              <w:top w:val="nil"/>
              <w:left w:val="nil"/>
              <w:bottom w:val="nil"/>
              <w:right w:val="nil"/>
            </w:tcBorders>
            <w:vMerge w:val="continue"/>
          </w:tcPr>
          <w:p/>
        </w:tc>
        <w:tc>
          <w:tcPr>
            <w:tcBorders>
              <w:top w:val="nil"/>
              <w:left w:val="nil"/>
              <w:bottom w:val="nil"/>
              <w:right w:val="nil"/>
            </w:tcBorders>
            <w:vMerge w:val="continue"/>
          </w:tcPr>
          <w:p/>
        </w:tc>
        <w:tc>
          <w:tcPr>
            <w:gridSpan w:val="2"/>
            <w:tcW w:w="4456" w:type="dxa"/>
            <w:tcBorders>
              <w:top w:val="nil"/>
              <w:left w:val="nil"/>
              <w:bottom w:val="nil"/>
              <w:right w:val="nil"/>
            </w:tcBorders>
          </w:tcPr>
          <w:p>
            <w:pPr>
              <w:pStyle w:val="0"/>
            </w:pPr>
            <w:r>
              <w:rPr>
                <w:sz w:val="20"/>
              </w:rPr>
              <w:t xml:space="preserve">Место жительства ____________________</w:t>
            </w:r>
          </w:p>
          <w:p>
            <w:pPr>
              <w:pStyle w:val="0"/>
            </w:pPr>
            <w:r>
              <w:rPr>
                <w:sz w:val="20"/>
              </w:rPr>
              <w:t xml:space="preserve">____________________________________</w:t>
            </w:r>
          </w:p>
        </w:tc>
      </w:tr>
      <w:tr>
        <w:tc>
          <w:tcPr>
            <w:gridSpan w:val="2"/>
            <w:tcBorders>
              <w:top w:val="nil"/>
              <w:left w:val="nil"/>
              <w:bottom w:val="nil"/>
              <w:right w:val="nil"/>
            </w:tcBorders>
            <w:vMerge w:val="continue"/>
          </w:tcPr>
          <w:p/>
        </w:tc>
        <w:tc>
          <w:tcPr>
            <w:tcBorders>
              <w:top w:val="nil"/>
              <w:left w:val="nil"/>
              <w:bottom w:val="nil"/>
              <w:right w:val="nil"/>
            </w:tcBorders>
            <w:vMerge w:val="continue"/>
          </w:tcPr>
          <w:p/>
        </w:tc>
        <w:tc>
          <w:tcPr>
            <w:tcW w:w="2302" w:type="dxa"/>
            <w:tcBorders>
              <w:top w:val="nil"/>
              <w:left w:val="nil"/>
              <w:bottom w:val="nil"/>
              <w:right w:val="nil"/>
            </w:tcBorders>
          </w:tcPr>
          <w:p>
            <w:pPr>
              <w:pStyle w:val="0"/>
            </w:pPr>
            <w:r>
              <w:rPr>
                <w:sz w:val="20"/>
              </w:rPr>
            </w:r>
          </w:p>
        </w:tc>
        <w:tc>
          <w:tcPr>
            <w:tcW w:w="2154" w:type="dxa"/>
            <w:tcBorders>
              <w:top w:val="nil"/>
              <w:left w:val="nil"/>
              <w:bottom w:val="nil"/>
              <w:right w:val="nil"/>
            </w:tcBorders>
          </w:tcPr>
          <w:p>
            <w:pPr>
              <w:pStyle w:val="0"/>
              <w:jc w:val="center"/>
            </w:pPr>
            <w:r>
              <w:rPr>
                <w:sz w:val="20"/>
              </w:rPr>
              <w:t xml:space="preserve">_____________</w:t>
            </w:r>
          </w:p>
          <w:p>
            <w:pPr>
              <w:pStyle w:val="0"/>
              <w:jc w:val="center"/>
            </w:pPr>
            <w:r>
              <w:rPr>
                <w:sz w:val="20"/>
              </w:rPr>
              <w:t xml:space="preserve">(подпись)</w:t>
            </w:r>
          </w:p>
        </w:tc>
      </w:tr>
      <w:tr>
        <w:tc>
          <w:tcPr>
            <w:gridSpan w:val="2"/>
            <w:tcW w:w="4162" w:type="dxa"/>
            <w:tcBorders>
              <w:top w:val="nil"/>
              <w:left w:val="nil"/>
              <w:bottom w:val="nil"/>
              <w:right w:val="nil"/>
            </w:tcBorders>
          </w:tcPr>
          <w:p>
            <w:pPr>
              <w:pStyle w:val="0"/>
            </w:pPr>
            <w:r>
              <w:rPr>
                <w:sz w:val="20"/>
              </w:rPr>
            </w:r>
          </w:p>
        </w:tc>
        <w:tc>
          <w:tcPr>
            <w:tcW w:w="360" w:type="dxa"/>
            <w:tcBorders>
              <w:top w:val="nil"/>
              <w:left w:val="nil"/>
              <w:bottom w:val="nil"/>
              <w:right w:val="nil"/>
            </w:tcBorders>
          </w:tcPr>
          <w:p>
            <w:pPr>
              <w:pStyle w:val="0"/>
            </w:pPr>
            <w:r>
              <w:rPr>
                <w:sz w:val="20"/>
              </w:rPr>
            </w:r>
          </w:p>
        </w:tc>
        <w:tc>
          <w:tcPr>
            <w:gridSpan w:val="2"/>
            <w:tcW w:w="4456" w:type="dxa"/>
            <w:tcBorders>
              <w:top w:val="nil"/>
              <w:left w:val="nil"/>
              <w:bottom w:val="nil"/>
              <w:right w:val="nil"/>
            </w:tcBorders>
          </w:tcPr>
          <w:p>
            <w:pPr>
              <w:pStyle w:val="0"/>
            </w:pPr>
            <w:r>
              <w:rPr>
                <w:sz w:val="20"/>
              </w:rPr>
              <w:t xml:space="preserve">М.П.</w:t>
            </w:r>
          </w:p>
        </w:tc>
      </w:tr>
    </w:tbl>
    <w:p>
      <w:pPr>
        <w:pStyle w:val="0"/>
        <w:jc w:val="both"/>
      </w:pPr>
      <w:r>
        <w:rPr>
          <w:sz w:val="20"/>
        </w:rPr>
      </w:r>
    </w:p>
    <w:p>
      <w:pPr>
        <w:pStyle w:val="0"/>
        <w:ind w:firstLine="540"/>
        <w:jc w:val="both"/>
      </w:pPr>
      <w:r>
        <w:rPr>
          <w:sz w:val="20"/>
        </w:rPr>
        <w:t xml:space="preserve">--------------------------------</w:t>
      </w:r>
    </w:p>
    <w:bookmarkStart w:id="4920" w:name="P4920"/>
    <w:bookmarkEnd w:id="4920"/>
    <w:p>
      <w:pPr>
        <w:pStyle w:val="0"/>
        <w:spacing w:before="200" w:line-rule="auto"/>
        <w:ind w:firstLine="540"/>
        <w:jc w:val="both"/>
      </w:pPr>
      <w:r>
        <w:rPr>
          <w:sz w:val="20"/>
        </w:rPr>
        <w:t xml:space="preserve">&lt;1&gt;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bookmarkStart w:id="4921" w:name="P4921"/>
    <w:bookmarkEnd w:id="4921"/>
    <w:p>
      <w:pPr>
        <w:pStyle w:val="0"/>
        <w:spacing w:before="200" w:line-rule="auto"/>
        <w:ind w:firstLine="540"/>
        <w:jc w:val="both"/>
      </w:pPr>
      <w:r>
        <w:rPr>
          <w:sz w:val="20"/>
        </w:rPr>
        <w:t xml:space="preserve">&lt;2&gt; Срок действия технических условий не может составлять менее 2 лет и более 5 лет.</w:t>
      </w:r>
    </w:p>
    <w:bookmarkStart w:id="4922" w:name="P4922"/>
    <w:bookmarkEnd w:id="4922"/>
    <w:p>
      <w:pPr>
        <w:pStyle w:val="0"/>
        <w:spacing w:before="200" w:line-rule="auto"/>
        <w:ind w:firstLine="540"/>
        <w:jc w:val="both"/>
      </w:pPr>
      <w:r>
        <w:rPr>
          <w:sz w:val="20"/>
        </w:rPr>
        <w:t xml:space="preserve">&lt;3&gt;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bookmarkStart w:id="4923" w:name="P4923"/>
    <w:bookmarkEnd w:id="4923"/>
    <w:p>
      <w:pPr>
        <w:pStyle w:val="0"/>
        <w:spacing w:before="200" w:line-rule="auto"/>
        <w:ind w:firstLine="540"/>
        <w:jc w:val="both"/>
      </w:pPr>
      <w:r>
        <w:rPr>
          <w:sz w:val="20"/>
        </w:rPr>
        <w:t xml:space="preserve">&lt;4&gt; До выполнения лицом, максимальная мощность энергопринимающих устройств которого перераспределяется по соглашению о перераспределении мощности, требований сетевой организации, указанных в </w:t>
      </w:r>
      <w:hyperlink w:history="0" w:anchor="P4798" w:tooltip="6. Сетевая организация обязуется:">
        <w:r>
          <w:rPr>
            <w:sz w:val="20"/>
            <w:color w:val="0000ff"/>
          </w:rPr>
          <w:t xml:space="preserve">пункте 6</w:t>
        </w:r>
      </w:hyperlink>
      <w:r>
        <w:rPr>
          <w:sz w:val="20"/>
        </w:rPr>
        <w:t xml:space="preserve"> настоящего договора, фактическое присоединение энергопринимающих устройств лица, в пользу которого перераспределена максимальная мощность, не производится.</w:t>
      </w:r>
    </w:p>
    <w:bookmarkStart w:id="4924" w:name="P4924"/>
    <w:bookmarkEnd w:id="4924"/>
    <w:p>
      <w:pPr>
        <w:pStyle w:val="0"/>
        <w:spacing w:before="200" w:line-rule="auto"/>
        <w:ind w:firstLine="540"/>
        <w:jc w:val="both"/>
      </w:pPr>
      <w:r>
        <w:rPr>
          <w:sz w:val="20"/>
        </w:rPr>
        <w:t xml:space="preserve">&lt;5&gt;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w:t>
      </w:r>
    </w:p>
    <w:p>
      <w:pPr>
        <w:pStyle w:val="0"/>
        <w:jc w:val="right"/>
      </w:pPr>
      <w:r>
        <w:rPr>
          <w:sz w:val="20"/>
        </w:rPr>
        <w:t xml:space="preserve">к типовому договору</w:t>
      </w:r>
    </w:p>
    <w:p>
      <w:pPr>
        <w:pStyle w:val="0"/>
        <w:jc w:val="right"/>
      </w:pPr>
      <w:r>
        <w:rPr>
          <w:sz w:val="20"/>
        </w:rPr>
        <w:t xml:space="preserve">об осуществлении технологического</w:t>
      </w:r>
    </w:p>
    <w:p>
      <w:pPr>
        <w:pStyle w:val="0"/>
        <w:jc w:val="right"/>
      </w:pPr>
      <w:r>
        <w:rPr>
          <w:sz w:val="20"/>
        </w:rPr>
        <w:t xml:space="preserve">присоединения к электрическим сетям</w:t>
      </w:r>
    </w:p>
    <w:p>
      <w:pPr>
        <w:pStyle w:val="0"/>
        <w:jc w:val="right"/>
      </w:pPr>
      <w:r>
        <w:rPr>
          <w:sz w:val="20"/>
        </w:rPr>
        <w:t xml:space="preserve">посредством перераспределения</w:t>
      </w:r>
    </w:p>
    <w:p>
      <w:pPr>
        <w:pStyle w:val="0"/>
        <w:jc w:val="right"/>
      </w:pPr>
      <w:r>
        <w:rPr>
          <w:sz w:val="20"/>
        </w:rPr>
        <w:t xml:space="preserve">максимальной мощности</w:t>
      </w:r>
    </w:p>
    <w:p>
      <w:pPr>
        <w:pStyle w:val="0"/>
        <w:jc w:val="both"/>
      </w:pPr>
      <w:r>
        <w:rPr>
          <w:sz w:val="20"/>
        </w:rPr>
      </w:r>
    </w:p>
    <w:bookmarkStart w:id="4937" w:name="P4937"/>
    <w:bookmarkEnd w:id="4937"/>
    <w:p>
      <w:pPr>
        <w:pStyle w:val="1"/>
        <w:jc w:val="both"/>
      </w:pPr>
      <w:r>
        <w:rPr>
          <w:sz w:val="20"/>
        </w:rPr>
        <w:t xml:space="preserve">                            ТЕХНИЧЕСКИЕ УСЛОВИЯ</w:t>
      </w:r>
    </w:p>
    <w:p>
      <w:pPr>
        <w:pStyle w:val="1"/>
        <w:jc w:val="both"/>
      </w:pPr>
      <w:r>
        <w:rPr>
          <w:sz w:val="20"/>
        </w:rPr>
        <w:t xml:space="preserve">            для присоединения к электрическим сетям посредством</w:t>
      </w:r>
    </w:p>
    <w:p>
      <w:pPr>
        <w:pStyle w:val="1"/>
        <w:jc w:val="both"/>
      </w:pPr>
      <w:r>
        <w:rPr>
          <w:sz w:val="20"/>
        </w:rPr>
        <w:t xml:space="preserve">                  перераспределения максимальной мощности</w:t>
      </w:r>
    </w:p>
    <w:p>
      <w:pPr>
        <w:pStyle w:val="1"/>
        <w:jc w:val="both"/>
      </w:pPr>
      <w:r>
        <w:rPr>
          <w:sz w:val="20"/>
        </w:rPr>
      </w:r>
    </w:p>
    <w:p>
      <w:pPr>
        <w:pStyle w:val="1"/>
        <w:jc w:val="both"/>
      </w:pPr>
      <w:r>
        <w:rPr>
          <w:sz w:val="20"/>
        </w:rPr>
        <w:t xml:space="preserve">                  (для заявителей, заключивших соглашение</w:t>
      </w:r>
    </w:p>
    <w:p>
      <w:pPr>
        <w:pStyle w:val="1"/>
        <w:jc w:val="both"/>
      </w:pPr>
      <w:r>
        <w:rPr>
          <w:sz w:val="20"/>
        </w:rPr>
        <w:t xml:space="preserve">          о перераспределении максимальной мощности с владельцами</w:t>
      </w:r>
    </w:p>
    <w:p>
      <w:pPr>
        <w:pStyle w:val="1"/>
        <w:jc w:val="both"/>
      </w:pPr>
      <w:r>
        <w:rPr>
          <w:sz w:val="20"/>
        </w:rPr>
        <w:t xml:space="preserve">        энергопринимающих устройств (за исключением лиц, указанных</w:t>
      </w:r>
    </w:p>
    <w:p>
      <w:pPr>
        <w:pStyle w:val="1"/>
        <w:jc w:val="both"/>
      </w:pPr>
      <w:r>
        <w:rPr>
          <w:sz w:val="20"/>
        </w:rPr>
        <w:t xml:space="preserve">           в </w:t>
      </w:r>
      <w:hyperlink w:history="0" w:anchor="P1088"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
        <w:r>
          <w:rPr>
            <w:sz w:val="20"/>
            <w:color w:val="0000ff"/>
          </w:rPr>
          <w:t xml:space="preserve">пункте 12(1)</w:t>
        </w:r>
      </w:hyperlink>
      <w:r>
        <w:rPr>
          <w:sz w:val="20"/>
        </w:rPr>
        <w:t xml:space="preserve"> Правил технологического присоединения</w:t>
      </w:r>
    </w:p>
    <w:p>
      <w:pPr>
        <w:pStyle w:val="1"/>
        <w:jc w:val="both"/>
      </w:pPr>
      <w:r>
        <w:rPr>
          <w:sz w:val="20"/>
        </w:rPr>
        <w:t xml:space="preserve">          энергопринимающих устройств потребителей электрической</w:t>
      </w:r>
    </w:p>
    <w:p>
      <w:pPr>
        <w:pStyle w:val="1"/>
        <w:jc w:val="both"/>
      </w:pPr>
      <w:r>
        <w:rPr>
          <w:sz w:val="20"/>
        </w:rPr>
        <w:t xml:space="preserve">         энергии, объектов по производству электрической энергии,</w:t>
      </w:r>
    </w:p>
    <w:p>
      <w:pPr>
        <w:pStyle w:val="1"/>
        <w:jc w:val="both"/>
      </w:pPr>
      <w:r>
        <w:rPr>
          <w:sz w:val="20"/>
        </w:rPr>
        <w:t xml:space="preserve">     а также объектов электросетевого хозяйства, принадлежащих сетевым</w:t>
      </w:r>
    </w:p>
    <w:p>
      <w:pPr>
        <w:pStyle w:val="1"/>
        <w:jc w:val="both"/>
      </w:pPr>
      <w:r>
        <w:rPr>
          <w:sz w:val="20"/>
        </w:rPr>
        <w:t xml:space="preserve">      организациям и иным лицам, к электрическим сетям, максимальная</w:t>
      </w:r>
    </w:p>
    <w:p>
      <w:pPr>
        <w:pStyle w:val="1"/>
        <w:jc w:val="both"/>
      </w:pPr>
      <w:r>
        <w:rPr>
          <w:sz w:val="20"/>
        </w:rPr>
        <w:t xml:space="preserve">          мощность энергопринимающих устройств которых составляет</w:t>
      </w:r>
    </w:p>
    <w:p>
      <w:pPr>
        <w:pStyle w:val="1"/>
        <w:jc w:val="both"/>
      </w:pPr>
      <w:r>
        <w:rPr>
          <w:sz w:val="20"/>
        </w:rPr>
        <w:t xml:space="preserve">         до 15 кВт включительно, лиц, указанных в </w:t>
      </w:r>
      <w:hyperlink w:history="0" w:anchor="P1101" w:tooltip="13. В заявке, направляемой заявителем в целях временного технологического присоединения, предусмотренного разделом VII настоящих Правил, указывается:">
        <w:r>
          <w:rPr>
            <w:sz w:val="20"/>
            <w:color w:val="0000ff"/>
          </w:rPr>
          <w:t xml:space="preserve">пунктах 13</w:t>
        </w:r>
      </w:hyperlink>
      <w:r>
        <w:rPr>
          <w:sz w:val="20"/>
        </w:rPr>
        <w:t xml:space="preserve"> и </w:t>
      </w:r>
      <w:hyperlink w:history="0" w:anchor="P1167"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
        <w:r>
          <w:rPr>
            <w:sz w:val="20"/>
            <w:color w:val="0000ff"/>
          </w:rPr>
          <w:t xml:space="preserve">14</w:t>
        </w:r>
      </w:hyperlink>
    </w:p>
    <w:p>
      <w:pPr>
        <w:pStyle w:val="1"/>
        <w:jc w:val="both"/>
      </w:pPr>
      <w:r>
        <w:rPr>
          <w:sz w:val="20"/>
        </w:rPr>
        <w:t xml:space="preserve">          указанных Правил, лиц, присоединенных к объектам единой</w:t>
      </w:r>
    </w:p>
    <w:p>
      <w:pPr>
        <w:pStyle w:val="1"/>
        <w:jc w:val="both"/>
      </w:pPr>
      <w:r>
        <w:rPr>
          <w:sz w:val="20"/>
        </w:rPr>
        <w:t xml:space="preserve">      национальной (общероссийской) электрической сети, а также лиц,</w:t>
      </w:r>
    </w:p>
    <w:p>
      <w:pPr>
        <w:pStyle w:val="1"/>
        <w:jc w:val="both"/>
      </w:pPr>
      <w:r>
        <w:rPr>
          <w:sz w:val="20"/>
        </w:rPr>
        <w:t xml:space="preserve">      не внесших плату за технологическое присоединение либо внесших</w:t>
      </w:r>
    </w:p>
    <w:p>
      <w:pPr>
        <w:pStyle w:val="1"/>
        <w:jc w:val="both"/>
      </w:pPr>
      <w:r>
        <w:rPr>
          <w:sz w:val="20"/>
        </w:rPr>
        <w:t xml:space="preserve">        плату за технологическое присоединение не в полном объеме),</w:t>
      </w:r>
    </w:p>
    <w:p>
      <w:pPr>
        <w:pStyle w:val="1"/>
        <w:jc w:val="both"/>
      </w:pPr>
      <w:r>
        <w:rPr>
          <w:sz w:val="20"/>
        </w:rPr>
        <w:t xml:space="preserve">      имеющими на праве собственности или на ином законном основании</w:t>
      </w:r>
    </w:p>
    <w:p>
      <w:pPr>
        <w:pStyle w:val="1"/>
        <w:jc w:val="both"/>
      </w:pPr>
      <w:r>
        <w:rPr>
          <w:sz w:val="20"/>
        </w:rPr>
        <w:t xml:space="preserve">             энергопринимающие устройства, в отношении которых</w:t>
      </w:r>
    </w:p>
    <w:p>
      <w:pPr>
        <w:pStyle w:val="1"/>
        <w:jc w:val="both"/>
      </w:pPr>
      <w:r>
        <w:rPr>
          <w:sz w:val="20"/>
        </w:rPr>
        <w:t xml:space="preserve">             до 1 января 2009 г. в установленном порядке было</w:t>
      </w:r>
    </w:p>
    <w:p>
      <w:pPr>
        <w:pStyle w:val="1"/>
        <w:jc w:val="both"/>
      </w:pPr>
      <w:r>
        <w:rPr>
          <w:sz w:val="20"/>
        </w:rPr>
        <w:t xml:space="preserve">                 осуществлено фактическое технологическое</w:t>
      </w:r>
    </w:p>
    <w:p>
      <w:pPr>
        <w:pStyle w:val="1"/>
        <w:jc w:val="both"/>
      </w:pPr>
      <w:r>
        <w:rPr>
          <w:sz w:val="20"/>
        </w:rPr>
        <w:t xml:space="preserve">                   присоединение к электрическим сетям)</w:t>
      </w:r>
    </w:p>
    <w:p>
      <w:pPr>
        <w:pStyle w:val="1"/>
        <w:jc w:val="both"/>
      </w:pPr>
      <w:r>
        <w:rPr>
          <w:sz w:val="20"/>
        </w:rPr>
      </w:r>
    </w:p>
    <w:p>
      <w:pPr>
        <w:pStyle w:val="1"/>
        <w:jc w:val="both"/>
      </w:pPr>
      <w:r>
        <w:rPr>
          <w:sz w:val="20"/>
        </w:rPr>
        <w:t xml:space="preserve">N                                                "__" _____________ 20__ г.</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сетевой организации, выдавшей технические условия)</w:t>
      </w:r>
    </w:p>
    <w:p>
      <w:pPr>
        <w:pStyle w:val="1"/>
        <w:jc w:val="both"/>
      </w:pPr>
      <w:r>
        <w:rPr>
          <w:sz w:val="20"/>
        </w:rPr>
        <w:t xml:space="preserve">___________________________________________________________________________</w:t>
      </w:r>
    </w:p>
    <w:p>
      <w:pPr>
        <w:pStyle w:val="1"/>
        <w:jc w:val="both"/>
      </w:pPr>
      <w:r>
        <w:rPr>
          <w:sz w:val="20"/>
        </w:rPr>
        <w:t xml:space="preserve">            (полное наименование заявителя - юридического лица;</w:t>
      </w:r>
    </w:p>
    <w:p>
      <w:pPr>
        <w:pStyle w:val="1"/>
        <w:jc w:val="both"/>
      </w:pPr>
      <w:r>
        <w:rPr>
          <w:sz w:val="20"/>
        </w:rPr>
        <w:t xml:space="preserve">    фамилия, имя, отчество заявителя - индивидуального предпринимателя)</w:t>
      </w:r>
    </w:p>
    <w:p>
      <w:pPr>
        <w:pStyle w:val="1"/>
        <w:jc w:val="both"/>
      </w:pPr>
      <w:r>
        <w:rPr>
          <w:sz w:val="20"/>
        </w:rPr>
        <w:t xml:space="preserve">    1. Наименование энергопринимающих устройств заявителя _________________</w:t>
      </w:r>
    </w:p>
    <w:p>
      <w:pPr>
        <w:pStyle w:val="1"/>
        <w:jc w:val="both"/>
      </w:pPr>
      <w:r>
        <w:rPr>
          <w:sz w:val="20"/>
        </w:rPr>
        <w:t xml:space="preserve">__________________________________________________________________________.</w:t>
      </w:r>
    </w:p>
    <w:p>
      <w:pPr>
        <w:pStyle w:val="1"/>
        <w:jc w:val="both"/>
      </w:pPr>
      <w:r>
        <w:rPr>
          <w:sz w:val="20"/>
        </w:rPr>
        <w:t xml:space="preserve">    2. Наименование  и  место нахождения объектов, в целях электроснабжения</w:t>
      </w:r>
    </w:p>
    <w:p>
      <w:pPr>
        <w:pStyle w:val="1"/>
        <w:jc w:val="both"/>
      </w:pPr>
      <w:r>
        <w:rPr>
          <w:sz w:val="20"/>
        </w:rPr>
        <w:t xml:space="preserve">которых   осуществляется  технологическое  присоединение  энергопринимающих</w:t>
      </w:r>
    </w:p>
    <w:p>
      <w:pPr>
        <w:pStyle w:val="1"/>
        <w:jc w:val="both"/>
      </w:pPr>
      <w:r>
        <w:rPr>
          <w:sz w:val="20"/>
        </w:rPr>
        <w:t xml:space="preserve">устройств заявителя 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3.  Максимальная  мощность  присоединяемых  энергопринимающих устройств</w:t>
      </w:r>
    </w:p>
    <w:p>
      <w:pPr>
        <w:pStyle w:val="1"/>
        <w:jc w:val="both"/>
      </w:pPr>
      <w:r>
        <w:rPr>
          <w:sz w:val="20"/>
        </w:rPr>
        <w:t xml:space="preserve">заявителя составляет ________________________________________________ (кВт)</w:t>
      </w:r>
    </w:p>
    <w:p>
      <w:pPr>
        <w:pStyle w:val="1"/>
        <w:jc w:val="both"/>
      </w:pPr>
      <w:r>
        <w:rPr>
          <w:sz w:val="20"/>
        </w:rPr>
        <w:t xml:space="preserve">                       (если энергопринимающее устройство вводится</w:t>
      </w:r>
    </w:p>
    <w:p>
      <w:pPr>
        <w:pStyle w:val="1"/>
        <w:jc w:val="both"/>
      </w:pPr>
      <w:r>
        <w:rPr>
          <w:sz w:val="20"/>
        </w:rPr>
        <w:t xml:space="preserve">__________________________________________________________________________.</w:t>
      </w:r>
    </w:p>
    <w:p>
      <w:pPr>
        <w:pStyle w:val="1"/>
        <w:jc w:val="both"/>
      </w:pPr>
      <w:r>
        <w:rPr>
          <w:sz w:val="20"/>
        </w:rPr>
        <w:t xml:space="preserve">        в эксплуатацию по этапам и очередям, указывается поэтапное</w:t>
      </w:r>
    </w:p>
    <w:p>
      <w:pPr>
        <w:pStyle w:val="1"/>
        <w:jc w:val="both"/>
      </w:pPr>
      <w:r>
        <w:rPr>
          <w:sz w:val="20"/>
        </w:rPr>
        <w:t xml:space="preserve">                          распределение мощности)</w:t>
      </w:r>
    </w:p>
    <w:p>
      <w:pPr>
        <w:pStyle w:val="1"/>
        <w:jc w:val="both"/>
      </w:pPr>
      <w:r>
        <w:rPr>
          <w:sz w:val="20"/>
        </w:rPr>
        <w:t xml:space="preserve">    4. Категория надежности ______________________________________________.</w:t>
      </w:r>
    </w:p>
    <w:p>
      <w:pPr>
        <w:pStyle w:val="1"/>
        <w:jc w:val="both"/>
      </w:pPr>
      <w:r>
        <w:rPr>
          <w:sz w:val="20"/>
        </w:rPr>
        <w:t xml:space="preserve">    5.  Класс  напряжения  электрических  сетей,  к  которым осуществляется</w:t>
      </w:r>
    </w:p>
    <w:p>
      <w:pPr>
        <w:pStyle w:val="1"/>
        <w:jc w:val="both"/>
      </w:pPr>
      <w:r>
        <w:rPr>
          <w:sz w:val="20"/>
        </w:rPr>
        <w:t xml:space="preserve">технологическое присоединение _________________ (кВ).</w:t>
      </w:r>
    </w:p>
    <w:p>
      <w:pPr>
        <w:pStyle w:val="1"/>
        <w:jc w:val="both"/>
      </w:pPr>
      <w:r>
        <w:rPr>
          <w:sz w:val="20"/>
        </w:rPr>
        <w:t xml:space="preserve">    6.  Год  ввода  в  эксплуатацию  энергопринимающих  устройств заявителя</w:t>
      </w:r>
    </w:p>
    <w:p>
      <w:pPr>
        <w:pStyle w:val="1"/>
        <w:jc w:val="both"/>
      </w:pPr>
      <w:r>
        <w:rPr>
          <w:sz w:val="20"/>
        </w:rPr>
        <w:t xml:space="preserve">__________________________________________________________________________.</w:t>
      </w:r>
    </w:p>
    <w:p>
      <w:pPr>
        <w:pStyle w:val="1"/>
        <w:jc w:val="both"/>
      </w:pPr>
      <w:r>
        <w:rPr>
          <w:sz w:val="20"/>
        </w:rPr>
        <w:t xml:space="preserve">    7.  Точка  (точки) присоединения (вводные распределительные устройства,</w:t>
      </w:r>
    </w:p>
    <w:p>
      <w:pPr>
        <w:pStyle w:val="1"/>
        <w:jc w:val="both"/>
      </w:pPr>
      <w:r>
        <w:rPr>
          <w:sz w:val="20"/>
        </w:rPr>
        <w:t xml:space="preserve">линии  электропередачи,  базовые  подстанции,  генераторы)  и  максимальная</w:t>
      </w:r>
    </w:p>
    <w:p>
      <w:pPr>
        <w:pStyle w:val="1"/>
        <w:jc w:val="both"/>
      </w:pPr>
      <w:r>
        <w:rPr>
          <w:sz w:val="20"/>
        </w:rPr>
        <w:t xml:space="preserve">мощность   энергопринимающих   устройств   по  каждой  точке  присоединения</w:t>
      </w:r>
    </w:p>
    <w:p>
      <w:pPr>
        <w:pStyle w:val="1"/>
        <w:jc w:val="both"/>
      </w:pPr>
      <w:r>
        <w:rPr>
          <w:sz w:val="20"/>
        </w:rPr>
        <w:t xml:space="preserve">____________________________________________________________________ (кВт).</w:t>
      </w:r>
    </w:p>
    <w:p>
      <w:pPr>
        <w:pStyle w:val="1"/>
        <w:jc w:val="both"/>
      </w:pPr>
      <w:r>
        <w:rPr>
          <w:sz w:val="20"/>
        </w:rPr>
        <w:t xml:space="preserve">    8. Основной источник питания _________________________________________.</w:t>
      </w:r>
    </w:p>
    <w:p>
      <w:pPr>
        <w:pStyle w:val="1"/>
        <w:jc w:val="both"/>
      </w:pPr>
      <w:r>
        <w:rPr>
          <w:sz w:val="20"/>
        </w:rPr>
        <w:t xml:space="preserve">    9. Резервный источник питания ________________________________________.</w:t>
      </w:r>
    </w:p>
    <w:p>
      <w:pPr>
        <w:pStyle w:val="1"/>
        <w:jc w:val="both"/>
      </w:pPr>
      <w:r>
        <w:rPr>
          <w:sz w:val="20"/>
        </w:rPr>
        <w:t xml:space="preserve">    10. Сетевая организация осуществляет </w:t>
      </w:r>
      <w:hyperlink w:history="0" w:anchor="P5030" w:tooltip="&lt;1&gt; Указываются обязательства сетевой организации по исполнению настоящих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
        <w:r>
          <w:rPr>
            <w:sz w:val="20"/>
            <w:color w:val="0000ff"/>
          </w:rPr>
          <w:t xml:space="preserve">&lt;1&gt;</w:t>
        </w:r>
      </w:hyperlink>
    </w:p>
    <w:p>
      <w:pPr>
        <w:pStyle w:val="1"/>
        <w:jc w:val="both"/>
      </w:pPr>
      <w:r>
        <w:rPr>
          <w:sz w:val="20"/>
        </w:rPr>
        <w:t xml:space="preserve">___________________________________________________________________________</w:t>
      </w:r>
    </w:p>
    <w:p>
      <w:pPr>
        <w:pStyle w:val="1"/>
        <w:jc w:val="both"/>
      </w:pPr>
      <w:r>
        <w:rPr>
          <w:sz w:val="20"/>
        </w:rPr>
        <w:t xml:space="preserve">(указываются требования к усилению существующей электрической сети в связи</w:t>
      </w:r>
    </w:p>
    <w:p>
      <w:pPr>
        <w:pStyle w:val="1"/>
        <w:jc w:val="both"/>
      </w:pPr>
      <w:r>
        <w:rPr>
          <w:sz w:val="20"/>
        </w:rPr>
        <w:t xml:space="preserve">___________________________________________________________________________</w:t>
      </w:r>
    </w:p>
    <w:p>
      <w:pPr>
        <w:pStyle w:val="1"/>
        <w:jc w:val="both"/>
      </w:pPr>
      <w:r>
        <w:rPr>
          <w:sz w:val="20"/>
        </w:rPr>
        <w:t xml:space="preserve">        с присоединением новых мощностей (строительство новых линий</w:t>
      </w:r>
    </w:p>
    <w:p>
      <w:pPr>
        <w:pStyle w:val="1"/>
        <w:jc w:val="both"/>
      </w:pPr>
      <w:r>
        <w:rPr>
          <w:sz w:val="20"/>
        </w:rPr>
        <w:t xml:space="preserve">___________________________________________________________________________</w:t>
      </w:r>
    </w:p>
    <w:p>
      <w:pPr>
        <w:pStyle w:val="1"/>
        <w:jc w:val="both"/>
      </w:pPr>
      <w:r>
        <w:rPr>
          <w:sz w:val="20"/>
        </w:rPr>
        <w:t xml:space="preserve">электропередачи, подстанций, увеличение сечения проводов и кабелей, замена</w:t>
      </w:r>
    </w:p>
    <w:p>
      <w:pPr>
        <w:pStyle w:val="1"/>
        <w:jc w:val="both"/>
      </w:pPr>
      <w:r>
        <w:rPr>
          <w:sz w:val="20"/>
        </w:rPr>
        <w:t xml:space="preserve">___________________________________________________________________________</w:t>
      </w:r>
    </w:p>
    <w:p>
      <w:pPr>
        <w:pStyle w:val="1"/>
        <w:jc w:val="both"/>
      </w:pPr>
      <w:r>
        <w:rPr>
          <w:sz w:val="20"/>
        </w:rPr>
        <w:t xml:space="preserve">   или увеличение мощности трансформаторов, расширение распределительных</w:t>
      </w:r>
    </w:p>
    <w:p>
      <w:pPr>
        <w:pStyle w:val="1"/>
        <w:jc w:val="both"/>
      </w:pPr>
      <w:r>
        <w:rPr>
          <w:sz w:val="20"/>
        </w:rPr>
        <w:t xml:space="preserve">___________________________________________________________________________</w:t>
      </w:r>
    </w:p>
    <w:p>
      <w:pPr>
        <w:pStyle w:val="1"/>
        <w:jc w:val="both"/>
      </w:pPr>
      <w:r>
        <w:rPr>
          <w:sz w:val="20"/>
        </w:rPr>
        <w:t xml:space="preserve">       устройств, модернизация оборудования, реконструкция объектов</w:t>
      </w:r>
    </w:p>
    <w:p>
      <w:pPr>
        <w:pStyle w:val="1"/>
        <w:jc w:val="both"/>
      </w:pPr>
      <w:r>
        <w:rPr>
          <w:sz w:val="20"/>
        </w:rPr>
        <w:t xml:space="preserve">__________________________________________________________________________.</w:t>
      </w:r>
    </w:p>
    <w:p>
      <w:pPr>
        <w:pStyle w:val="1"/>
        <w:jc w:val="both"/>
      </w:pPr>
      <w:r>
        <w:rPr>
          <w:sz w:val="20"/>
        </w:rPr>
        <w:t xml:space="preserve">       электросетевого хозяйства, установка устройств регулирования</w:t>
      </w:r>
    </w:p>
    <w:p>
      <w:pPr>
        <w:pStyle w:val="1"/>
        <w:jc w:val="both"/>
      </w:pPr>
      <w:r>
        <w:rPr>
          <w:sz w:val="20"/>
        </w:rPr>
        <w:t xml:space="preserve">      напряжения для обеспечения надежности и качества электрической</w:t>
      </w:r>
    </w:p>
    <w:p>
      <w:pPr>
        <w:pStyle w:val="1"/>
        <w:jc w:val="both"/>
      </w:pPr>
      <w:r>
        <w:rPr>
          <w:sz w:val="20"/>
        </w:rPr>
        <w:t xml:space="preserve"> энергии, а также по договоренности Сторон иные обязанности по исполнению</w:t>
      </w:r>
    </w:p>
    <w:p>
      <w:pPr>
        <w:pStyle w:val="1"/>
        <w:jc w:val="both"/>
      </w:pPr>
      <w:r>
        <w:rPr>
          <w:sz w:val="20"/>
        </w:rPr>
        <w:t xml:space="preserve">  технических условий, предусмотренные </w:t>
      </w:r>
      <w:hyperlink w:history="0" w:anchor="P1495" w:tooltip="25. В технических условиях для заявителей, за исключением лиц, указанных в пунктах 12(1), 13(2) - 13(5) и 14 настоящих Правил, должны быть указаны:">
        <w:r>
          <w:rPr>
            <w:sz w:val="20"/>
            <w:color w:val="0000ff"/>
          </w:rPr>
          <w:t xml:space="preserve">пунктом 25</w:t>
        </w:r>
      </w:hyperlink>
      <w:r>
        <w:rPr>
          <w:sz w:val="20"/>
        </w:rPr>
        <w:t xml:space="preserve"> Правил технологического</w:t>
      </w:r>
    </w:p>
    <w:p>
      <w:pPr>
        <w:pStyle w:val="1"/>
        <w:jc w:val="both"/>
      </w:pPr>
      <w:r>
        <w:rPr>
          <w:sz w:val="20"/>
        </w:rPr>
        <w:t xml:space="preserve">   присоединения энергопринимающих устройств потребителей электрической</w:t>
      </w:r>
    </w:p>
    <w:p>
      <w:pPr>
        <w:pStyle w:val="1"/>
        <w:jc w:val="both"/>
      </w:pPr>
      <w:r>
        <w:rPr>
          <w:sz w:val="20"/>
        </w:rPr>
        <w:t xml:space="preserve">         энергии, объектов по производству электрической энергии,</w:t>
      </w:r>
    </w:p>
    <w:p>
      <w:pPr>
        <w:pStyle w:val="1"/>
        <w:jc w:val="both"/>
      </w:pPr>
      <w:r>
        <w:rPr>
          <w:sz w:val="20"/>
        </w:rPr>
        <w:t xml:space="preserve">         а также объектов электросетевого хозяйства, принадлежащих</w:t>
      </w:r>
    </w:p>
    <w:p>
      <w:pPr>
        <w:pStyle w:val="1"/>
        <w:jc w:val="both"/>
      </w:pPr>
      <w:r>
        <w:rPr>
          <w:sz w:val="20"/>
        </w:rPr>
        <w:t xml:space="preserve">         сетевым организациям и иным лицам, к электрическим сетям)</w:t>
      </w:r>
    </w:p>
    <w:p>
      <w:pPr>
        <w:pStyle w:val="1"/>
        <w:jc w:val="both"/>
      </w:pPr>
      <w:r>
        <w:rPr>
          <w:sz w:val="20"/>
        </w:rPr>
        <w:t xml:space="preserve">    11. Заявитель осуществляет </w:t>
      </w:r>
      <w:hyperlink w:history="0" w:anchor="P5031" w:tooltip="&lt;2&gt; Указываются обязательства заявителя по исполнению настоящих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
        <w:r>
          <w:rPr>
            <w:sz w:val="20"/>
            <w:color w:val="0000ff"/>
          </w:rPr>
          <w:t xml:space="preserve">&lt;2&gt;</w:t>
        </w:r>
      </w:hyperlink>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12.  Срок  действия настоящих технических условий составляет __________</w:t>
      </w:r>
    </w:p>
    <w:p>
      <w:pPr>
        <w:pStyle w:val="1"/>
        <w:jc w:val="both"/>
      </w:pPr>
      <w:r>
        <w:rPr>
          <w:sz w:val="20"/>
        </w:rPr>
        <w:t xml:space="preserve">год (года) </w:t>
      </w:r>
      <w:hyperlink w:history="0" w:anchor="P5032" w:tooltip="&lt;3&gt; Срок действия настоящих технических условий не может составлять менее 2 лет и более 5 лет.">
        <w:r>
          <w:rPr>
            <w:sz w:val="20"/>
            <w:color w:val="0000ff"/>
          </w:rPr>
          <w:t xml:space="preserve">&lt;3&gt;</w:t>
        </w:r>
      </w:hyperlink>
      <w:r>
        <w:rPr>
          <w:sz w:val="20"/>
        </w:rPr>
        <w:t xml:space="preserve"> со дня заключения договора об осуществлении технологического</w:t>
      </w:r>
    </w:p>
    <w:p>
      <w:pPr>
        <w:pStyle w:val="1"/>
        <w:jc w:val="both"/>
      </w:pPr>
      <w:r>
        <w:rPr>
          <w:sz w:val="20"/>
        </w:rPr>
        <w:t xml:space="preserve">присоединения к электрическим сетям.</w:t>
      </w:r>
    </w:p>
    <w:p>
      <w:pPr>
        <w:pStyle w:val="1"/>
        <w:jc w:val="both"/>
      </w:pPr>
      <w:r>
        <w:rPr>
          <w:sz w:val="20"/>
        </w:rPr>
      </w:r>
    </w:p>
    <w:p>
      <w:pPr>
        <w:pStyle w:val="1"/>
        <w:jc w:val="both"/>
      </w:pPr>
      <w:r>
        <w:rPr>
          <w:sz w:val="20"/>
        </w:rPr>
        <w:t xml:space="preserve">                                                  _________________________</w:t>
      </w:r>
    </w:p>
    <w:p>
      <w:pPr>
        <w:pStyle w:val="1"/>
        <w:jc w:val="both"/>
      </w:pPr>
      <w:r>
        <w:rPr>
          <w:sz w:val="20"/>
        </w:rPr>
        <w:t xml:space="preserve">                                                          (подпись)</w:t>
      </w:r>
    </w:p>
    <w:p>
      <w:pPr>
        <w:pStyle w:val="1"/>
        <w:jc w:val="both"/>
      </w:pPr>
      <w:r>
        <w:rPr>
          <w:sz w:val="20"/>
        </w:rPr>
        <w:t xml:space="preserve">                                                  _________________________</w:t>
      </w:r>
    </w:p>
    <w:p>
      <w:pPr>
        <w:pStyle w:val="1"/>
        <w:jc w:val="both"/>
      </w:pPr>
      <w:r>
        <w:rPr>
          <w:sz w:val="20"/>
        </w:rPr>
        <w:t xml:space="preserve">                                                  (должность, фамилия, имя,</w:t>
      </w:r>
    </w:p>
    <w:p>
      <w:pPr>
        <w:pStyle w:val="1"/>
        <w:jc w:val="both"/>
      </w:pPr>
      <w:r>
        <w:rPr>
          <w:sz w:val="20"/>
        </w:rPr>
        <w:t xml:space="preserve">                                                       отчество лица,</w:t>
      </w:r>
    </w:p>
    <w:p>
      <w:pPr>
        <w:pStyle w:val="1"/>
        <w:jc w:val="both"/>
      </w:pPr>
      <w:r>
        <w:rPr>
          <w:sz w:val="20"/>
        </w:rPr>
        <w:t xml:space="preserve">                                                  _________________________</w:t>
      </w:r>
    </w:p>
    <w:p>
      <w:pPr>
        <w:pStyle w:val="1"/>
        <w:jc w:val="both"/>
      </w:pPr>
      <w:r>
        <w:rPr>
          <w:sz w:val="20"/>
        </w:rPr>
        <w:t xml:space="preserve">                                                    действующего от имени</w:t>
      </w:r>
    </w:p>
    <w:p>
      <w:pPr>
        <w:pStyle w:val="1"/>
        <w:jc w:val="both"/>
      </w:pPr>
      <w:r>
        <w:rPr>
          <w:sz w:val="20"/>
        </w:rPr>
        <w:t xml:space="preserve">                                                    сетевой организации)</w:t>
      </w:r>
    </w:p>
    <w:p>
      <w:pPr>
        <w:pStyle w:val="1"/>
        <w:jc w:val="both"/>
      </w:pPr>
      <w:r>
        <w:rPr>
          <w:sz w:val="20"/>
        </w:rPr>
        <w:t xml:space="preserve">                                                  "__" ____________ 20__ г.</w:t>
      </w:r>
    </w:p>
    <w:p>
      <w:pPr>
        <w:pStyle w:val="0"/>
        <w:jc w:val="both"/>
      </w:pPr>
      <w:r>
        <w:rPr>
          <w:sz w:val="20"/>
        </w:rPr>
      </w:r>
    </w:p>
    <w:p>
      <w:pPr>
        <w:pStyle w:val="0"/>
        <w:ind w:firstLine="540"/>
        <w:jc w:val="both"/>
      </w:pPr>
      <w:r>
        <w:rPr>
          <w:sz w:val="20"/>
        </w:rPr>
        <w:t xml:space="preserve">--------------------------------</w:t>
      </w:r>
    </w:p>
    <w:bookmarkStart w:id="5030" w:name="P5030"/>
    <w:bookmarkEnd w:id="5030"/>
    <w:p>
      <w:pPr>
        <w:pStyle w:val="0"/>
        <w:spacing w:before="200" w:line-rule="auto"/>
        <w:ind w:firstLine="540"/>
        <w:jc w:val="both"/>
      </w:pPr>
      <w:r>
        <w:rPr>
          <w:sz w:val="20"/>
        </w:rPr>
        <w:t xml:space="preserve">&lt;1&gt; Указываются обязательства сетевой организации по исполнению настоящих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bookmarkStart w:id="5031" w:name="P5031"/>
    <w:bookmarkEnd w:id="5031"/>
    <w:p>
      <w:pPr>
        <w:pStyle w:val="0"/>
        <w:spacing w:before="200" w:line-rule="auto"/>
        <w:ind w:firstLine="540"/>
        <w:jc w:val="both"/>
      </w:pPr>
      <w:r>
        <w:rPr>
          <w:sz w:val="20"/>
        </w:rPr>
        <w:t xml:space="preserve">&lt;2&gt; Указываются обязательства заявителя по исполнению настоящих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bookmarkStart w:id="5032" w:name="P5032"/>
    <w:bookmarkEnd w:id="5032"/>
    <w:p>
      <w:pPr>
        <w:pStyle w:val="0"/>
        <w:spacing w:before="200" w:line-rule="auto"/>
        <w:ind w:firstLine="540"/>
        <w:jc w:val="both"/>
      </w:pPr>
      <w:r>
        <w:rPr>
          <w:sz w:val="20"/>
        </w:rPr>
        <w:t xml:space="preserve">&lt;3&gt; Срок действия настоящих технических условий не может составлять менее 2 лет и более 5 лет.</w:t>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13</w:t>
      </w:r>
    </w:p>
    <w:p>
      <w:pPr>
        <w:pStyle w:val="0"/>
        <w:jc w:val="right"/>
      </w:pPr>
      <w:r>
        <w:rPr>
          <w:sz w:val="20"/>
        </w:rPr>
        <w:t xml:space="preserve">к Правилам технологического</w:t>
      </w:r>
    </w:p>
    <w:p>
      <w:pPr>
        <w:pStyle w:val="0"/>
        <w:jc w:val="right"/>
      </w:pPr>
      <w:r>
        <w:rPr>
          <w:sz w:val="20"/>
        </w:rPr>
        <w:t xml:space="preserve">присоединения энергопринимающих</w:t>
      </w:r>
    </w:p>
    <w:p>
      <w:pPr>
        <w:pStyle w:val="0"/>
        <w:jc w:val="right"/>
      </w:pPr>
      <w:r>
        <w:rPr>
          <w:sz w:val="20"/>
        </w:rPr>
        <w:t xml:space="preserve">устройств потребителей</w:t>
      </w:r>
    </w:p>
    <w:p>
      <w:pPr>
        <w:pStyle w:val="0"/>
        <w:jc w:val="right"/>
      </w:pPr>
      <w:r>
        <w:rPr>
          <w:sz w:val="20"/>
        </w:rPr>
        <w:t xml:space="preserve">электрической энергии, объектов</w:t>
      </w:r>
    </w:p>
    <w:p>
      <w:pPr>
        <w:pStyle w:val="0"/>
        <w:jc w:val="right"/>
      </w:pPr>
      <w:r>
        <w:rPr>
          <w:sz w:val="20"/>
        </w:rPr>
        <w:t xml:space="preserve">по производству электрической</w:t>
      </w:r>
    </w:p>
    <w:p>
      <w:pPr>
        <w:pStyle w:val="0"/>
        <w:jc w:val="right"/>
      </w:pPr>
      <w:r>
        <w:rPr>
          <w:sz w:val="20"/>
        </w:rPr>
        <w:t xml:space="preserve">энергии, а также объектов</w:t>
      </w:r>
    </w:p>
    <w:p>
      <w:pPr>
        <w:pStyle w:val="0"/>
        <w:jc w:val="right"/>
      </w:pPr>
      <w:r>
        <w:rPr>
          <w:sz w:val="20"/>
        </w:rPr>
        <w:t xml:space="preserve">электросетевого хозяйства,</w:t>
      </w:r>
    </w:p>
    <w:p>
      <w:pPr>
        <w:pStyle w:val="0"/>
        <w:jc w:val="right"/>
      </w:pPr>
      <w:r>
        <w:rPr>
          <w:sz w:val="20"/>
        </w:rPr>
        <w:t xml:space="preserve">принадлежащих сетевым организациям</w:t>
      </w:r>
    </w:p>
    <w:p>
      <w:pPr>
        <w:pStyle w:val="0"/>
        <w:jc w:val="right"/>
      </w:pPr>
      <w:r>
        <w:rPr>
          <w:sz w:val="20"/>
        </w:rPr>
        <w:t xml:space="preserve">и иным лицам, к электрическим сетям</w:t>
      </w:r>
    </w:p>
    <w:p>
      <w:pPr>
        <w:pStyle w:val="0"/>
        <w:jc w:val="both"/>
      </w:pPr>
      <w:r>
        <w:rPr>
          <w:sz w:val="20"/>
        </w:rPr>
      </w:r>
    </w:p>
    <w:p>
      <w:pPr>
        <w:pStyle w:val="0"/>
        <w:jc w:val="center"/>
      </w:pPr>
      <w:r>
        <w:rPr>
          <w:sz w:val="20"/>
        </w:rPr>
        <w:t xml:space="preserve">АКТ</w:t>
      </w:r>
    </w:p>
    <w:p>
      <w:pPr>
        <w:pStyle w:val="0"/>
        <w:jc w:val="center"/>
      </w:pPr>
      <w:r>
        <w:rPr>
          <w:sz w:val="20"/>
        </w:rPr>
        <w:t xml:space="preserve">осмотра (обследования) электроустановки</w:t>
      </w:r>
    </w:p>
    <w:p>
      <w:pPr>
        <w:pStyle w:val="0"/>
        <w:jc w:val="both"/>
      </w:pPr>
      <w:r>
        <w:rPr>
          <w:sz w:val="20"/>
        </w:rPr>
      </w:r>
    </w:p>
    <w:p>
      <w:pPr>
        <w:pStyle w:val="0"/>
        <w:ind w:firstLine="540"/>
        <w:jc w:val="both"/>
      </w:pPr>
      <w:r>
        <w:rPr>
          <w:sz w:val="20"/>
        </w:rPr>
        <w:t xml:space="preserve">Утратил силу. - </w:t>
      </w:r>
      <w:hyperlink w:history="0" r:id="rId1140"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етям&quot; {КонсультантПлюс}">
        <w:r>
          <w:rPr>
            <w:sz w:val="20"/>
            <w:color w:val="0000ff"/>
          </w:rPr>
          <w:t xml:space="preserve">Постановление</w:t>
        </w:r>
      </w:hyperlink>
      <w:r>
        <w:rPr>
          <w:sz w:val="20"/>
        </w:rPr>
        <w:t xml:space="preserve"> Правительства РФ от 07.05.2017 N 542.</w:t>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14</w:t>
      </w:r>
    </w:p>
    <w:p>
      <w:pPr>
        <w:pStyle w:val="0"/>
        <w:jc w:val="right"/>
      </w:pPr>
      <w:r>
        <w:rPr>
          <w:sz w:val="20"/>
        </w:rPr>
        <w:t xml:space="preserve">к Правилам технологического</w:t>
      </w:r>
    </w:p>
    <w:p>
      <w:pPr>
        <w:pStyle w:val="0"/>
        <w:jc w:val="right"/>
      </w:pPr>
      <w:r>
        <w:rPr>
          <w:sz w:val="20"/>
        </w:rPr>
        <w:t xml:space="preserve">присоединения энергопринимающих</w:t>
      </w:r>
    </w:p>
    <w:p>
      <w:pPr>
        <w:pStyle w:val="0"/>
        <w:jc w:val="right"/>
      </w:pPr>
      <w:r>
        <w:rPr>
          <w:sz w:val="20"/>
        </w:rPr>
        <w:t xml:space="preserve">устройств потребителей</w:t>
      </w:r>
    </w:p>
    <w:p>
      <w:pPr>
        <w:pStyle w:val="0"/>
        <w:jc w:val="right"/>
      </w:pPr>
      <w:r>
        <w:rPr>
          <w:sz w:val="20"/>
        </w:rPr>
        <w:t xml:space="preserve">электрической энергии, объектов</w:t>
      </w:r>
    </w:p>
    <w:p>
      <w:pPr>
        <w:pStyle w:val="0"/>
        <w:jc w:val="right"/>
      </w:pPr>
      <w:r>
        <w:rPr>
          <w:sz w:val="20"/>
        </w:rPr>
        <w:t xml:space="preserve">по производству электрической</w:t>
      </w:r>
    </w:p>
    <w:p>
      <w:pPr>
        <w:pStyle w:val="0"/>
        <w:jc w:val="right"/>
      </w:pPr>
      <w:r>
        <w:rPr>
          <w:sz w:val="20"/>
        </w:rPr>
        <w:t xml:space="preserve">энергии, а также объектов</w:t>
      </w:r>
    </w:p>
    <w:p>
      <w:pPr>
        <w:pStyle w:val="0"/>
        <w:jc w:val="right"/>
      </w:pPr>
      <w:r>
        <w:rPr>
          <w:sz w:val="20"/>
        </w:rPr>
        <w:t xml:space="preserve">электросетевого хозяйства,</w:t>
      </w:r>
    </w:p>
    <w:p>
      <w:pPr>
        <w:pStyle w:val="0"/>
        <w:jc w:val="right"/>
      </w:pPr>
      <w:r>
        <w:rPr>
          <w:sz w:val="20"/>
        </w:rPr>
        <w:t xml:space="preserve">принадлежащих сетевым организациям</w:t>
      </w:r>
    </w:p>
    <w:p>
      <w:pPr>
        <w:pStyle w:val="0"/>
        <w:jc w:val="right"/>
      </w:pPr>
      <w:r>
        <w:rPr>
          <w:sz w:val="20"/>
        </w:rPr>
        <w:t xml:space="preserve">и иным лицам, к электрическим сетям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141" w:tooltip="Постановление Правительства РФ от 11.06.2015 N 588 (ред. от 10.03.2020, с изм. от 30.06.2022) &quot;О внесении изменений в постановление Правительства Российской Федерации от 27 декабря 2004 г. N 861&quot; {КонсультантПлюс}">
              <w:r>
                <w:rPr>
                  <w:sz w:val="20"/>
                  <w:color w:val="0000ff"/>
                </w:rPr>
                <w:t xml:space="preserve">Постановления</w:t>
              </w:r>
            </w:hyperlink>
            <w:r>
              <w:rPr>
                <w:sz w:val="20"/>
                <w:color w:val="392c69"/>
              </w:rPr>
              <w:t xml:space="preserve"> Правительства РФ от 11.06.2015 N 588)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5067" w:name="P5067"/>
    <w:bookmarkEnd w:id="5067"/>
    <w:p>
      <w:pPr>
        <w:pStyle w:val="0"/>
        <w:jc w:val="center"/>
      </w:pPr>
      <w:r>
        <w:rPr>
          <w:sz w:val="20"/>
        </w:rPr>
        <w:t xml:space="preserve">СОГЛАШЕНИЕ</w:t>
      </w:r>
    </w:p>
    <w:p>
      <w:pPr>
        <w:pStyle w:val="0"/>
        <w:jc w:val="center"/>
      </w:pPr>
      <w:r>
        <w:rPr>
          <w:sz w:val="20"/>
        </w:rPr>
        <w:t xml:space="preserve">о перераспределении максимальной мощности </w:t>
      </w:r>
      <w:hyperlink w:history="0" w:anchor="P5190" w:tooltip="&lt;1&gt; Типовое соглашение о перераспределении максимальной мощности, приведенное в приложении N 14 к Правилам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не применяется в случае отказа потребителя электрической энергии от максимальной мощности в пользу сетевой организации.">
        <w:r>
          <w:rPr>
            <w:sz w:val="20"/>
            <w:color w:val="0000ff"/>
          </w:rPr>
          <w:t xml:space="preserve">&lt;1&gt;</w:t>
        </w:r>
      </w:hyperlink>
    </w:p>
    <w:p>
      <w:pPr>
        <w:pStyle w:val="0"/>
        <w:jc w:val="both"/>
      </w:pPr>
      <w:r>
        <w:rPr>
          <w:sz w:val="20"/>
        </w:rPr>
      </w:r>
    </w:p>
    <w:p>
      <w:pPr>
        <w:pStyle w:val="1"/>
        <w:jc w:val="both"/>
      </w:pPr>
      <w:r>
        <w:rPr>
          <w:sz w:val="20"/>
        </w:rPr>
        <w:t xml:space="preserve">_________________________________             "__" ________________ 20__ г.</w:t>
      </w:r>
    </w:p>
    <w:p>
      <w:pPr>
        <w:pStyle w:val="1"/>
        <w:jc w:val="both"/>
      </w:pPr>
      <w:r>
        <w:rPr>
          <w:sz w:val="20"/>
        </w:rPr>
        <w:t xml:space="preserve">  (место заключения Соглашения)               (дата заключения Соглашения)</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(полное наименование юридического лица, номер записи в Едином</w:t>
      </w:r>
    </w:p>
    <w:p>
      <w:pPr>
        <w:pStyle w:val="1"/>
        <w:jc w:val="both"/>
      </w:pPr>
      <w:r>
        <w:rPr>
          <w:sz w:val="20"/>
        </w:rPr>
        <w:t xml:space="preserve">___________________________________________________________________________</w:t>
      </w:r>
    </w:p>
    <w:p>
      <w:pPr>
        <w:pStyle w:val="1"/>
        <w:jc w:val="both"/>
      </w:pPr>
      <w:r>
        <w:rPr>
          <w:sz w:val="20"/>
        </w:rPr>
        <w:t xml:space="preserve">    государственном реестре юридических лиц с указанием фамилии, имени,</w:t>
      </w:r>
    </w:p>
    <w:p>
      <w:pPr>
        <w:pStyle w:val="1"/>
        <w:jc w:val="both"/>
      </w:pPr>
      <w:r>
        <w:rPr>
          <w:sz w:val="20"/>
        </w:rPr>
        <w:t xml:space="preserve">___________________________________________________________________________</w:t>
      </w:r>
    </w:p>
    <w:p>
      <w:pPr>
        <w:pStyle w:val="1"/>
        <w:jc w:val="both"/>
      </w:pPr>
      <w:r>
        <w:rPr>
          <w:sz w:val="20"/>
        </w:rPr>
        <w:t xml:space="preserve">отчества лица, действующего от имени этого юридического лица, наименования</w:t>
      </w:r>
    </w:p>
    <w:p>
      <w:pPr>
        <w:pStyle w:val="1"/>
        <w:jc w:val="both"/>
      </w:pPr>
      <w:r>
        <w:rPr>
          <w:sz w:val="20"/>
        </w:rPr>
        <w:t xml:space="preserve">__________________________________________________________________________,</w:t>
      </w:r>
    </w:p>
    <w:p>
      <w:pPr>
        <w:pStyle w:val="1"/>
        <w:jc w:val="both"/>
      </w:pPr>
      <w:r>
        <w:rPr>
          <w:sz w:val="20"/>
        </w:rPr>
        <w:t xml:space="preserve"> и реквизитов документа, на основании которого он действует, либо фамилия,</w:t>
      </w:r>
    </w:p>
    <w:p>
      <w:pPr>
        <w:pStyle w:val="1"/>
        <w:jc w:val="both"/>
      </w:pPr>
      <w:r>
        <w:rPr>
          <w:sz w:val="20"/>
        </w:rPr>
        <w:t xml:space="preserve">   имя, отчество индивидуального предпринимателя, номер записи в Едином</w:t>
      </w:r>
    </w:p>
    <w:p>
      <w:pPr>
        <w:pStyle w:val="1"/>
        <w:jc w:val="both"/>
      </w:pPr>
      <w:r>
        <w:rPr>
          <w:sz w:val="20"/>
        </w:rPr>
        <w:t xml:space="preserve">      государственном реестре индивидуальных предпринимателей и дата</w:t>
      </w:r>
    </w:p>
    <w:p>
      <w:pPr>
        <w:pStyle w:val="1"/>
        <w:jc w:val="both"/>
      </w:pPr>
      <w:r>
        <w:rPr>
          <w:sz w:val="20"/>
        </w:rPr>
        <w:t xml:space="preserve">                           ее внесения в реестр)</w:t>
      </w:r>
    </w:p>
    <w:p>
      <w:pPr>
        <w:pStyle w:val="1"/>
        <w:jc w:val="both"/>
      </w:pPr>
      <w:r>
        <w:rPr>
          <w:sz w:val="20"/>
        </w:rPr>
        <w:t xml:space="preserve">именуемое в дальнейшем Стороной 1, с одной стороны, и _____________________</w:t>
      </w:r>
    </w:p>
    <w:p>
      <w:pPr>
        <w:pStyle w:val="1"/>
        <w:jc w:val="both"/>
      </w:pPr>
      <w:r>
        <w:rPr>
          <w:sz w:val="20"/>
        </w:rPr>
        <w:t xml:space="preserve">                                                      (полное наименование</w:t>
      </w:r>
    </w:p>
    <w:p>
      <w:pPr>
        <w:pStyle w:val="1"/>
        <w:jc w:val="both"/>
      </w:pPr>
      <w:r>
        <w:rPr>
          <w:sz w:val="20"/>
        </w:rPr>
        <w:t xml:space="preserve">___________________________________________________________________________</w:t>
      </w:r>
    </w:p>
    <w:p>
      <w:pPr>
        <w:pStyle w:val="1"/>
        <w:jc w:val="both"/>
      </w:pPr>
      <w:r>
        <w:rPr>
          <w:sz w:val="20"/>
        </w:rPr>
        <w:t xml:space="preserve">     юридического лица, номер записи в Едином государственном реестре</w:t>
      </w:r>
    </w:p>
    <w:p>
      <w:pPr>
        <w:pStyle w:val="1"/>
        <w:jc w:val="both"/>
      </w:pPr>
      <w:r>
        <w:rPr>
          <w:sz w:val="20"/>
        </w:rPr>
        <w:t xml:space="preserve">___________________________________________________________________________</w:t>
      </w:r>
    </w:p>
    <w:p>
      <w:pPr>
        <w:pStyle w:val="1"/>
        <w:jc w:val="both"/>
      </w:pPr>
      <w:r>
        <w:rPr>
          <w:sz w:val="20"/>
        </w:rPr>
        <w:t xml:space="preserve">  юридических лиц с указанием фамилии, имени, отчества лица, действующего</w:t>
      </w:r>
    </w:p>
    <w:p>
      <w:pPr>
        <w:pStyle w:val="1"/>
        <w:jc w:val="both"/>
      </w:pPr>
      <w:r>
        <w:rPr>
          <w:sz w:val="20"/>
        </w:rPr>
        <w:t xml:space="preserve">___________________________________________________________________________</w:t>
      </w:r>
    </w:p>
    <w:p>
      <w:pPr>
        <w:pStyle w:val="1"/>
        <w:jc w:val="both"/>
      </w:pPr>
      <w:r>
        <w:rPr>
          <w:sz w:val="20"/>
        </w:rPr>
        <w:t xml:space="preserve">  от имени этого юридического лица, наименования и реквизитов документа,</w:t>
      </w:r>
    </w:p>
    <w:p>
      <w:pPr>
        <w:pStyle w:val="1"/>
        <w:jc w:val="both"/>
      </w:pPr>
      <w:r>
        <w:rPr>
          <w:sz w:val="20"/>
        </w:rPr>
        <w:t xml:space="preserve">__________________________________________________________________________,</w:t>
      </w:r>
    </w:p>
    <w:p>
      <w:pPr>
        <w:pStyle w:val="1"/>
        <w:jc w:val="both"/>
      </w:pPr>
      <w:r>
        <w:rPr>
          <w:sz w:val="20"/>
        </w:rPr>
        <w:t xml:space="preserve">      на основании которого он действует, либо фамилия, имя, отчество</w:t>
      </w:r>
    </w:p>
    <w:p>
      <w:pPr>
        <w:pStyle w:val="1"/>
        <w:jc w:val="both"/>
      </w:pPr>
      <w:r>
        <w:rPr>
          <w:sz w:val="20"/>
        </w:rPr>
        <w:t xml:space="preserve">  индивидуального предпринимателя, номер записи в Едином государственном</w:t>
      </w:r>
    </w:p>
    <w:p>
      <w:pPr>
        <w:pStyle w:val="1"/>
        <w:jc w:val="both"/>
      </w:pPr>
      <w:r>
        <w:rPr>
          <w:sz w:val="20"/>
        </w:rPr>
        <w:t xml:space="preserve">   реестре индивидуальных предпринимателей и дата ее внесения в реестр)</w:t>
      </w:r>
    </w:p>
    <w:p>
      <w:pPr>
        <w:pStyle w:val="1"/>
        <w:jc w:val="both"/>
      </w:pPr>
      <w:r>
        <w:rPr>
          <w:sz w:val="20"/>
        </w:rPr>
        <w:t xml:space="preserve">именуемое   в  дальнейшем  Стороной  2,   с   другой   стороны,   совместно</w:t>
      </w:r>
    </w:p>
    <w:p>
      <w:pPr>
        <w:pStyle w:val="1"/>
        <w:jc w:val="both"/>
      </w:pPr>
      <w:r>
        <w:rPr>
          <w:sz w:val="20"/>
        </w:rPr>
        <w:t xml:space="preserve">именуемые  Сторонами,  в  соответствии с </w:t>
      </w:r>
      <w:hyperlink w:history="0" w:anchor="P1686" w:tooltip="34. Лица, имеющие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технологическое присоединение к электрическим сетям, вправе по соглашению с иными владельцами энергопринимающих устройств снизить объем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
        <w:r>
          <w:rPr>
            <w:sz w:val="20"/>
            <w:color w:val="0000ff"/>
          </w:rPr>
          <w:t xml:space="preserve">пунктом 34</w:t>
        </w:r>
      </w:hyperlink>
      <w:r>
        <w:rPr>
          <w:sz w:val="20"/>
        </w:rPr>
        <w:t xml:space="preserve"> Правил технологического</w:t>
      </w:r>
    </w:p>
    <w:p>
      <w:pPr>
        <w:pStyle w:val="1"/>
        <w:jc w:val="both"/>
      </w:pPr>
      <w:r>
        <w:rPr>
          <w:sz w:val="20"/>
        </w:rPr>
        <w:t xml:space="preserve">присоединения   энергопринимающих   устройств   потребителей  электрической</w:t>
      </w:r>
    </w:p>
    <w:p>
      <w:pPr>
        <w:pStyle w:val="1"/>
        <w:jc w:val="both"/>
      </w:pPr>
      <w:r>
        <w:rPr>
          <w:sz w:val="20"/>
        </w:rPr>
        <w:t xml:space="preserve">энергии,  объектов  по производству электрической энергии, а также объектов</w:t>
      </w:r>
    </w:p>
    <w:p>
      <w:pPr>
        <w:pStyle w:val="1"/>
        <w:jc w:val="both"/>
      </w:pPr>
      <w:r>
        <w:rPr>
          <w:sz w:val="20"/>
        </w:rPr>
        <w:t xml:space="preserve">электросетевого хозяйства, принадлежащих сетевым организациям и иным лицам,</w:t>
      </w:r>
    </w:p>
    <w:p>
      <w:pPr>
        <w:pStyle w:val="1"/>
        <w:jc w:val="both"/>
      </w:pPr>
      <w:r>
        <w:rPr>
          <w:sz w:val="20"/>
        </w:rPr>
        <w:t xml:space="preserve">к электрическим сетям заключили настоящее Соглашение о нижеследующем:</w:t>
      </w:r>
    </w:p>
    <w:p>
      <w:pPr>
        <w:pStyle w:val="0"/>
        <w:jc w:val="both"/>
      </w:pPr>
      <w:r>
        <w:rPr>
          <w:sz w:val="20"/>
        </w:rPr>
      </w:r>
    </w:p>
    <w:p>
      <w:pPr>
        <w:pStyle w:val="0"/>
        <w:outlineLvl w:val="2"/>
        <w:jc w:val="center"/>
      </w:pPr>
      <w:r>
        <w:rPr>
          <w:sz w:val="20"/>
        </w:rPr>
        <w:t xml:space="preserve">I. Предмет Соглашения</w:t>
      </w:r>
    </w:p>
    <w:p>
      <w:pPr>
        <w:pStyle w:val="0"/>
        <w:jc w:val="both"/>
      </w:pPr>
      <w:r>
        <w:rPr>
          <w:sz w:val="20"/>
        </w:rPr>
      </w:r>
    </w:p>
    <w:p>
      <w:pPr>
        <w:pStyle w:val="1"/>
        <w:jc w:val="both"/>
      </w:pPr>
      <w:r>
        <w:rPr>
          <w:sz w:val="20"/>
        </w:rPr>
        <w:t xml:space="preserve">    1.  Сторона 1 дает согласие на перераспределение ранее присоединенной в</w:t>
      </w:r>
    </w:p>
    <w:p>
      <w:pPr>
        <w:pStyle w:val="1"/>
        <w:jc w:val="both"/>
      </w:pPr>
      <w:r>
        <w:rPr>
          <w:sz w:val="20"/>
        </w:rPr>
        <w:t xml:space="preserve">установленном   порядке   (по   акту   об   осуществлении  технологического</w:t>
      </w:r>
    </w:p>
    <w:p>
      <w:pPr>
        <w:pStyle w:val="1"/>
        <w:jc w:val="both"/>
      </w:pPr>
      <w:r>
        <w:rPr>
          <w:sz w:val="20"/>
        </w:rPr>
        <w:t xml:space="preserve">присоединения  (акту разграничения границ балансовой принадлежности сторон,</w:t>
      </w:r>
    </w:p>
    <w:p>
      <w:pPr>
        <w:pStyle w:val="1"/>
        <w:jc w:val="both"/>
      </w:pPr>
      <w:r>
        <w:rPr>
          <w:sz w:val="20"/>
        </w:rPr>
        <w:t xml:space="preserve">акту  разграничения  эксплуатационной ответственности сторон, разрешению на</w:t>
      </w:r>
    </w:p>
    <w:p>
      <w:pPr>
        <w:pStyle w:val="1"/>
        <w:jc w:val="both"/>
      </w:pPr>
      <w:r>
        <w:rPr>
          <w:sz w:val="20"/>
        </w:rPr>
        <w:t xml:space="preserve">присоединение,    иному   документу)  от ____________   N   ______________)</w:t>
      </w:r>
    </w:p>
    <w:p>
      <w:pPr>
        <w:pStyle w:val="1"/>
        <w:jc w:val="both"/>
      </w:pPr>
      <w:r>
        <w:rPr>
          <w:sz w:val="20"/>
        </w:rPr>
        <w:t xml:space="preserve">максимальной мощности объекта, расположенного в __________________________,</w:t>
      </w:r>
    </w:p>
    <w:p>
      <w:pPr>
        <w:pStyle w:val="1"/>
        <w:jc w:val="both"/>
      </w:pPr>
      <w:r>
        <w:rPr>
          <w:sz w:val="20"/>
        </w:rPr>
        <w:t xml:space="preserve">                                                         (адрес)</w:t>
      </w:r>
    </w:p>
    <w:p>
      <w:pPr>
        <w:pStyle w:val="1"/>
        <w:jc w:val="both"/>
      </w:pPr>
      <w:r>
        <w:rPr>
          <w:sz w:val="20"/>
        </w:rPr>
        <w:t xml:space="preserve">в  количестве  ____________  кВт,  а  Сторона  2 принимает эту мощность для</w:t>
      </w:r>
    </w:p>
    <w:p>
      <w:pPr>
        <w:pStyle w:val="1"/>
        <w:jc w:val="both"/>
      </w:pPr>
      <w:r>
        <w:rPr>
          <w:sz w:val="20"/>
        </w:rPr>
        <w:t xml:space="preserve">электроснабжения объекта, расположенного в _______________________________.</w:t>
      </w:r>
    </w:p>
    <w:p>
      <w:pPr>
        <w:pStyle w:val="1"/>
        <w:jc w:val="both"/>
      </w:pPr>
      <w:r>
        <w:rPr>
          <w:sz w:val="20"/>
        </w:rPr>
        <w:t xml:space="preserve">                                                      (адрес)</w:t>
      </w:r>
    </w:p>
    <w:p>
      <w:pPr>
        <w:pStyle w:val="1"/>
        <w:jc w:val="both"/>
      </w:pPr>
      <w:r>
        <w:rPr>
          <w:sz w:val="20"/>
        </w:rPr>
        <w:t xml:space="preserve">    В  соответствии  с  условиями  настоящего  Соглашения Сторона 1 снижает</w:t>
      </w:r>
    </w:p>
    <w:p>
      <w:pPr>
        <w:pStyle w:val="1"/>
        <w:jc w:val="both"/>
      </w:pPr>
      <w:r>
        <w:rPr>
          <w:sz w:val="20"/>
        </w:rPr>
        <w:t xml:space="preserve">объем  максимальной  мощности  собственных  энергопринимающих  устройств  с</w:t>
      </w:r>
    </w:p>
    <w:p>
      <w:pPr>
        <w:pStyle w:val="1"/>
        <w:jc w:val="both"/>
      </w:pPr>
      <w:r>
        <w:rPr>
          <w:sz w:val="20"/>
        </w:rPr>
        <w:t xml:space="preserve">одновременным  перераспределением  объема снижения максимальной мощности на</w:t>
      </w:r>
    </w:p>
    <w:p>
      <w:pPr>
        <w:pStyle w:val="1"/>
        <w:jc w:val="both"/>
      </w:pPr>
      <w:r>
        <w:rPr>
          <w:sz w:val="20"/>
        </w:rPr>
        <w:t xml:space="preserve">присоединяемые  энергопринимающие  устройства Стороны 2 в пределах действия</w:t>
      </w:r>
    </w:p>
    <w:p>
      <w:pPr>
        <w:pStyle w:val="1"/>
        <w:jc w:val="both"/>
      </w:pPr>
      <w:r>
        <w:rPr>
          <w:sz w:val="20"/>
        </w:rPr>
        <w:t xml:space="preserve">следующего центра питания</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(указывается питающая подстанция 35 кВ при осуществлении</w:t>
      </w:r>
    </w:p>
    <w:p>
      <w:pPr>
        <w:pStyle w:val="1"/>
        <w:jc w:val="both"/>
      </w:pPr>
      <w:r>
        <w:rPr>
          <w:sz w:val="20"/>
        </w:rPr>
        <w:t xml:space="preserve">    перераспределения мощности в электрических сетях классом напряжения</w:t>
      </w:r>
    </w:p>
    <w:p>
      <w:pPr>
        <w:pStyle w:val="1"/>
        <w:jc w:val="both"/>
      </w:pPr>
      <w:r>
        <w:rPr>
          <w:sz w:val="20"/>
        </w:rPr>
        <w:t xml:space="preserve">0,4 - 35 кВ или распределительное устройство питающей подстанции, к которым</w:t>
      </w:r>
    </w:p>
    <w:p>
      <w:pPr>
        <w:pStyle w:val="1"/>
        <w:jc w:val="both"/>
      </w:pPr>
      <w:r>
        <w:rPr>
          <w:sz w:val="20"/>
        </w:rPr>
        <w:t xml:space="preserve">  осуществлено технологическое присоединение энергопринимающих устройств</w:t>
      </w:r>
    </w:p>
    <w:p>
      <w:pPr>
        <w:pStyle w:val="1"/>
        <w:jc w:val="both"/>
      </w:pPr>
      <w:r>
        <w:rPr>
          <w:sz w:val="20"/>
        </w:rPr>
        <w:t xml:space="preserve">          присоединенного лица, - при перераспределении мощности</w:t>
      </w:r>
    </w:p>
    <w:p>
      <w:pPr>
        <w:pStyle w:val="1"/>
        <w:jc w:val="both"/>
      </w:pPr>
      <w:r>
        <w:rPr>
          <w:sz w:val="20"/>
        </w:rPr>
        <w:t xml:space="preserve">           в электрических сетях классом напряжения выше 35 кВ)</w:t>
      </w:r>
    </w:p>
    <w:p>
      <w:pPr>
        <w:pStyle w:val="1"/>
        <w:jc w:val="both"/>
      </w:pPr>
      <w:r>
        <w:rPr>
          <w:sz w:val="20"/>
        </w:rPr>
        <w:t xml:space="preserve">    2.  Наименование  сетевой  организации,  к  сетям  которой присоединены</w:t>
      </w:r>
    </w:p>
    <w:p>
      <w:pPr>
        <w:pStyle w:val="1"/>
        <w:jc w:val="both"/>
      </w:pPr>
      <w:r>
        <w:rPr>
          <w:sz w:val="20"/>
        </w:rPr>
        <w:t xml:space="preserve">энергопринимающие устройства Стороны 1 (далее - сетевая организация) ______</w:t>
      </w:r>
    </w:p>
    <w:p>
      <w:pPr>
        <w:pStyle w:val="1"/>
        <w:jc w:val="both"/>
      </w:pPr>
      <w:r>
        <w:rPr>
          <w:sz w:val="20"/>
        </w:rPr>
        <w:t xml:space="preserve">___________________________________________________________________________</w:t>
      </w:r>
    </w:p>
    <w:p>
      <w:pPr>
        <w:pStyle w:val="1"/>
        <w:jc w:val="both"/>
      </w:pPr>
      <w:r>
        <w:rPr>
          <w:sz w:val="20"/>
        </w:rPr>
        <w:t xml:space="preserve">    Место нахождения _____________________________________________________,</w:t>
      </w:r>
    </w:p>
    <w:p>
      <w:pPr>
        <w:pStyle w:val="1"/>
        <w:jc w:val="both"/>
      </w:pPr>
      <w:r>
        <w:rPr>
          <w:sz w:val="20"/>
        </w:rPr>
        <w:t xml:space="preserve">    почтовый адрес _______________________________________________________.</w:t>
      </w:r>
    </w:p>
    <w:p>
      <w:pPr>
        <w:pStyle w:val="0"/>
        <w:jc w:val="both"/>
      </w:pPr>
      <w:r>
        <w:rPr>
          <w:sz w:val="20"/>
        </w:rPr>
      </w:r>
    </w:p>
    <w:p>
      <w:pPr>
        <w:pStyle w:val="0"/>
        <w:outlineLvl w:val="2"/>
        <w:jc w:val="center"/>
      </w:pPr>
      <w:r>
        <w:rPr>
          <w:sz w:val="20"/>
        </w:rPr>
        <w:t xml:space="preserve">II. Права и обязанности Сторон</w:t>
      </w:r>
    </w:p>
    <w:p>
      <w:pPr>
        <w:pStyle w:val="0"/>
        <w:jc w:val="both"/>
      </w:pPr>
      <w:r>
        <w:rPr>
          <w:sz w:val="20"/>
        </w:rPr>
      </w:r>
    </w:p>
    <w:p>
      <w:pPr>
        <w:pStyle w:val="0"/>
        <w:ind w:firstLine="540"/>
        <w:jc w:val="both"/>
      </w:pPr>
      <w:r>
        <w:rPr>
          <w:sz w:val="20"/>
        </w:rPr>
        <w:t xml:space="preserve">3. Сторона 1 обязуется:</w:t>
      </w:r>
    </w:p>
    <w:bookmarkStart w:id="5138" w:name="P5138"/>
    <w:bookmarkEnd w:id="5138"/>
    <w:p>
      <w:pPr>
        <w:pStyle w:val="0"/>
        <w:spacing w:before="200" w:line-rule="auto"/>
        <w:ind w:firstLine="540"/>
        <w:jc w:val="both"/>
      </w:pPr>
      <w:r>
        <w:rPr>
          <w:sz w:val="20"/>
        </w:rPr>
        <w:t xml:space="preserve">а) совместно со Стороной 2 направить уведомление о перераспределении максимальной мощности в сетевую организацию. В таком уведомлении должны быть указаны наименования и реквизиты Сторон настоящего Соглашения, центр питания, к которому осуществлено технологическое присоединение энергопринимающих устройств Сторон, место нахождения этих устройств (электрических сетей) Сторон и объем перераспределяемой максимальной мощности. К уведомлению прилагаются копия технических условий, выданных Стороне 1, копия акта об осуществлении технологического присоединения энергопринимающих устройств Стороны 1, заявка на технологическое присоединение энергопринимающих устройств Стороны 2 и заверенная копия настоящего Соглашения;</w:t>
      </w:r>
    </w:p>
    <w:bookmarkStart w:id="5139" w:name="P5139"/>
    <w:bookmarkEnd w:id="5139"/>
    <w:p>
      <w:pPr>
        <w:pStyle w:val="0"/>
        <w:spacing w:before="200" w:line-rule="auto"/>
        <w:ind w:firstLine="540"/>
        <w:jc w:val="both"/>
      </w:pPr>
      <w:r>
        <w:rPr>
          <w:sz w:val="20"/>
        </w:rPr>
        <w:t xml:space="preserve">б) в срок до завершения мероприятий по технологическому присоединению энергопринимающих устройств Стороны 2 выполнить необходимые действия по уменьшению максимальной мощности своих энергопринимающих устройств, а также выполнить следующие действия:</w:t>
      </w:r>
    </w:p>
    <w:p>
      <w:pPr>
        <w:pStyle w:val="0"/>
        <w:spacing w:before="200" w:line-rule="auto"/>
        <w:ind w:firstLine="540"/>
        <w:jc w:val="both"/>
      </w:pPr>
      <w:r>
        <w:rPr>
          <w:sz w:val="20"/>
        </w:rPr>
        <w:t xml:space="preserve">реализовать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субъектом оперативно-диспетчерского управления в случаях, установленных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pStyle w:val="0"/>
        <w:spacing w:before="200" w:line-rule="auto"/>
        <w:ind w:firstLine="540"/>
        <w:jc w:val="both"/>
      </w:pPr>
      <w:r>
        <w:rPr>
          <w:sz w:val="20"/>
        </w:rPr>
        <w:t xml:space="preserve">внести изменения в документы, предусматривающие взаимодействие сетевой организации и Стороны 1, и (или) подписать с сетевой организацией новые документы о технологическом присоединении, фиксирующие объем максимальной мощности после ее перераспределения;</w:t>
      </w:r>
    </w:p>
    <w:p>
      <w:pPr>
        <w:pStyle w:val="0"/>
        <w:spacing w:before="200" w:line-rule="auto"/>
        <w:ind w:firstLine="540"/>
        <w:jc w:val="both"/>
      </w:pPr>
      <w:r>
        <w:rPr>
          <w:sz w:val="20"/>
        </w:rPr>
        <w:t xml:space="preserve">в) предоставить документы, подтверждающие выполнение требований </w:t>
      </w:r>
      <w:hyperlink w:history="0" w:anchor="P5139" w:tooltip="б) в срок до завершения мероприятий по технологическому присоединению энергопринимающих устройств Стороны 2 выполнить необходимые действия по уменьшению максимальной мощности своих энергопринимающих устройств, а также выполнить следующие действия:">
        <w:r>
          <w:rPr>
            <w:sz w:val="20"/>
            <w:color w:val="0000ff"/>
          </w:rPr>
          <w:t xml:space="preserve">подпункта "б" пункта 3</w:t>
        </w:r>
      </w:hyperlink>
      <w:r>
        <w:rPr>
          <w:sz w:val="20"/>
        </w:rPr>
        <w:t xml:space="preserve"> настоящего Соглашения, по просьбе Стороны 2.</w:t>
      </w:r>
    </w:p>
    <w:p>
      <w:pPr>
        <w:pStyle w:val="0"/>
        <w:spacing w:before="200" w:line-rule="auto"/>
        <w:ind w:firstLine="540"/>
        <w:jc w:val="both"/>
      </w:pPr>
      <w:r>
        <w:rPr>
          <w:sz w:val="20"/>
        </w:rPr>
        <w:t xml:space="preserve">4. Сторона 2 обязуется:</w:t>
      </w:r>
    </w:p>
    <w:p>
      <w:pPr>
        <w:pStyle w:val="0"/>
        <w:spacing w:before="200" w:line-rule="auto"/>
        <w:ind w:firstLine="540"/>
        <w:jc w:val="both"/>
      </w:pPr>
      <w:r>
        <w:rPr>
          <w:sz w:val="20"/>
        </w:rPr>
        <w:t xml:space="preserve">а) совместно со Стороной 1 обратиться в сетевую организацию с уведомлением о перераспределении максимальной мощности, в котором указываются сведения, предусмотренные </w:t>
      </w:r>
      <w:hyperlink w:history="0" w:anchor="P5138" w:tooltip="а) совместно со Стороной 2 направить уведомление о перераспределении максимальной мощности в сетевую организацию. В таком уведомлении должны быть указаны наименования и реквизиты Сторон настоящего Соглашения, центр питания, к которому осуществлено технологическое присоединение энергопринимающих устройств Сторон, место нахождения этих устройств (электрических сетей) Сторон и объем перераспределяемой максимальной мощности. К уведомлению прилагаются копия технических условий, выданных Стороне 1, копия акта ...">
        <w:r>
          <w:rPr>
            <w:sz w:val="20"/>
            <w:color w:val="0000ff"/>
          </w:rPr>
          <w:t xml:space="preserve">подпунктом "а" пункта 3</w:t>
        </w:r>
      </w:hyperlink>
      <w:r>
        <w:rPr>
          <w:sz w:val="20"/>
        </w:rPr>
        <w:t xml:space="preserve"> настоящего Соглашения;</w:t>
      </w:r>
    </w:p>
    <w:p>
      <w:pPr>
        <w:pStyle w:val="0"/>
        <w:spacing w:before="200" w:line-rule="auto"/>
        <w:ind w:firstLine="540"/>
        <w:jc w:val="both"/>
      </w:pPr>
      <w:r>
        <w:rPr>
          <w:sz w:val="20"/>
        </w:rPr>
        <w:t xml:space="preserve">б) в срок до завершения мероприятий по технологическому присоединению своих энергопринимающих устройств выполнить следующие действия:</w:t>
      </w:r>
    </w:p>
    <w:p>
      <w:pPr>
        <w:pStyle w:val="0"/>
        <w:spacing w:before="200" w:line-rule="auto"/>
        <w:ind w:firstLine="540"/>
        <w:jc w:val="both"/>
      </w:pPr>
      <w:r>
        <w:rPr>
          <w:sz w:val="20"/>
        </w:rPr>
        <w:t xml:space="preserve">реализовать в полном объеме мероприятия по технологическому присоединению, предусмотренные техническими условиями, выданными сетевой организацией </w:t>
      </w:r>
      <w:hyperlink w:history="0" w:anchor="P5191" w:tooltip="&lt;2&gt; В случае если технические условия подлежат согласованию с субъектом оперативно-диспетчерского управления Сторона 2 реализовывает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 субъектом оперативно-диспетчерского управления.">
        <w:r>
          <w:rPr>
            <w:sz w:val="20"/>
            <w:color w:val="0000ff"/>
          </w:rPr>
          <w:t xml:space="preserve">&lt;2&gt;</w:t>
        </w:r>
      </w:hyperlink>
      <w:r>
        <w:rPr>
          <w:sz w:val="20"/>
        </w:rPr>
        <w:t xml:space="preserve">;</w:t>
      </w:r>
    </w:p>
    <w:p>
      <w:pPr>
        <w:pStyle w:val="0"/>
        <w:spacing w:before="200" w:line-rule="auto"/>
        <w:ind w:firstLine="540"/>
        <w:jc w:val="both"/>
      </w:pPr>
      <w:r>
        <w:rPr>
          <w:sz w:val="20"/>
        </w:rPr>
        <w:t xml:space="preserve">подписать с сетевой организацией документы о технологическом присоединении своих энергопринимающих устройств;</w:t>
      </w:r>
    </w:p>
    <w:p>
      <w:pPr>
        <w:pStyle w:val="0"/>
        <w:spacing w:before="200" w:line-rule="auto"/>
        <w:ind w:firstLine="540"/>
        <w:jc w:val="both"/>
      </w:pPr>
      <w:r>
        <w:rPr>
          <w:sz w:val="20"/>
        </w:rPr>
        <w:t xml:space="preserve">в) при заключении с сетевой организацией договора об осуществлении технологического присоединения надлежащим образом исполнять обязанности, предусмотренные таким договором и законодательством Российской Федерации.</w:t>
      </w:r>
    </w:p>
    <w:p>
      <w:pPr>
        <w:pStyle w:val="0"/>
        <w:jc w:val="both"/>
      </w:pPr>
      <w:r>
        <w:rPr>
          <w:sz w:val="20"/>
        </w:rPr>
      </w:r>
    </w:p>
    <w:p>
      <w:pPr>
        <w:pStyle w:val="0"/>
        <w:outlineLvl w:val="2"/>
        <w:jc w:val="center"/>
      </w:pPr>
      <w:r>
        <w:rPr>
          <w:sz w:val="20"/>
        </w:rPr>
        <w:t xml:space="preserve">III. Ответственность Сторон</w:t>
      </w:r>
    </w:p>
    <w:p>
      <w:pPr>
        <w:pStyle w:val="0"/>
        <w:jc w:val="both"/>
      </w:pPr>
      <w:r>
        <w:rPr>
          <w:sz w:val="20"/>
        </w:rPr>
      </w:r>
    </w:p>
    <w:p>
      <w:pPr>
        <w:pStyle w:val="0"/>
        <w:ind w:firstLine="540"/>
        <w:jc w:val="both"/>
      </w:pPr>
      <w:r>
        <w:rPr>
          <w:sz w:val="20"/>
        </w:rPr>
        <w:t xml:space="preserve">5. За неисполнение или ненадлежащее исполнение условий настоящего Соглашения Стороны несут ответственность, предусмотренную законодательством Российской Федерации.</w:t>
      </w:r>
    </w:p>
    <w:p>
      <w:pPr>
        <w:pStyle w:val="0"/>
        <w:jc w:val="both"/>
      </w:pPr>
      <w:r>
        <w:rPr>
          <w:sz w:val="20"/>
        </w:rPr>
      </w:r>
    </w:p>
    <w:p>
      <w:pPr>
        <w:pStyle w:val="0"/>
        <w:outlineLvl w:val="2"/>
        <w:jc w:val="center"/>
      </w:pPr>
      <w:r>
        <w:rPr>
          <w:sz w:val="20"/>
        </w:rPr>
        <w:t xml:space="preserve">IV. Заключительные положения</w:t>
      </w:r>
    </w:p>
    <w:p>
      <w:pPr>
        <w:pStyle w:val="0"/>
        <w:jc w:val="both"/>
      </w:pPr>
      <w:r>
        <w:rPr>
          <w:sz w:val="20"/>
        </w:rPr>
      </w:r>
    </w:p>
    <w:p>
      <w:pPr>
        <w:pStyle w:val="0"/>
        <w:ind w:firstLine="540"/>
        <w:jc w:val="both"/>
      </w:pPr>
      <w:r>
        <w:rPr>
          <w:sz w:val="20"/>
        </w:rPr>
        <w:t xml:space="preserve">6. По иным вопросам, не предусмотренным настоящим Соглашением, Стороны руководствуются законодательством Российской Федерации.</w:t>
      </w:r>
    </w:p>
    <w:p>
      <w:pPr>
        <w:pStyle w:val="0"/>
        <w:jc w:val="both"/>
      </w:pPr>
      <w:r>
        <w:rPr>
          <w:sz w:val="20"/>
        </w:rPr>
      </w:r>
    </w:p>
    <w:p>
      <w:pPr>
        <w:pStyle w:val="0"/>
        <w:outlineLvl w:val="2"/>
        <w:jc w:val="center"/>
      </w:pPr>
      <w:r>
        <w:rPr>
          <w:sz w:val="20"/>
        </w:rPr>
        <w:t xml:space="preserve">V. Реквизиты и подписи Сторон</w:t>
      </w:r>
    </w:p>
    <w:p>
      <w:pPr>
        <w:pStyle w:val="0"/>
        <w:jc w:val="both"/>
      </w:pPr>
      <w:r>
        <w:rPr>
          <w:sz w:val="20"/>
        </w:rPr>
      </w:r>
    </w:p>
    <w:tbl>
      <w:tblPr>
        <w:tblInd w:w="0" w:type="dxa"/>
        <w:tblLayout w:type="fixed"/>
        <w:tblCellMar>
          <w:top w:w="102" w:type="dxa"/>
          <w:left w:w="62" w:type="dxa"/>
          <w:bottom w:w="102" w:type="dxa"/>
          <w:right w:w="62" w:type="dxa"/>
        </w:tblCellMar>
      </w:tblPr>
      <w:tblGrid>
        <w:gridCol w:w="4309"/>
        <w:gridCol w:w="360"/>
        <w:gridCol w:w="4365"/>
      </w:tblGrid>
      <w:tr>
        <w:tc>
          <w:tcPr>
            <w:tcW w:w="4309" w:type="dxa"/>
            <w:tcBorders>
              <w:top w:val="nil"/>
              <w:left w:val="nil"/>
              <w:bottom w:val="nil"/>
              <w:right w:val="nil"/>
            </w:tcBorders>
          </w:tcPr>
          <w:p>
            <w:pPr>
              <w:pStyle w:val="0"/>
              <w:jc w:val="both"/>
            </w:pPr>
            <w:r>
              <w:rPr>
                <w:sz w:val="20"/>
              </w:rPr>
              <w:t xml:space="preserve">Сторона 1</w:t>
            </w:r>
          </w:p>
          <w:p>
            <w:pPr>
              <w:pStyle w:val="0"/>
              <w:jc w:val="both"/>
            </w:pPr>
            <w:r>
              <w:rPr>
                <w:sz w:val="20"/>
              </w:rPr>
              <w:t xml:space="preserve">_____________________________________</w:t>
            </w:r>
          </w:p>
          <w:p>
            <w:pPr>
              <w:pStyle w:val="0"/>
              <w:jc w:val="both"/>
            </w:pPr>
            <w:r>
              <w:rPr>
                <w:sz w:val="20"/>
              </w:rPr>
              <w:t xml:space="preserve">Место нахождения ____________________</w:t>
            </w:r>
          </w:p>
          <w:p>
            <w:pPr>
              <w:pStyle w:val="0"/>
              <w:jc w:val="both"/>
            </w:pPr>
            <w:r>
              <w:rPr>
                <w:sz w:val="20"/>
              </w:rPr>
              <w:t xml:space="preserve">Почтовый адрес _______________________</w:t>
            </w:r>
          </w:p>
          <w:p>
            <w:pPr>
              <w:pStyle w:val="0"/>
              <w:jc w:val="both"/>
            </w:pPr>
            <w:r>
              <w:rPr>
                <w:sz w:val="20"/>
              </w:rPr>
              <w:t xml:space="preserve">ИНН/КПП ____________________________</w:t>
            </w:r>
          </w:p>
          <w:p>
            <w:pPr>
              <w:pStyle w:val="0"/>
              <w:jc w:val="both"/>
            </w:pPr>
            <w:r>
              <w:rPr>
                <w:sz w:val="20"/>
              </w:rPr>
              <w:t xml:space="preserve">Р/с __________________________________</w:t>
            </w:r>
          </w:p>
          <w:p>
            <w:pPr>
              <w:pStyle w:val="0"/>
              <w:jc w:val="both"/>
            </w:pPr>
            <w:r>
              <w:rPr>
                <w:sz w:val="20"/>
              </w:rPr>
              <w:t xml:space="preserve">Банк ________________________________</w:t>
            </w:r>
          </w:p>
          <w:p>
            <w:pPr>
              <w:pStyle w:val="0"/>
              <w:jc w:val="both"/>
            </w:pPr>
            <w:r>
              <w:rPr>
                <w:sz w:val="20"/>
              </w:rPr>
              <w:t xml:space="preserve">БИК _________________________________</w:t>
            </w:r>
          </w:p>
          <w:p>
            <w:pPr>
              <w:pStyle w:val="0"/>
              <w:jc w:val="both"/>
            </w:pPr>
            <w:r>
              <w:rPr>
                <w:sz w:val="20"/>
              </w:rPr>
              <w:t xml:space="preserve">Кор/счет N ___________________________</w:t>
            </w:r>
          </w:p>
        </w:tc>
        <w:tc>
          <w:tcPr>
            <w:tcW w:w="360" w:type="dxa"/>
            <w:tcBorders>
              <w:top w:val="nil"/>
              <w:left w:val="nil"/>
              <w:bottom w:val="nil"/>
              <w:right w:val="nil"/>
            </w:tcBorders>
          </w:tcPr>
          <w:p>
            <w:pPr>
              <w:pStyle w:val="0"/>
            </w:pPr>
            <w:r>
              <w:rPr>
                <w:sz w:val="20"/>
              </w:rPr>
            </w:r>
          </w:p>
        </w:tc>
        <w:tc>
          <w:tcPr>
            <w:tcW w:w="4365" w:type="dxa"/>
            <w:tcBorders>
              <w:top w:val="nil"/>
              <w:left w:val="nil"/>
              <w:bottom w:val="nil"/>
              <w:right w:val="nil"/>
            </w:tcBorders>
          </w:tcPr>
          <w:p>
            <w:pPr>
              <w:pStyle w:val="0"/>
              <w:jc w:val="both"/>
            </w:pPr>
            <w:r>
              <w:rPr>
                <w:sz w:val="20"/>
              </w:rPr>
              <w:t xml:space="preserve">Сторона 2</w:t>
            </w:r>
          </w:p>
          <w:p>
            <w:pPr>
              <w:pStyle w:val="0"/>
              <w:jc w:val="both"/>
            </w:pPr>
            <w:r>
              <w:rPr>
                <w:sz w:val="20"/>
              </w:rPr>
              <w:t xml:space="preserve">_____________________________________</w:t>
            </w:r>
          </w:p>
          <w:p>
            <w:pPr>
              <w:pStyle w:val="0"/>
              <w:jc w:val="both"/>
            </w:pPr>
            <w:r>
              <w:rPr>
                <w:sz w:val="20"/>
              </w:rPr>
              <w:t xml:space="preserve">Место нахождения ____________________</w:t>
            </w:r>
          </w:p>
          <w:p>
            <w:pPr>
              <w:pStyle w:val="0"/>
              <w:jc w:val="both"/>
            </w:pPr>
            <w:r>
              <w:rPr>
                <w:sz w:val="20"/>
              </w:rPr>
              <w:t xml:space="preserve">Почтовый адрес _______________________</w:t>
            </w:r>
          </w:p>
          <w:p>
            <w:pPr>
              <w:pStyle w:val="0"/>
              <w:jc w:val="both"/>
            </w:pPr>
            <w:r>
              <w:rPr>
                <w:sz w:val="20"/>
              </w:rPr>
              <w:t xml:space="preserve">ИНН/КПП ____________________________</w:t>
            </w:r>
          </w:p>
          <w:p>
            <w:pPr>
              <w:pStyle w:val="0"/>
              <w:jc w:val="both"/>
            </w:pPr>
            <w:r>
              <w:rPr>
                <w:sz w:val="20"/>
              </w:rPr>
              <w:t xml:space="preserve">Р/с __________________________________</w:t>
            </w:r>
          </w:p>
          <w:p>
            <w:pPr>
              <w:pStyle w:val="0"/>
              <w:jc w:val="both"/>
            </w:pPr>
            <w:r>
              <w:rPr>
                <w:sz w:val="20"/>
              </w:rPr>
              <w:t xml:space="preserve">Банк ________________________________</w:t>
            </w:r>
          </w:p>
          <w:p>
            <w:pPr>
              <w:pStyle w:val="0"/>
              <w:jc w:val="both"/>
            </w:pPr>
            <w:r>
              <w:rPr>
                <w:sz w:val="20"/>
              </w:rPr>
              <w:t xml:space="preserve">БИК _________________________________</w:t>
            </w:r>
          </w:p>
          <w:p>
            <w:pPr>
              <w:pStyle w:val="0"/>
              <w:jc w:val="both"/>
            </w:pPr>
            <w:r>
              <w:rPr>
                <w:sz w:val="20"/>
              </w:rPr>
              <w:t xml:space="preserve">Кор/счет N ___________________________</w:t>
            </w:r>
          </w:p>
        </w:tc>
      </w:tr>
    </w:tbl>
    <w:p>
      <w:pPr>
        <w:pStyle w:val="0"/>
        <w:jc w:val="both"/>
      </w:pPr>
      <w:r>
        <w:rPr>
          <w:sz w:val="20"/>
        </w:rPr>
      </w:r>
    </w:p>
    <w:p>
      <w:pPr>
        <w:pStyle w:val="0"/>
        <w:jc w:val="center"/>
      </w:pPr>
      <w:r>
        <w:rPr>
          <w:sz w:val="20"/>
        </w:rPr>
        <w:t xml:space="preserve">Подписи Сторон</w:t>
      </w:r>
    </w:p>
    <w:p>
      <w:pPr>
        <w:pStyle w:val="0"/>
        <w:jc w:val="both"/>
      </w:pPr>
      <w:r>
        <w:rPr>
          <w:sz w:val="20"/>
        </w:rPr>
      </w:r>
    </w:p>
    <w:p>
      <w:pPr>
        <w:pStyle w:val="3"/>
        <w:jc w:val="both"/>
      </w:pPr>
      <w:r>
        <w:rPr>
          <w:sz w:val="20"/>
        </w:rPr>
        <w:t xml:space="preserve">           Сторона 1                                   Сторона 2</w:t>
      </w:r>
    </w:p>
    <w:p>
      <w:pPr>
        <w:pStyle w:val="3"/>
        <w:jc w:val="both"/>
      </w:pPr>
      <w:r>
        <w:rPr>
          <w:sz w:val="20"/>
        </w:rPr>
      </w:r>
    </w:p>
    <w:p>
      <w:pPr>
        <w:pStyle w:val="3"/>
        <w:jc w:val="both"/>
      </w:pPr>
      <w:r>
        <w:rPr>
          <w:sz w:val="20"/>
        </w:rPr>
        <w:t xml:space="preserve">_______________________________             _______________________________</w:t>
      </w:r>
    </w:p>
    <w:p>
      <w:pPr>
        <w:pStyle w:val="3"/>
        <w:jc w:val="both"/>
      </w:pPr>
      <w:r>
        <w:rPr>
          <w:sz w:val="20"/>
        </w:rPr>
        <w:t xml:space="preserve">          (должность)                                 (должность)</w:t>
      </w:r>
    </w:p>
    <w:p>
      <w:pPr>
        <w:pStyle w:val="3"/>
        <w:jc w:val="both"/>
      </w:pPr>
      <w:r>
        <w:rPr>
          <w:sz w:val="20"/>
        </w:rPr>
        <w:t xml:space="preserve">______________/________________             ______________/________________</w:t>
      </w:r>
    </w:p>
    <w:p>
      <w:pPr>
        <w:pStyle w:val="3"/>
        <w:jc w:val="both"/>
      </w:pPr>
      <w:r>
        <w:rPr>
          <w:sz w:val="20"/>
        </w:rPr>
        <w:t xml:space="preserve">  (подпись)        (ф.и.о.)                   (подпись)        (ф.и.о.)</w:t>
      </w:r>
    </w:p>
    <w:p>
      <w:pPr>
        <w:pStyle w:val="0"/>
        <w:jc w:val="both"/>
      </w:pPr>
      <w:r>
        <w:rPr>
          <w:sz w:val="20"/>
        </w:rPr>
      </w:r>
    </w:p>
    <w:p>
      <w:pPr>
        <w:pStyle w:val="0"/>
        <w:ind w:firstLine="540"/>
        <w:jc w:val="both"/>
      </w:pPr>
      <w:r>
        <w:rPr>
          <w:sz w:val="20"/>
        </w:rPr>
        <w:t xml:space="preserve">--------------------------------</w:t>
      </w:r>
    </w:p>
    <w:bookmarkStart w:id="5190" w:name="P5190"/>
    <w:bookmarkEnd w:id="5190"/>
    <w:p>
      <w:pPr>
        <w:pStyle w:val="0"/>
        <w:spacing w:before="200" w:line-rule="auto"/>
        <w:ind w:firstLine="540"/>
        <w:jc w:val="both"/>
      </w:pPr>
      <w:r>
        <w:rPr>
          <w:sz w:val="20"/>
        </w:rPr>
        <w:t xml:space="preserve">&lt;1&gt; Типовое соглашение о перераспределении максимальной мощности, приведенное в приложении N 14 к Правилам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не применяется в случае отказа потребителя электрической энергии от максимальной мощности в пользу сетевой организации.</w:t>
      </w:r>
    </w:p>
    <w:bookmarkStart w:id="5191" w:name="P5191"/>
    <w:bookmarkEnd w:id="5191"/>
    <w:p>
      <w:pPr>
        <w:pStyle w:val="0"/>
        <w:spacing w:before="200" w:line-rule="auto"/>
        <w:ind w:firstLine="540"/>
        <w:jc w:val="both"/>
      </w:pPr>
      <w:r>
        <w:rPr>
          <w:sz w:val="20"/>
        </w:rPr>
        <w:t xml:space="preserve">&lt;2&gt; В случае если технические условия подлежат согласованию с субъектом оперативно-диспетчерского управления Сторона 2 реализовывает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 субъектом оперативно-диспетчерского управления.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15</w:t>
      </w:r>
    </w:p>
    <w:p>
      <w:pPr>
        <w:pStyle w:val="0"/>
        <w:jc w:val="right"/>
      </w:pPr>
      <w:r>
        <w:rPr>
          <w:sz w:val="20"/>
        </w:rPr>
        <w:t xml:space="preserve">к Правилам технологического</w:t>
      </w:r>
    </w:p>
    <w:p>
      <w:pPr>
        <w:pStyle w:val="0"/>
        <w:jc w:val="right"/>
      </w:pPr>
      <w:r>
        <w:rPr>
          <w:sz w:val="20"/>
        </w:rPr>
        <w:t xml:space="preserve">присоединения энергопринимающих</w:t>
      </w:r>
    </w:p>
    <w:p>
      <w:pPr>
        <w:pStyle w:val="0"/>
        <w:jc w:val="right"/>
      </w:pPr>
      <w:r>
        <w:rPr>
          <w:sz w:val="20"/>
        </w:rPr>
        <w:t xml:space="preserve">устройств потребителей</w:t>
      </w:r>
    </w:p>
    <w:p>
      <w:pPr>
        <w:pStyle w:val="0"/>
        <w:jc w:val="right"/>
      </w:pPr>
      <w:r>
        <w:rPr>
          <w:sz w:val="20"/>
        </w:rPr>
        <w:t xml:space="preserve">электрической энергии, объектов</w:t>
      </w:r>
    </w:p>
    <w:p>
      <w:pPr>
        <w:pStyle w:val="0"/>
        <w:jc w:val="right"/>
      </w:pPr>
      <w:r>
        <w:rPr>
          <w:sz w:val="20"/>
        </w:rPr>
        <w:t xml:space="preserve">по производству электрической</w:t>
      </w:r>
    </w:p>
    <w:p>
      <w:pPr>
        <w:pStyle w:val="0"/>
        <w:jc w:val="right"/>
      </w:pPr>
      <w:r>
        <w:rPr>
          <w:sz w:val="20"/>
        </w:rPr>
        <w:t xml:space="preserve">энергии, а также объектов</w:t>
      </w:r>
    </w:p>
    <w:p>
      <w:pPr>
        <w:pStyle w:val="0"/>
        <w:jc w:val="right"/>
      </w:pPr>
      <w:r>
        <w:rPr>
          <w:sz w:val="20"/>
        </w:rPr>
        <w:t xml:space="preserve">электросетевого хозяйства,</w:t>
      </w:r>
    </w:p>
    <w:p>
      <w:pPr>
        <w:pStyle w:val="0"/>
        <w:jc w:val="right"/>
      </w:pPr>
      <w:r>
        <w:rPr>
          <w:sz w:val="20"/>
        </w:rPr>
        <w:t xml:space="preserve">принадлежащих сетевым организациям</w:t>
      </w:r>
    </w:p>
    <w:p>
      <w:pPr>
        <w:pStyle w:val="0"/>
        <w:jc w:val="right"/>
      </w:pPr>
      <w:r>
        <w:rPr>
          <w:sz w:val="20"/>
        </w:rPr>
        <w:t xml:space="preserve">и иным лицам, к электрическим сетям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142"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Постановления</w:t>
              </w:r>
            </w:hyperlink>
            <w:r>
              <w:rPr>
                <w:sz w:val="20"/>
                <w:color w:val="392c69"/>
              </w:rPr>
              <w:t xml:space="preserve"> Правительства РФ от 02.03.2021 N 299)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bookmarkStart w:id="5210" w:name="P5210"/>
    <w:bookmarkEnd w:id="5210"/>
    <w:p>
      <w:pPr>
        <w:pStyle w:val="1"/>
        <w:jc w:val="both"/>
      </w:pPr>
      <w:r>
        <w:rPr>
          <w:sz w:val="20"/>
        </w:rPr>
        <w:t xml:space="preserve">                                    АКТ</w:t>
      </w:r>
    </w:p>
    <w:p>
      <w:pPr>
        <w:pStyle w:val="1"/>
        <w:jc w:val="both"/>
      </w:pPr>
      <w:r>
        <w:rPr>
          <w:sz w:val="20"/>
        </w:rPr>
        <w:t xml:space="preserve">                   о выполнении технических условий </w:t>
      </w:r>
      <w:hyperlink w:history="0" w:anchor="P5360" w:tooltip="&lt;1&gt; Акт составляется сетевой организацией, заявителем и субъектом оперативно-диспетчерского управления в случае согласования технических условий с субъектом оперативно-диспетчерского управления. В случае если технические условия согласовывались с субъектом оперативно-диспетчерского управления, а проверки выполнения технических условий в части мероприятий, выполнение которых возложено на заявителя, и в части мероприятий, выполняемых сетевой организацией, проводятся отдельно (в разное время), допускается с...">
        <w:r>
          <w:rPr>
            <w:sz w:val="20"/>
            <w:color w:val="0000ff"/>
          </w:rPr>
          <w:t xml:space="preserve">&lt;1&gt;</w:t>
        </w:r>
      </w:hyperlink>
    </w:p>
    <w:p>
      <w:pPr>
        <w:pStyle w:val="0"/>
        <w:jc w:val="both"/>
      </w:pPr>
      <w:r>
        <w:rPr>
          <w:sz w:val="20"/>
        </w:rPr>
      </w:r>
    </w:p>
    <w:tbl>
      <w:tblPr>
        <w:tblInd w:w="0" w:type="dxa"/>
        <w:tblLayout w:type="fixed"/>
        <w:tblCellMar>
          <w:top w:w="102" w:type="dxa"/>
          <w:left w:w="62" w:type="dxa"/>
          <w:bottom w:w="102" w:type="dxa"/>
          <w:right w:w="62" w:type="dxa"/>
        </w:tblCellMar>
      </w:tblPr>
      <w:tblGrid>
        <w:gridCol w:w="4643"/>
        <w:gridCol w:w="3969"/>
      </w:tblGrid>
      <w:tr>
        <w:tc>
          <w:tcPr>
            <w:tcW w:w="4643" w:type="dxa"/>
            <w:tcBorders>
              <w:top w:val="nil"/>
              <w:left w:val="nil"/>
              <w:bottom w:val="nil"/>
              <w:right w:val="nil"/>
            </w:tcBorders>
          </w:tcPr>
          <w:p>
            <w:pPr>
              <w:pStyle w:val="0"/>
              <w:jc w:val="both"/>
            </w:pPr>
            <w:r>
              <w:rPr>
                <w:sz w:val="20"/>
              </w:rPr>
              <w:t xml:space="preserve">N _______________________</w:t>
            </w:r>
          </w:p>
        </w:tc>
        <w:tc>
          <w:tcPr>
            <w:tcW w:w="3969" w:type="dxa"/>
            <w:tcBorders>
              <w:top w:val="nil"/>
              <w:left w:val="nil"/>
              <w:bottom w:val="nil"/>
              <w:right w:val="nil"/>
            </w:tcBorders>
          </w:tcPr>
          <w:p>
            <w:pPr>
              <w:pStyle w:val="0"/>
              <w:jc w:val="both"/>
            </w:pPr>
            <w:r>
              <w:rPr>
                <w:sz w:val="20"/>
              </w:rPr>
              <w:t xml:space="preserve">"___" __________ 20__ г.</w:t>
            </w:r>
          </w:p>
        </w:tc>
      </w:tr>
    </w:tbl>
    <w:p>
      <w:pPr>
        <w:pStyle w:val="0"/>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(полное наименование сетевой организации)</w:t>
      </w:r>
    </w:p>
    <w:p>
      <w:pPr>
        <w:pStyle w:val="1"/>
        <w:jc w:val="both"/>
      </w:pPr>
      <w:r>
        <w:rPr>
          <w:sz w:val="20"/>
        </w:rPr>
        <w:t xml:space="preserve">именуемое в дальнейшем ___________________________________________________,</w:t>
      </w:r>
    </w:p>
    <w:p>
      <w:pPr>
        <w:pStyle w:val="1"/>
        <w:jc w:val="both"/>
      </w:pPr>
      <w:r>
        <w:rPr>
          <w:sz w:val="20"/>
        </w:rPr>
        <w:t xml:space="preserve">                         (сокращенное наименование сетевой организации)</w:t>
      </w:r>
    </w:p>
    <w:p>
      <w:pPr>
        <w:pStyle w:val="1"/>
        <w:jc w:val="both"/>
      </w:pPr>
      <w:r>
        <w:rPr>
          <w:sz w:val="20"/>
        </w:rPr>
        <w:t xml:space="preserve">в лице ___________________________________________________________________,</w:t>
      </w:r>
    </w:p>
    <w:p>
      <w:pPr>
        <w:pStyle w:val="1"/>
        <w:jc w:val="both"/>
      </w:pPr>
      <w:r>
        <w:rPr>
          <w:sz w:val="20"/>
        </w:rPr>
        <w:t xml:space="preserve">                (ф.и.о. лица - представителя сетевой организации)</w:t>
      </w:r>
    </w:p>
    <w:p>
      <w:pPr>
        <w:pStyle w:val="1"/>
        <w:jc w:val="both"/>
      </w:pPr>
      <w:r>
        <w:rPr>
          <w:sz w:val="20"/>
        </w:rPr>
        <w:t xml:space="preserve">действующего на основании _________________________________________________</w:t>
      </w:r>
    </w:p>
    <w:p>
      <w:pPr>
        <w:pStyle w:val="1"/>
        <w:jc w:val="both"/>
      </w:pPr>
      <w:r>
        <w:rPr>
          <w:sz w:val="20"/>
        </w:rPr>
        <w:t xml:space="preserve">                              (устава, доверенности, иных документов)</w:t>
      </w:r>
    </w:p>
    <w:p>
      <w:pPr>
        <w:pStyle w:val="1"/>
        <w:jc w:val="both"/>
      </w:pPr>
      <w:r>
        <w:rPr>
          <w:sz w:val="20"/>
        </w:rPr>
        <w:t xml:space="preserve">__________________________________________________________________________,</w:t>
      </w:r>
    </w:p>
    <w:p>
      <w:pPr>
        <w:pStyle w:val="1"/>
        <w:jc w:val="both"/>
      </w:pPr>
      <w:r>
        <w:rPr>
          <w:sz w:val="20"/>
        </w:rPr>
        <w:t xml:space="preserve">с одной стороны, и _______________________________________________________,</w:t>
      </w:r>
    </w:p>
    <w:p>
      <w:pPr>
        <w:pStyle w:val="1"/>
        <w:jc w:val="both"/>
      </w:pPr>
      <w:r>
        <w:rPr>
          <w:sz w:val="20"/>
        </w:rPr>
        <w:t xml:space="preserve">                     (полное наименование заявителя - юридического лица,</w:t>
      </w:r>
    </w:p>
    <w:p>
      <w:pPr>
        <w:pStyle w:val="1"/>
        <w:jc w:val="both"/>
      </w:pPr>
      <w:r>
        <w:rPr>
          <w:sz w:val="20"/>
        </w:rPr>
        <w:t xml:space="preserve">                            ф.и.о. заявителя - физического лица)</w:t>
      </w:r>
    </w:p>
    <w:p>
      <w:pPr>
        <w:pStyle w:val="1"/>
        <w:jc w:val="both"/>
      </w:pPr>
      <w:r>
        <w:rPr>
          <w:sz w:val="20"/>
        </w:rPr>
        <w:t xml:space="preserve">именуемое в дальнейшем 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(сокращенное наименование заявителя)</w:t>
      </w:r>
    </w:p>
    <w:p>
      <w:pPr>
        <w:pStyle w:val="1"/>
        <w:jc w:val="both"/>
      </w:pPr>
      <w:r>
        <w:rPr>
          <w:sz w:val="20"/>
        </w:rPr>
        <w:t xml:space="preserve">в лице</w:t>
      </w:r>
    </w:p>
    <w:p>
      <w:pPr>
        <w:pStyle w:val="1"/>
        <w:jc w:val="both"/>
      </w:pPr>
      <w:r>
        <w:rPr>
          <w:sz w:val="20"/>
        </w:rPr>
        <w:t xml:space="preserve">__________________________________________________________________________,</w:t>
      </w:r>
    </w:p>
    <w:p>
      <w:pPr>
        <w:pStyle w:val="1"/>
        <w:jc w:val="both"/>
      </w:pPr>
      <w:r>
        <w:rPr>
          <w:sz w:val="20"/>
        </w:rPr>
        <w:t xml:space="preserve">                  (ф.и.о. лица - представителя заявителя)</w:t>
      </w:r>
    </w:p>
    <w:p>
      <w:pPr>
        <w:pStyle w:val="1"/>
        <w:jc w:val="both"/>
      </w:pPr>
      <w:r>
        <w:rPr>
          <w:sz w:val="20"/>
        </w:rPr>
        <w:t xml:space="preserve">действующего на основании</w:t>
      </w:r>
    </w:p>
    <w:p>
      <w:pPr>
        <w:pStyle w:val="1"/>
        <w:jc w:val="both"/>
      </w:pPr>
      <w:r>
        <w:rPr>
          <w:sz w:val="20"/>
        </w:rPr>
        <w:t xml:space="preserve">__________________________________________________________________________,</w:t>
      </w:r>
    </w:p>
    <w:p>
      <w:pPr>
        <w:pStyle w:val="1"/>
        <w:jc w:val="both"/>
      </w:pPr>
      <w:r>
        <w:rPr>
          <w:sz w:val="20"/>
        </w:rPr>
        <w:t xml:space="preserve">                  (устава, доверенности, иных документов)</w:t>
      </w:r>
    </w:p>
    <w:p>
      <w:pPr>
        <w:pStyle w:val="1"/>
        <w:jc w:val="both"/>
      </w:pPr>
      <w:r>
        <w:rPr>
          <w:sz w:val="20"/>
        </w:rPr>
        <w:t xml:space="preserve">с другой стороны, в дальнейшем именуемые сторонами, составили настоящий акт</w:t>
      </w:r>
    </w:p>
    <w:p>
      <w:pPr>
        <w:pStyle w:val="1"/>
        <w:jc w:val="both"/>
      </w:pPr>
      <w:r>
        <w:rPr>
          <w:sz w:val="20"/>
        </w:rPr>
        <w:t xml:space="preserve">о нижеследующем:</w:t>
      </w:r>
    </w:p>
    <w:p>
      <w:pPr>
        <w:pStyle w:val="1"/>
        <w:jc w:val="both"/>
      </w:pPr>
      <w:r>
        <w:rPr>
          <w:sz w:val="20"/>
        </w:rPr>
        <w:t xml:space="preserve">    1.    Характеристики   присоединения   по   техническим   условиям   от</w:t>
      </w:r>
    </w:p>
    <w:p>
      <w:pPr>
        <w:pStyle w:val="1"/>
        <w:jc w:val="both"/>
      </w:pPr>
      <w:r>
        <w:rPr>
          <w:sz w:val="20"/>
        </w:rPr>
        <w:t xml:space="preserve">_____________  N  __________  к договору о технологическом присоединении от</w:t>
      </w:r>
    </w:p>
    <w:p>
      <w:pPr>
        <w:pStyle w:val="1"/>
        <w:jc w:val="both"/>
      </w:pPr>
      <w:r>
        <w:rPr>
          <w:sz w:val="20"/>
        </w:rPr>
        <w:t xml:space="preserve">______________ N _________.</w:t>
      </w:r>
    </w:p>
    <w:p>
      <w:pPr>
        <w:pStyle w:val="1"/>
        <w:jc w:val="both"/>
      </w:pPr>
      <w:r>
        <w:rPr>
          <w:sz w:val="20"/>
        </w:rPr>
        <w:t xml:space="preserve">    2. В ходе проверки рассмотрено выполнение</w:t>
      </w:r>
    </w:p>
    <w:p>
      <w:pPr>
        <w:pStyle w:val="1"/>
        <w:jc w:val="both"/>
      </w:pPr>
      <w:r>
        <w:rPr>
          <w:sz w:val="20"/>
        </w:rPr>
        <w:t xml:space="preserve">__________________________________________________________________________.</w:t>
      </w:r>
    </w:p>
    <w:p>
      <w:pPr>
        <w:pStyle w:val="1"/>
        <w:jc w:val="both"/>
      </w:pPr>
      <w:r>
        <w:rPr>
          <w:sz w:val="20"/>
        </w:rPr>
        <w:t xml:space="preserve">            (перечень требований, пунктов технических условий)</w:t>
      </w:r>
    </w:p>
    <w:p>
      <w:pPr>
        <w:pStyle w:val="1"/>
        <w:jc w:val="both"/>
      </w:pPr>
      <w:r>
        <w:rPr>
          <w:sz w:val="20"/>
        </w:rPr>
        <w:t xml:space="preserve">    3. Максимальная мощность (всего) ________ кВт, в том числе:</w:t>
      </w:r>
    </w:p>
    <w:p>
      <w:pPr>
        <w:pStyle w:val="1"/>
        <w:jc w:val="both"/>
      </w:pPr>
      <w:r>
        <w:rPr>
          <w:sz w:val="20"/>
        </w:rPr>
        <w:t xml:space="preserve">    присоединяемая  максимальная  мощность  (без учета ранее присоединенной</w:t>
      </w:r>
    </w:p>
    <w:p>
      <w:pPr>
        <w:pStyle w:val="1"/>
        <w:jc w:val="both"/>
      </w:pPr>
      <w:r>
        <w:rPr>
          <w:sz w:val="20"/>
        </w:rPr>
        <w:t xml:space="preserve">(существующей) максимальной мощности) _________ кВт;</w:t>
      </w:r>
    </w:p>
    <w:p>
      <w:pPr>
        <w:pStyle w:val="1"/>
        <w:jc w:val="both"/>
      </w:pPr>
      <w:r>
        <w:rPr>
          <w:sz w:val="20"/>
        </w:rPr>
        <w:t xml:space="preserve">    ранее присоединенная максимальная мощность _________ кВт </w:t>
      </w:r>
      <w:hyperlink w:history="0" w:anchor="P5361" w:tooltip="&lt;2&gt; Заполняется в случае увеличения максимальной мощности ранее присоединенных энергопринимающих устройств (энергетических установок).">
        <w:r>
          <w:rPr>
            <w:sz w:val="20"/>
            <w:color w:val="0000ff"/>
          </w:rPr>
          <w:t xml:space="preserve">&lt;2&gt;</w:t>
        </w:r>
      </w:hyperlink>
      <w:r>
        <w:rPr>
          <w:sz w:val="20"/>
        </w:rPr>
        <w:t xml:space="preserve">;</w:t>
      </w:r>
    </w:p>
    <w:p>
      <w:pPr>
        <w:pStyle w:val="1"/>
        <w:jc w:val="both"/>
      </w:pPr>
      <w:r>
        <w:rPr>
          <w:sz w:val="20"/>
        </w:rPr>
        <w:t xml:space="preserve">    Максимальная мощность объектов микрогенерации (всего) ________ кВт </w:t>
      </w:r>
      <w:hyperlink w:history="0" w:anchor="P5362" w:tooltip="&lt;3&gt; Заполняется в случае технологического присоединения объектов микрогенерации.">
        <w:r>
          <w:rPr>
            <w:sz w:val="20"/>
            <w:color w:val="0000ff"/>
          </w:rPr>
          <w:t xml:space="preserve">&lt;3&gt;</w:t>
        </w:r>
      </w:hyperlink>
      <w:r>
        <w:rPr>
          <w:sz w:val="20"/>
        </w:rPr>
        <w:t xml:space="preserve">.</w:t>
      </w:r>
    </w:p>
    <w:p>
      <w:pPr>
        <w:pStyle w:val="1"/>
        <w:jc w:val="both"/>
      </w:pPr>
      <w:r>
        <w:rPr>
          <w:sz w:val="20"/>
        </w:rPr>
        <w:t xml:space="preserve">    Категория надежности электроснабжения _________.</w:t>
      </w:r>
    </w:p>
    <w:p>
      <w:pPr>
        <w:pStyle w:val="1"/>
        <w:jc w:val="both"/>
      </w:pPr>
      <w:r>
        <w:rPr>
          <w:sz w:val="20"/>
        </w:rPr>
      </w:r>
    </w:p>
    <w:p>
      <w:pPr>
        <w:pStyle w:val="1"/>
        <w:jc w:val="both"/>
      </w:pPr>
      <w:r>
        <w:rPr>
          <w:sz w:val="20"/>
        </w:rPr>
        <w:t xml:space="preserve">    Перечень точек присоединения: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86"/>
        <w:gridCol w:w="2068"/>
        <w:gridCol w:w="1822"/>
        <w:gridCol w:w="1304"/>
        <w:gridCol w:w="1417"/>
        <w:gridCol w:w="1952"/>
      </w:tblGrid>
      <w:tr>
        <w:tc>
          <w:tcPr>
            <w:tcW w:w="486" w:type="dxa"/>
          </w:tcPr>
          <w:p>
            <w:pPr>
              <w:pStyle w:val="0"/>
              <w:jc w:val="center"/>
            </w:pPr>
            <w:r>
              <w:rPr>
                <w:sz w:val="20"/>
              </w:rPr>
              <w:t xml:space="preserve">N</w:t>
            </w:r>
          </w:p>
        </w:tc>
        <w:tc>
          <w:tcPr>
            <w:tcW w:w="2068" w:type="dxa"/>
          </w:tcPr>
          <w:p>
            <w:pPr>
              <w:pStyle w:val="0"/>
              <w:jc w:val="center"/>
            </w:pPr>
            <w:r>
              <w:rPr>
                <w:sz w:val="20"/>
              </w:rPr>
              <w:t xml:space="preserve">Источник питания (наименование питающих линий)</w:t>
            </w:r>
          </w:p>
        </w:tc>
        <w:tc>
          <w:tcPr>
            <w:tcW w:w="1822" w:type="dxa"/>
          </w:tcPr>
          <w:p>
            <w:pPr>
              <w:pStyle w:val="0"/>
              <w:jc w:val="center"/>
            </w:pPr>
            <w:r>
              <w:rPr>
                <w:sz w:val="20"/>
              </w:rPr>
              <w:t xml:space="preserve">Описание точки присоединения</w:t>
            </w:r>
          </w:p>
        </w:tc>
        <w:tc>
          <w:tcPr>
            <w:tcW w:w="1304" w:type="dxa"/>
          </w:tcPr>
          <w:p>
            <w:pPr>
              <w:pStyle w:val="0"/>
              <w:jc w:val="center"/>
            </w:pPr>
            <w:r>
              <w:rPr>
                <w:sz w:val="20"/>
              </w:rPr>
              <w:t xml:space="preserve">Уровень напряжения (кВ)</w:t>
            </w:r>
          </w:p>
        </w:tc>
        <w:tc>
          <w:tcPr>
            <w:tcW w:w="1417" w:type="dxa"/>
          </w:tcPr>
          <w:p>
            <w:pPr>
              <w:pStyle w:val="0"/>
              <w:jc w:val="center"/>
            </w:pPr>
            <w:r>
              <w:rPr>
                <w:sz w:val="20"/>
              </w:rPr>
              <w:t xml:space="preserve">Максимальная мощность (кВт)</w:t>
            </w:r>
          </w:p>
        </w:tc>
        <w:tc>
          <w:tcPr>
            <w:tcW w:w="1952" w:type="dxa"/>
          </w:tcPr>
          <w:p>
            <w:pPr>
              <w:pStyle w:val="0"/>
              <w:jc w:val="center"/>
            </w:pPr>
            <w:r>
              <w:rPr>
                <w:sz w:val="20"/>
              </w:rPr>
              <w:t xml:space="preserve">Максимальная мощность объектов микрогенерации (кВт) </w:t>
            </w:r>
            <w:hyperlink w:history="0" w:anchor="P5362" w:tooltip="&lt;3&gt; Заполняется в случае технологического присоединения объектов микрогенерации.">
              <w:r>
                <w:rPr>
                  <w:sz w:val="20"/>
                  <w:color w:val="0000ff"/>
                </w:rPr>
                <w:t xml:space="preserve">&lt;3&gt;</w:t>
              </w:r>
            </w:hyperlink>
          </w:p>
        </w:tc>
      </w:tr>
      <w:tr>
        <w:tc>
          <w:tcPr>
            <w:tcW w:w="486" w:type="dxa"/>
            <w:vAlign w:val="center"/>
          </w:tcPr>
          <w:p>
            <w:pPr>
              <w:pStyle w:val="0"/>
            </w:pPr>
            <w:r>
              <w:rPr>
                <w:sz w:val="20"/>
              </w:rPr>
            </w:r>
          </w:p>
        </w:tc>
        <w:tc>
          <w:tcPr>
            <w:tcW w:w="2068" w:type="dxa"/>
            <w:vAlign w:val="center"/>
          </w:tcPr>
          <w:p>
            <w:pPr>
              <w:pStyle w:val="0"/>
            </w:pPr>
            <w:r>
              <w:rPr>
                <w:sz w:val="20"/>
              </w:rPr>
            </w:r>
          </w:p>
        </w:tc>
        <w:tc>
          <w:tcPr>
            <w:tcW w:w="1822" w:type="dxa"/>
            <w:vAlign w:val="center"/>
          </w:tcPr>
          <w:p>
            <w:pPr>
              <w:pStyle w:val="0"/>
            </w:pPr>
            <w:r>
              <w:rPr>
                <w:sz w:val="20"/>
              </w:rPr>
            </w:r>
          </w:p>
        </w:tc>
        <w:tc>
          <w:tcPr>
            <w:tcW w:w="1304" w:type="dxa"/>
            <w:vAlign w:val="center"/>
          </w:tcPr>
          <w:p>
            <w:pPr>
              <w:pStyle w:val="0"/>
            </w:pPr>
            <w:r>
              <w:rPr>
                <w:sz w:val="20"/>
              </w:rPr>
            </w:r>
          </w:p>
        </w:tc>
        <w:tc>
          <w:tcPr>
            <w:tcW w:w="1417" w:type="dxa"/>
            <w:vAlign w:val="center"/>
          </w:tcPr>
          <w:p>
            <w:pPr>
              <w:pStyle w:val="0"/>
            </w:pPr>
            <w:r>
              <w:rPr>
                <w:sz w:val="20"/>
              </w:rPr>
            </w:r>
          </w:p>
        </w:tc>
        <w:tc>
          <w:tcPr>
            <w:tcW w:w="1952" w:type="dxa"/>
            <w:vAlign w:val="center"/>
          </w:tcPr>
          <w:p>
            <w:pPr>
              <w:pStyle w:val="0"/>
            </w:pPr>
            <w:r>
              <w:rPr>
                <w:sz w:val="20"/>
              </w:rPr>
            </w:r>
          </w:p>
        </w:tc>
      </w:tr>
      <w:tr>
        <w:tc>
          <w:tcPr>
            <w:tcW w:w="486" w:type="dxa"/>
            <w:vAlign w:val="center"/>
          </w:tcPr>
          <w:p>
            <w:pPr>
              <w:pStyle w:val="0"/>
            </w:pPr>
            <w:r>
              <w:rPr>
                <w:sz w:val="20"/>
              </w:rPr>
            </w:r>
          </w:p>
        </w:tc>
        <w:tc>
          <w:tcPr>
            <w:tcW w:w="2068" w:type="dxa"/>
            <w:vAlign w:val="center"/>
          </w:tcPr>
          <w:p>
            <w:pPr>
              <w:pStyle w:val="0"/>
            </w:pPr>
            <w:r>
              <w:rPr>
                <w:sz w:val="20"/>
              </w:rPr>
            </w:r>
          </w:p>
        </w:tc>
        <w:tc>
          <w:tcPr>
            <w:tcW w:w="1822" w:type="dxa"/>
            <w:vAlign w:val="center"/>
          </w:tcPr>
          <w:p>
            <w:pPr>
              <w:pStyle w:val="0"/>
            </w:pPr>
            <w:r>
              <w:rPr>
                <w:sz w:val="20"/>
              </w:rPr>
            </w:r>
          </w:p>
        </w:tc>
        <w:tc>
          <w:tcPr>
            <w:tcW w:w="1304" w:type="dxa"/>
            <w:vAlign w:val="center"/>
          </w:tcPr>
          <w:p>
            <w:pPr>
              <w:pStyle w:val="0"/>
            </w:pPr>
            <w:r>
              <w:rPr>
                <w:sz w:val="20"/>
              </w:rPr>
            </w:r>
          </w:p>
        </w:tc>
        <w:tc>
          <w:tcPr>
            <w:tcW w:w="1417" w:type="dxa"/>
            <w:vAlign w:val="center"/>
          </w:tcPr>
          <w:p>
            <w:pPr>
              <w:pStyle w:val="0"/>
            </w:pPr>
            <w:r>
              <w:rPr>
                <w:sz w:val="20"/>
              </w:rPr>
            </w:r>
          </w:p>
        </w:tc>
        <w:tc>
          <w:tcPr>
            <w:tcW w:w="1952" w:type="dxa"/>
            <w:vAlign w:val="center"/>
          </w:tcPr>
          <w:p>
            <w:pPr>
              <w:pStyle w:val="0"/>
            </w:pPr>
            <w:r>
              <w:rPr>
                <w:sz w:val="20"/>
              </w:rPr>
            </w:r>
          </w:p>
        </w:tc>
      </w:tr>
    </w:tbl>
    <w:p>
      <w:pPr>
        <w:pStyle w:val="0"/>
        <w:jc w:val="both"/>
      </w:pPr>
      <w:r>
        <w:rPr>
          <w:sz w:val="20"/>
        </w:rPr>
      </w:r>
    </w:p>
    <w:p>
      <w:pPr>
        <w:pStyle w:val="1"/>
        <w:jc w:val="both"/>
      </w:pPr>
      <w:r>
        <w:rPr>
          <w:sz w:val="20"/>
        </w:rPr>
        <w:t xml:space="preserve">    4.  В  ходе  проверки рассмотрены следующие документы, представленные в</w:t>
      </w:r>
    </w:p>
    <w:p>
      <w:pPr>
        <w:pStyle w:val="1"/>
        <w:jc w:val="both"/>
      </w:pPr>
      <w:r>
        <w:rPr>
          <w:sz w:val="20"/>
        </w:rPr>
        <w:t xml:space="preserve">целях подтверждения выполнения технических условий:</w:t>
      </w:r>
    </w:p>
    <w:p>
      <w:pPr>
        <w:pStyle w:val="1"/>
        <w:jc w:val="both"/>
      </w:pPr>
      <w:r>
        <w:rPr>
          <w:sz w:val="20"/>
        </w:rPr>
        <w:t xml:space="preserve">__________________________________________________________________________.</w:t>
      </w:r>
    </w:p>
    <w:p>
      <w:pPr>
        <w:pStyle w:val="1"/>
        <w:jc w:val="both"/>
      </w:pPr>
      <w:r>
        <w:rPr>
          <w:sz w:val="20"/>
        </w:rPr>
        <w:t xml:space="preserve">     (указываются наименования и реквизиты документов, представленных</w:t>
      </w:r>
    </w:p>
    <w:p>
      <w:pPr>
        <w:pStyle w:val="1"/>
        <w:jc w:val="both"/>
      </w:pPr>
      <w:r>
        <w:rPr>
          <w:sz w:val="20"/>
        </w:rPr>
        <w:t xml:space="preserve"> заявителем и (или) сетевой организацией в целях подтверждения выполнения</w:t>
      </w:r>
    </w:p>
    <w:p>
      <w:pPr>
        <w:pStyle w:val="1"/>
        <w:jc w:val="both"/>
      </w:pPr>
      <w:r>
        <w:rPr>
          <w:sz w:val="20"/>
        </w:rPr>
        <w:t xml:space="preserve">                           технических условий)</w:t>
      </w:r>
    </w:p>
    <w:p>
      <w:pPr>
        <w:pStyle w:val="1"/>
        <w:jc w:val="both"/>
      </w:pPr>
      <w:r>
        <w:rPr>
          <w:sz w:val="20"/>
        </w:rPr>
      </w:r>
    </w:p>
    <w:p>
      <w:pPr>
        <w:pStyle w:val="1"/>
        <w:jc w:val="both"/>
      </w:pPr>
      <w:r>
        <w:rPr>
          <w:sz w:val="20"/>
        </w:rPr>
        <w:t xml:space="preserve">    5. Проведен осмотр электроустановок заявителя</w:t>
      </w:r>
    </w:p>
    <w:p>
      <w:pPr>
        <w:pStyle w:val="1"/>
        <w:jc w:val="both"/>
      </w:pPr>
      <w:r>
        <w:rPr>
          <w:sz w:val="20"/>
        </w:rPr>
        <w:t xml:space="preserve">___________________________________________________________________________</w:t>
      </w:r>
    </w:p>
    <w:p>
      <w:pPr>
        <w:pStyle w:val="1"/>
        <w:jc w:val="both"/>
      </w:pPr>
      <w:r>
        <w:rPr>
          <w:sz w:val="20"/>
        </w:rPr>
        <w:t xml:space="preserve">                    (перечень электроустановок, адрес)</w:t>
      </w:r>
    </w:p>
    <w:p>
      <w:pPr>
        <w:pStyle w:val="1"/>
        <w:jc w:val="both"/>
      </w:pPr>
      <w:r>
        <w:rPr>
          <w:sz w:val="20"/>
        </w:rPr>
        <w:t xml:space="preserve">сетевой организацией в лице _______________________________________________</w:t>
      </w:r>
    </w:p>
    <w:p>
      <w:pPr>
        <w:pStyle w:val="1"/>
        <w:jc w:val="both"/>
      </w:pPr>
      <w:r>
        <w:rPr>
          <w:sz w:val="20"/>
        </w:rPr>
        <w:t xml:space="preserve">                                (должностное лицо сетевой организации)</w:t>
      </w:r>
    </w:p>
    <w:p>
      <w:pPr>
        <w:pStyle w:val="1"/>
        <w:jc w:val="both"/>
      </w:pPr>
      <w:r>
        <w:rPr>
          <w:sz w:val="20"/>
        </w:rPr>
        <w:t xml:space="preserve">с участием </w:t>
      </w:r>
      <w:hyperlink w:history="0" w:anchor="P5363" w:tooltip="&lt;4&gt; Заполняется в случае, если выполнялся осмотр электроустановок, построенных (реконструированных) в рамках выполнения технических условий, подлежащих согласованию с субъектом оперативно-диспетчерского управления.">
        <w:r>
          <w:rPr>
            <w:sz w:val="20"/>
            <w:color w:val="0000ff"/>
          </w:rPr>
          <w:t xml:space="preserve">&lt;4&gt;</w:t>
        </w:r>
      </w:hyperlink>
      <w:r>
        <w:rPr>
          <w:sz w:val="20"/>
        </w:rPr>
        <w:t xml:space="preserve"> ___________________________________________________________,</w:t>
      </w:r>
    </w:p>
    <w:p>
      <w:pPr>
        <w:pStyle w:val="1"/>
        <w:jc w:val="both"/>
      </w:pPr>
      <w:r>
        <w:rPr>
          <w:sz w:val="20"/>
        </w:rPr>
        <w:t xml:space="preserve">                  (должностное лицо субъекта оперативно-диспетчерского</w:t>
      </w:r>
    </w:p>
    <w:p>
      <w:pPr>
        <w:pStyle w:val="1"/>
        <w:jc w:val="both"/>
      </w:pPr>
      <w:r>
        <w:rPr>
          <w:sz w:val="20"/>
        </w:rPr>
        <w:t xml:space="preserve">                                      управления)</w:t>
      </w:r>
    </w:p>
    <w:p>
      <w:pPr>
        <w:pStyle w:val="1"/>
        <w:jc w:val="both"/>
      </w:pPr>
      <w:r>
        <w:rPr>
          <w:sz w:val="20"/>
        </w:rPr>
        <w:t xml:space="preserve">__________________________________________________________________________,</w:t>
      </w:r>
    </w:p>
    <w:p>
      <w:pPr>
        <w:pStyle w:val="1"/>
        <w:jc w:val="both"/>
      </w:pPr>
      <w:r>
        <w:rPr>
          <w:sz w:val="20"/>
        </w:rPr>
        <w:t xml:space="preserve">            (ф.и.о., телефон, наименование организации, адрес)</w:t>
      </w:r>
    </w:p>
    <w:p>
      <w:pPr>
        <w:pStyle w:val="1"/>
        <w:jc w:val="both"/>
      </w:pPr>
      <w:r>
        <w:rPr>
          <w:sz w:val="20"/>
        </w:rPr>
        <w:t xml:space="preserve">построенных (реконструированных) в рамках выполнения технических условий от</w:t>
      </w:r>
    </w:p>
    <w:p>
      <w:pPr>
        <w:pStyle w:val="1"/>
        <w:jc w:val="both"/>
      </w:pPr>
      <w:r>
        <w:rPr>
          <w:sz w:val="20"/>
        </w:rPr>
        <w:t xml:space="preserve">_______________  N  _______  к  договору о технологическом присоединении от</w:t>
      </w:r>
    </w:p>
    <w:p>
      <w:pPr>
        <w:pStyle w:val="1"/>
        <w:jc w:val="both"/>
      </w:pPr>
      <w:r>
        <w:rPr>
          <w:sz w:val="20"/>
        </w:rPr>
        <w:t xml:space="preserve">______________ N _______.</w:t>
      </w:r>
    </w:p>
    <w:p>
      <w:pPr>
        <w:pStyle w:val="1"/>
        <w:jc w:val="both"/>
      </w:pPr>
      <w:r>
        <w:rPr>
          <w:sz w:val="20"/>
        </w:rPr>
      </w:r>
    </w:p>
    <w:p>
      <w:pPr>
        <w:pStyle w:val="1"/>
        <w:jc w:val="both"/>
      </w:pPr>
      <w:r>
        <w:rPr>
          <w:sz w:val="20"/>
        </w:rPr>
        <w:t xml:space="preserve">    В ходе проведения осмотра установлены:</w:t>
      </w:r>
    </w:p>
    <w:p>
      <w:pPr>
        <w:pStyle w:val="1"/>
        <w:jc w:val="both"/>
      </w:pPr>
      <w:r>
        <w:rPr>
          <w:sz w:val="20"/>
        </w:rPr>
        <w:t xml:space="preserve">    перечень   и   характеристики   электрооборудования,  предъявленного  к</w:t>
      </w:r>
    </w:p>
    <w:p>
      <w:pPr>
        <w:pStyle w:val="1"/>
        <w:jc w:val="both"/>
      </w:pPr>
      <w:r>
        <w:rPr>
          <w:sz w:val="20"/>
        </w:rPr>
        <w:t xml:space="preserve">осмотру:</w:t>
      </w:r>
    </w:p>
    <w:p>
      <w:pPr>
        <w:pStyle w:val="1"/>
        <w:jc w:val="both"/>
      </w:pPr>
      <w:r>
        <w:rPr>
          <w:sz w:val="20"/>
        </w:rPr>
        <w:t xml:space="preserve">__________________________________________________________________________;</w:t>
      </w:r>
    </w:p>
    <w:p>
      <w:pPr>
        <w:pStyle w:val="1"/>
        <w:jc w:val="both"/>
      </w:pPr>
      <w:r>
        <w:rPr>
          <w:sz w:val="20"/>
        </w:rPr>
        <w:t xml:space="preserve">  (тип, мощность, напряжение, количество, длина, марка и сечение кабелей,</w:t>
      </w:r>
    </w:p>
    <w:p>
      <w:pPr>
        <w:pStyle w:val="1"/>
        <w:jc w:val="both"/>
      </w:pPr>
      <w:r>
        <w:rPr>
          <w:sz w:val="20"/>
        </w:rPr>
        <w:t xml:space="preserve">                   проводов, характеристики линий и др.)</w:t>
      </w:r>
    </w:p>
    <w:p>
      <w:pPr>
        <w:pStyle w:val="1"/>
        <w:jc w:val="both"/>
      </w:pPr>
      <w:r>
        <w:rPr>
          <w:sz w:val="20"/>
        </w:rPr>
        <w:t xml:space="preserve">    устройства   релейной  защиты,  сетевой,  противоаварийной  и  режимной</w:t>
      </w:r>
    </w:p>
    <w:p>
      <w:pPr>
        <w:pStyle w:val="1"/>
        <w:jc w:val="both"/>
      </w:pPr>
      <w:r>
        <w:rPr>
          <w:sz w:val="20"/>
        </w:rPr>
        <w:t xml:space="preserve">автоматики:</w:t>
      </w:r>
    </w:p>
    <w:p>
      <w:pPr>
        <w:pStyle w:val="1"/>
        <w:jc w:val="both"/>
      </w:pPr>
      <w:r>
        <w:rPr>
          <w:sz w:val="20"/>
        </w:rPr>
        <w:t xml:space="preserve">__________________________________________________________________________;</w:t>
      </w:r>
    </w:p>
    <w:p>
      <w:pPr>
        <w:pStyle w:val="1"/>
        <w:jc w:val="both"/>
      </w:pPr>
      <w:r>
        <w:rPr>
          <w:sz w:val="20"/>
        </w:rPr>
        <w:t xml:space="preserve">                 (виды релейной защиты и автоматики и др.)</w:t>
      </w:r>
    </w:p>
    <w:p>
      <w:pPr>
        <w:pStyle w:val="1"/>
        <w:jc w:val="both"/>
      </w:pPr>
      <w:r>
        <w:rPr>
          <w:sz w:val="20"/>
        </w:rPr>
        <w:t xml:space="preserve">    автономный резервный источник питания:</w:t>
      </w:r>
    </w:p>
    <w:p>
      <w:pPr>
        <w:pStyle w:val="1"/>
        <w:jc w:val="both"/>
      </w:pPr>
      <w:r>
        <w:rPr>
          <w:sz w:val="20"/>
        </w:rPr>
        <w:t xml:space="preserve">__________________________________________________________________________.</w:t>
      </w:r>
    </w:p>
    <w:p>
      <w:pPr>
        <w:pStyle w:val="1"/>
        <w:jc w:val="both"/>
      </w:pPr>
      <w:r>
        <w:rPr>
          <w:sz w:val="20"/>
        </w:rPr>
        <w:t xml:space="preserve">            (место установки, тип, мощность, напряжение и др.)</w:t>
      </w:r>
    </w:p>
    <w:p>
      <w:pPr>
        <w:pStyle w:val="1"/>
        <w:jc w:val="both"/>
      </w:pPr>
      <w:r>
        <w:rPr>
          <w:sz w:val="20"/>
        </w:rPr>
      </w:r>
    </w:p>
    <w:p>
      <w:pPr>
        <w:pStyle w:val="1"/>
        <w:jc w:val="both"/>
      </w:pPr>
      <w:r>
        <w:rPr>
          <w:sz w:val="20"/>
        </w:rPr>
        <w:t xml:space="preserve">    6.    По    результатам    проверки   установлено,   что   мероприятия,</w:t>
      </w:r>
    </w:p>
    <w:p>
      <w:pPr>
        <w:pStyle w:val="1"/>
        <w:jc w:val="both"/>
      </w:pPr>
      <w:r>
        <w:rPr>
          <w:sz w:val="20"/>
        </w:rPr>
        <w:t xml:space="preserve">предусмотренные   техническими   условиями  (этапом  технических  условий),</w:t>
      </w:r>
    </w:p>
    <w:p>
      <w:pPr>
        <w:pStyle w:val="1"/>
        <w:jc w:val="both"/>
      </w:pPr>
      <w:r>
        <w:rPr>
          <w:sz w:val="20"/>
        </w:rPr>
        <w:t xml:space="preserve">выполнены</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7. Прочие отметки: ___________________________________________________.</w:t>
      </w:r>
    </w:p>
    <w:p>
      <w:pPr>
        <w:pStyle w:val="0"/>
        <w:jc w:val="both"/>
      </w:pPr>
      <w:r>
        <w:rPr>
          <w:sz w:val="20"/>
        </w:rPr>
      </w:r>
    </w:p>
    <w:tbl>
      <w:tblPr>
        <w:tblInd w:w="0" w:type="dxa"/>
        <w:tblLayout w:type="fixed"/>
        <w:tblCellMar>
          <w:top w:w="102" w:type="dxa"/>
          <w:left w:w="62" w:type="dxa"/>
          <w:bottom w:w="102" w:type="dxa"/>
          <w:right w:w="62" w:type="dxa"/>
        </w:tblCellMar>
      </w:tblPr>
      <w:tblGrid>
        <w:gridCol w:w="2021"/>
        <w:gridCol w:w="340"/>
        <w:gridCol w:w="1891"/>
        <w:gridCol w:w="340"/>
        <w:gridCol w:w="2184"/>
        <w:gridCol w:w="340"/>
        <w:gridCol w:w="1936"/>
      </w:tblGrid>
      <w:tr>
        <w:tc>
          <w:tcPr>
            <w:gridSpan w:val="3"/>
            <w:tcW w:w="4252" w:type="dxa"/>
            <w:tcBorders>
              <w:top w:val="nil"/>
              <w:left w:val="nil"/>
              <w:bottom w:val="nil"/>
              <w:right w:val="nil"/>
            </w:tcBorders>
          </w:tcPr>
          <w:p>
            <w:pPr>
              <w:pStyle w:val="0"/>
              <w:jc w:val="center"/>
            </w:pPr>
            <w:r>
              <w:rPr>
                <w:sz w:val="20"/>
              </w:rPr>
              <w:t xml:space="preserve">Должностное лицо сетевой организации</w:t>
            </w:r>
          </w:p>
        </w:tc>
        <w:tc>
          <w:tcPr>
            <w:tcW w:w="340" w:type="dxa"/>
            <w:tcBorders>
              <w:top w:val="nil"/>
              <w:left w:val="nil"/>
              <w:bottom w:val="nil"/>
              <w:right w:val="nil"/>
            </w:tcBorders>
          </w:tcPr>
          <w:p>
            <w:pPr>
              <w:pStyle w:val="0"/>
            </w:pPr>
            <w:r>
              <w:rPr>
                <w:sz w:val="20"/>
              </w:rPr>
            </w:r>
          </w:p>
        </w:tc>
        <w:tc>
          <w:tcPr>
            <w:gridSpan w:val="3"/>
            <w:tcW w:w="4460" w:type="dxa"/>
            <w:tcBorders>
              <w:top w:val="nil"/>
              <w:left w:val="nil"/>
              <w:bottom w:val="nil"/>
              <w:right w:val="nil"/>
            </w:tcBorders>
          </w:tcPr>
          <w:p>
            <w:pPr>
              <w:pStyle w:val="0"/>
              <w:jc w:val="center"/>
            </w:pPr>
            <w:r>
              <w:rPr>
                <w:sz w:val="20"/>
              </w:rPr>
              <w:t xml:space="preserve">Заявитель (уполномоченный представитель заявителя)</w:t>
            </w:r>
          </w:p>
        </w:tc>
      </w:tr>
      <w:tr>
        <w:tc>
          <w:tcPr>
            <w:gridSpan w:val="3"/>
            <w:tcW w:w="4252"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gridSpan w:val="3"/>
            <w:tcW w:w="4460" w:type="dxa"/>
            <w:tcBorders>
              <w:top w:val="nil"/>
              <w:left w:val="nil"/>
              <w:bottom w:val="single" w:sz="4"/>
              <w:right w:val="nil"/>
            </w:tcBorders>
          </w:tcPr>
          <w:p>
            <w:pPr>
              <w:pStyle w:val="0"/>
            </w:pPr>
            <w:r>
              <w:rPr>
                <w:sz w:val="20"/>
              </w:rPr>
            </w:r>
          </w:p>
        </w:tc>
      </w:tr>
      <w:tr>
        <w:tblPrEx>
          <w:tblBorders>
            <w:insideH w:val="single" w:sz="4"/>
          </w:tblBorders>
        </w:tblPrEx>
        <w:tc>
          <w:tcPr>
            <w:gridSpan w:val="3"/>
            <w:tcW w:w="4252" w:type="dxa"/>
            <w:tcBorders>
              <w:top w:val="single" w:sz="4"/>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gridSpan w:val="3"/>
            <w:tcW w:w="4460" w:type="dxa"/>
            <w:tcBorders>
              <w:top w:val="single" w:sz="4"/>
              <w:left w:val="nil"/>
              <w:bottom w:val="single" w:sz="4"/>
              <w:right w:val="nil"/>
            </w:tcBorders>
          </w:tcPr>
          <w:p>
            <w:pPr>
              <w:pStyle w:val="0"/>
            </w:pPr>
            <w:r>
              <w:rPr>
                <w:sz w:val="20"/>
              </w:rPr>
            </w:r>
          </w:p>
        </w:tc>
      </w:tr>
      <w:tr>
        <w:tc>
          <w:tcPr>
            <w:gridSpan w:val="3"/>
            <w:tcW w:w="4252" w:type="dxa"/>
            <w:vAlign w:val="bottom"/>
            <w:tcBorders>
              <w:top w:val="single" w:sz="4"/>
              <w:left w:val="nil"/>
              <w:bottom w:val="nil"/>
              <w:right w:val="nil"/>
            </w:tcBorders>
          </w:tcPr>
          <w:p>
            <w:pPr>
              <w:pStyle w:val="0"/>
              <w:jc w:val="center"/>
            </w:pPr>
            <w:r>
              <w:rPr>
                <w:sz w:val="20"/>
              </w:rPr>
              <w:t xml:space="preserve">(должность)</w:t>
            </w:r>
          </w:p>
        </w:tc>
        <w:tc>
          <w:tcPr>
            <w:tcW w:w="340" w:type="dxa"/>
            <w:tcBorders>
              <w:top w:val="nil"/>
              <w:left w:val="nil"/>
              <w:bottom w:val="nil"/>
              <w:right w:val="nil"/>
            </w:tcBorders>
          </w:tcPr>
          <w:p>
            <w:pPr>
              <w:pStyle w:val="0"/>
            </w:pPr>
            <w:r>
              <w:rPr>
                <w:sz w:val="20"/>
              </w:rPr>
            </w:r>
          </w:p>
        </w:tc>
        <w:tc>
          <w:tcPr>
            <w:gridSpan w:val="3"/>
            <w:tcW w:w="4460" w:type="dxa"/>
            <w:vAlign w:val="bottom"/>
            <w:tcBorders>
              <w:top w:val="single" w:sz="4"/>
              <w:left w:val="nil"/>
              <w:bottom w:val="nil"/>
              <w:right w:val="nil"/>
            </w:tcBorders>
          </w:tcPr>
          <w:p>
            <w:pPr>
              <w:pStyle w:val="0"/>
              <w:jc w:val="center"/>
            </w:pPr>
            <w:r>
              <w:rPr>
                <w:sz w:val="20"/>
              </w:rPr>
              <w:t xml:space="preserve">(должность)</w:t>
            </w:r>
          </w:p>
        </w:tc>
      </w:tr>
      <w:tr>
        <w:tc>
          <w:tcPr>
            <w:tcW w:w="202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t xml:space="preserve">/</w:t>
            </w:r>
          </w:p>
        </w:tc>
        <w:tc>
          <w:tcPr>
            <w:tcW w:w="189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184"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t xml:space="preserve">/</w:t>
            </w:r>
          </w:p>
        </w:tc>
        <w:tc>
          <w:tcPr>
            <w:tcW w:w="1936" w:type="dxa"/>
            <w:tcBorders>
              <w:top w:val="nil"/>
              <w:left w:val="nil"/>
              <w:bottom w:val="single" w:sz="4"/>
              <w:right w:val="nil"/>
            </w:tcBorders>
          </w:tcPr>
          <w:p>
            <w:pPr>
              <w:pStyle w:val="0"/>
            </w:pPr>
            <w:r>
              <w:rPr>
                <w:sz w:val="20"/>
              </w:rPr>
            </w:r>
          </w:p>
        </w:tc>
      </w:tr>
      <w:tr>
        <w:tblPrEx>
          <w:tblBorders>
            <w:insideH w:val="single" w:sz="4"/>
          </w:tblBorders>
        </w:tblPrEx>
        <w:tc>
          <w:tcPr>
            <w:tcW w:w="2021" w:type="dxa"/>
            <w:tcBorders>
              <w:top w:val="single" w:sz="4"/>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t xml:space="preserve">/</w:t>
            </w:r>
          </w:p>
        </w:tc>
        <w:tc>
          <w:tcPr>
            <w:tcW w:w="1891" w:type="dxa"/>
            <w:tcBorders>
              <w:top w:val="single" w:sz="4"/>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184" w:type="dxa"/>
            <w:tcBorders>
              <w:top w:val="single" w:sz="4"/>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t xml:space="preserve">/</w:t>
            </w:r>
          </w:p>
        </w:tc>
        <w:tc>
          <w:tcPr>
            <w:tcW w:w="1936" w:type="dxa"/>
            <w:tcBorders>
              <w:top w:val="single" w:sz="4"/>
              <w:left w:val="nil"/>
              <w:bottom w:val="single" w:sz="4"/>
              <w:right w:val="nil"/>
            </w:tcBorders>
          </w:tcPr>
          <w:p>
            <w:pPr>
              <w:pStyle w:val="0"/>
            </w:pPr>
            <w:r>
              <w:rPr>
                <w:sz w:val="20"/>
              </w:rPr>
            </w:r>
          </w:p>
        </w:tc>
      </w:tr>
      <w:tr>
        <w:tblPrEx>
          <w:tblBorders>
            <w:insideH w:val="single" w:sz="4"/>
          </w:tblBorders>
        </w:tblPrEx>
        <w:tc>
          <w:tcPr>
            <w:tcW w:w="2021" w:type="dxa"/>
            <w:vAlign w:val="bottom"/>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1891" w:type="dxa"/>
            <w:tcBorders>
              <w:top w:val="single" w:sz="4"/>
              <w:left w:val="nil"/>
              <w:bottom w:val="nil"/>
              <w:right w:val="nil"/>
            </w:tcBorders>
          </w:tcPr>
          <w:p>
            <w:pPr>
              <w:pStyle w:val="0"/>
              <w:jc w:val="center"/>
            </w:pPr>
            <w:r>
              <w:rPr>
                <w:sz w:val="20"/>
              </w:rPr>
              <w:t xml:space="preserve">(ф.и.о.)</w:t>
            </w:r>
          </w:p>
        </w:tc>
        <w:tc>
          <w:tcPr>
            <w:tcW w:w="340" w:type="dxa"/>
            <w:tcBorders>
              <w:top w:val="nil"/>
              <w:left w:val="nil"/>
              <w:bottom w:val="nil"/>
              <w:right w:val="nil"/>
            </w:tcBorders>
          </w:tcPr>
          <w:p>
            <w:pPr>
              <w:pStyle w:val="0"/>
            </w:pPr>
            <w:r>
              <w:rPr>
                <w:sz w:val="20"/>
              </w:rPr>
            </w:r>
          </w:p>
        </w:tc>
        <w:tc>
          <w:tcPr>
            <w:tcW w:w="2184" w:type="dxa"/>
            <w:vAlign w:val="bottom"/>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1936" w:type="dxa"/>
            <w:tcBorders>
              <w:top w:val="single" w:sz="4"/>
              <w:left w:val="nil"/>
              <w:bottom w:val="nil"/>
              <w:right w:val="nil"/>
            </w:tcBorders>
          </w:tcPr>
          <w:p>
            <w:pPr>
              <w:pStyle w:val="0"/>
              <w:jc w:val="center"/>
            </w:pPr>
            <w:r>
              <w:rPr>
                <w:sz w:val="20"/>
              </w:rPr>
              <w:t xml:space="preserve">(ф.и.о.)</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2021"/>
        <w:gridCol w:w="340"/>
        <w:gridCol w:w="1891"/>
      </w:tblGrid>
      <w:tr>
        <w:tc>
          <w:tcPr>
            <w:gridSpan w:val="3"/>
            <w:tcW w:w="4252" w:type="dxa"/>
            <w:tcBorders>
              <w:top w:val="nil"/>
              <w:left w:val="nil"/>
              <w:bottom w:val="nil"/>
              <w:right w:val="nil"/>
            </w:tcBorders>
          </w:tcPr>
          <w:p>
            <w:pPr>
              <w:pStyle w:val="0"/>
              <w:jc w:val="center"/>
            </w:pPr>
            <w:r>
              <w:rPr>
                <w:sz w:val="20"/>
              </w:rPr>
              <w:t xml:space="preserve">Должностное лицо субъекта оперативно-диспетчерского управления </w:t>
            </w:r>
            <w:hyperlink w:history="0" w:anchor="P5364" w:tooltip="&lt;5&gt; Согласовывается при составлении акта между сетевой организацией и заявителем в случае, если технические условия согласовывались субъектом оперативно-диспетчерского управления.">
              <w:r>
                <w:rPr>
                  <w:sz w:val="20"/>
                  <w:color w:val="0000ff"/>
                </w:rPr>
                <w:t xml:space="preserve">&lt;5&gt;</w:t>
              </w:r>
            </w:hyperlink>
          </w:p>
        </w:tc>
      </w:tr>
      <w:tr>
        <w:tc>
          <w:tcPr>
            <w:gridSpan w:val="3"/>
            <w:tcW w:w="4252" w:type="dxa"/>
            <w:tcBorders>
              <w:top w:val="nil"/>
              <w:left w:val="nil"/>
              <w:bottom w:val="single" w:sz="4"/>
              <w:right w:val="nil"/>
            </w:tcBorders>
          </w:tcPr>
          <w:p>
            <w:pPr>
              <w:pStyle w:val="0"/>
            </w:pPr>
            <w:r>
              <w:rPr>
                <w:sz w:val="20"/>
              </w:rPr>
            </w:r>
          </w:p>
        </w:tc>
      </w:tr>
      <w:tr>
        <w:tc>
          <w:tcPr>
            <w:gridSpan w:val="3"/>
            <w:tcW w:w="4252" w:type="dxa"/>
            <w:vAlign w:val="bottom"/>
            <w:tcBorders>
              <w:top w:val="single" w:sz="4"/>
              <w:left w:val="nil"/>
              <w:bottom w:val="nil"/>
              <w:right w:val="nil"/>
            </w:tcBorders>
          </w:tcPr>
          <w:p>
            <w:pPr>
              <w:pStyle w:val="0"/>
              <w:jc w:val="center"/>
            </w:pPr>
            <w:r>
              <w:rPr>
                <w:sz w:val="20"/>
              </w:rPr>
              <w:t xml:space="preserve">(должность)</w:t>
            </w:r>
          </w:p>
        </w:tc>
      </w:tr>
      <w:tr>
        <w:tc>
          <w:tcPr>
            <w:tcW w:w="202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t xml:space="preserve">/</w:t>
            </w:r>
          </w:p>
        </w:tc>
        <w:tc>
          <w:tcPr>
            <w:tcW w:w="1891" w:type="dxa"/>
            <w:tcBorders>
              <w:top w:val="nil"/>
              <w:left w:val="nil"/>
              <w:bottom w:val="single" w:sz="4"/>
              <w:right w:val="nil"/>
            </w:tcBorders>
          </w:tcPr>
          <w:p>
            <w:pPr>
              <w:pStyle w:val="0"/>
            </w:pPr>
            <w:r>
              <w:rPr>
                <w:sz w:val="20"/>
              </w:rPr>
            </w:r>
          </w:p>
        </w:tc>
      </w:tr>
      <w:tr>
        <w:tblPrEx>
          <w:tblBorders>
            <w:insideH w:val="single" w:sz="4"/>
          </w:tblBorders>
        </w:tblPrEx>
        <w:tc>
          <w:tcPr>
            <w:tcW w:w="2021" w:type="dxa"/>
            <w:vAlign w:val="bottom"/>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1891" w:type="dxa"/>
            <w:tcBorders>
              <w:top w:val="single" w:sz="4"/>
              <w:left w:val="nil"/>
              <w:bottom w:val="nil"/>
              <w:right w:val="nil"/>
            </w:tcBorders>
          </w:tcPr>
          <w:p>
            <w:pPr>
              <w:pStyle w:val="0"/>
              <w:jc w:val="center"/>
            </w:pPr>
            <w:r>
              <w:rPr>
                <w:sz w:val="20"/>
              </w:rPr>
              <w:t xml:space="preserve">(ф.и.о.)</w:t>
            </w:r>
          </w:p>
        </w:tc>
      </w:tr>
    </w:tbl>
    <w:p>
      <w:pPr>
        <w:pStyle w:val="0"/>
        <w:jc w:val="both"/>
      </w:pPr>
      <w:r>
        <w:rPr>
          <w:sz w:val="20"/>
        </w:rPr>
      </w:r>
    </w:p>
    <w:p>
      <w:pPr>
        <w:pStyle w:val="0"/>
        <w:ind w:firstLine="540"/>
        <w:jc w:val="both"/>
      </w:pPr>
      <w:r>
        <w:rPr>
          <w:sz w:val="20"/>
        </w:rPr>
        <w:t xml:space="preserve">--------------------------------</w:t>
      </w:r>
    </w:p>
    <w:bookmarkStart w:id="5360" w:name="P5360"/>
    <w:bookmarkEnd w:id="5360"/>
    <w:p>
      <w:pPr>
        <w:pStyle w:val="0"/>
        <w:spacing w:before="200" w:line-rule="auto"/>
        <w:ind w:firstLine="540"/>
        <w:jc w:val="both"/>
      </w:pPr>
      <w:r>
        <w:rPr>
          <w:sz w:val="20"/>
        </w:rPr>
        <w:t xml:space="preserve">&lt;1&gt; Акт составляется сетевой организацией, заявителем и субъектом оперативно-диспетчерского управления в случае согласования технических условий с субъектом оперативно-диспетчерского управления. В случае если технические условия согласовывались с субъектом оперативно-диспетчерского управления, а проверки выполнения технических условий в части мероприятий, выполнение которых возложено на заявителя, и в части мероприятий, выполняемых сетевой организацией, проводятся отдельно (в разное время), допускается составление отдельных актов о выполнении технических условий по результатам каждой из проверок, а именно отдельно сетевой организацией, заявителем и субъектом оперативно-диспетчерского управления либо сетевой организацией и субъектом оперативно-диспетчерского управления.</w:t>
      </w:r>
    </w:p>
    <w:bookmarkStart w:id="5361" w:name="P5361"/>
    <w:bookmarkEnd w:id="5361"/>
    <w:p>
      <w:pPr>
        <w:pStyle w:val="0"/>
        <w:spacing w:before="200" w:line-rule="auto"/>
        <w:ind w:firstLine="540"/>
        <w:jc w:val="both"/>
      </w:pPr>
      <w:r>
        <w:rPr>
          <w:sz w:val="20"/>
        </w:rPr>
        <w:t xml:space="preserve">&lt;2&gt; Заполняется в случае увеличения максимальной мощности ранее присоединенных энергопринимающих устройств (энергетических установок).</w:t>
      </w:r>
    </w:p>
    <w:bookmarkStart w:id="5362" w:name="P5362"/>
    <w:bookmarkEnd w:id="5362"/>
    <w:p>
      <w:pPr>
        <w:pStyle w:val="0"/>
        <w:spacing w:before="200" w:line-rule="auto"/>
        <w:ind w:firstLine="540"/>
        <w:jc w:val="both"/>
      </w:pPr>
      <w:r>
        <w:rPr>
          <w:sz w:val="20"/>
        </w:rPr>
        <w:t xml:space="preserve">&lt;3&gt; Заполняется в случае технологического присоединения объектов микрогенерации.</w:t>
      </w:r>
    </w:p>
    <w:bookmarkStart w:id="5363" w:name="P5363"/>
    <w:bookmarkEnd w:id="5363"/>
    <w:p>
      <w:pPr>
        <w:pStyle w:val="0"/>
        <w:spacing w:before="200" w:line-rule="auto"/>
        <w:ind w:firstLine="540"/>
        <w:jc w:val="both"/>
      </w:pPr>
      <w:r>
        <w:rPr>
          <w:sz w:val="20"/>
        </w:rPr>
        <w:t xml:space="preserve">&lt;4&gt; Заполняется в случае, если выполнялся осмотр электроустановок, построенных (реконструированных) в рамках выполнения технических условий, подлежащих согласованию с субъектом оперативно-диспетчерского управления.</w:t>
      </w:r>
    </w:p>
    <w:bookmarkStart w:id="5364" w:name="P5364"/>
    <w:bookmarkEnd w:id="5364"/>
    <w:p>
      <w:pPr>
        <w:pStyle w:val="0"/>
        <w:spacing w:before="200" w:line-rule="auto"/>
        <w:ind w:firstLine="540"/>
        <w:jc w:val="both"/>
      </w:pPr>
      <w:r>
        <w:rPr>
          <w:sz w:val="20"/>
        </w:rPr>
        <w:t xml:space="preserve">&lt;5&gt; Согласовывается при составлении акта между сетевой организацией и заявителем в случае, если технические условия согласовывались субъектом оперативно-диспетчерского управления.</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15(1)</w:t>
      </w:r>
    </w:p>
    <w:p>
      <w:pPr>
        <w:pStyle w:val="0"/>
        <w:jc w:val="right"/>
      </w:pPr>
      <w:r>
        <w:rPr>
          <w:sz w:val="20"/>
        </w:rPr>
        <w:t xml:space="preserve">к Правилам технологического</w:t>
      </w:r>
    </w:p>
    <w:p>
      <w:pPr>
        <w:pStyle w:val="0"/>
        <w:jc w:val="right"/>
      </w:pPr>
      <w:r>
        <w:rPr>
          <w:sz w:val="20"/>
        </w:rPr>
        <w:t xml:space="preserve">присоединения энергопринимающих</w:t>
      </w:r>
    </w:p>
    <w:p>
      <w:pPr>
        <w:pStyle w:val="0"/>
        <w:jc w:val="right"/>
      </w:pPr>
      <w:r>
        <w:rPr>
          <w:sz w:val="20"/>
        </w:rPr>
        <w:t xml:space="preserve">устройств потребителей</w:t>
      </w:r>
    </w:p>
    <w:p>
      <w:pPr>
        <w:pStyle w:val="0"/>
        <w:jc w:val="right"/>
      </w:pPr>
      <w:r>
        <w:rPr>
          <w:sz w:val="20"/>
        </w:rPr>
        <w:t xml:space="preserve">электрической энергии, объектов</w:t>
      </w:r>
    </w:p>
    <w:p>
      <w:pPr>
        <w:pStyle w:val="0"/>
        <w:jc w:val="right"/>
      </w:pPr>
      <w:r>
        <w:rPr>
          <w:sz w:val="20"/>
        </w:rPr>
        <w:t xml:space="preserve">по производству электрической</w:t>
      </w:r>
    </w:p>
    <w:p>
      <w:pPr>
        <w:pStyle w:val="0"/>
        <w:jc w:val="right"/>
      </w:pPr>
      <w:r>
        <w:rPr>
          <w:sz w:val="20"/>
        </w:rPr>
        <w:t xml:space="preserve">энергии, а также объектов</w:t>
      </w:r>
    </w:p>
    <w:p>
      <w:pPr>
        <w:pStyle w:val="0"/>
        <w:jc w:val="right"/>
      </w:pPr>
      <w:r>
        <w:rPr>
          <w:sz w:val="20"/>
        </w:rPr>
        <w:t xml:space="preserve">электросетевого хозяйства,</w:t>
      </w:r>
    </w:p>
    <w:p>
      <w:pPr>
        <w:pStyle w:val="0"/>
        <w:jc w:val="right"/>
      </w:pPr>
      <w:r>
        <w:rPr>
          <w:sz w:val="20"/>
        </w:rPr>
        <w:t xml:space="preserve">принадлежащих сетевым организациям</w:t>
      </w:r>
    </w:p>
    <w:p>
      <w:pPr>
        <w:pStyle w:val="0"/>
        <w:jc w:val="right"/>
      </w:pPr>
      <w:r>
        <w:rPr>
          <w:sz w:val="20"/>
        </w:rPr>
        <w:t xml:space="preserve">и иным лицам, к электрическим сетям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1143" w:tooltip="Постановление Правительства РФ от 19.04.2019 N 47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color w:val="392c69"/>
              </w:rPr>
              <w:t xml:space="preserve"> Правительства РФ от 19.04.2019 N 470)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5383" w:name="P5383"/>
    <w:bookmarkEnd w:id="5383"/>
    <w:p>
      <w:pPr>
        <w:pStyle w:val="0"/>
        <w:jc w:val="center"/>
      </w:pPr>
      <w:r>
        <w:rPr>
          <w:sz w:val="20"/>
        </w:rPr>
        <w:t xml:space="preserve">ТИПОВОЕ СОГЛАШЕНИЕ</w:t>
      </w:r>
    </w:p>
    <w:p>
      <w:pPr>
        <w:pStyle w:val="0"/>
        <w:jc w:val="center"/>
      </w:pPr>
      <w:r>
        <w:rPr>
          <w:sz w:val="20"/>
        </w:rPr>
        <w:t xml:space="preserve">о порядке взаимодействия заявителя и сетевой организации</w:t>
      </w:r>
    </w:p>
    <w:p>
      <w:pPr>
        <w:pStyle w:val="0"/>
        <w:jc w:val="center"/>
      </w:pPr>
      <w:r>
        <w:rPr>
          <w:sz w:val="20"/>
        </w:rPr>
        <w:t xml:space="preserve">в целях выполнения мероприятий по технологическому</w:t>
      </w:r>
    </w:p>
    <w:p>
      <w:pPr>
        <w:pStyle w:val="0"/>
        <w:jc w:val="center"/>
      </w:pPr>
      <w:r>
        <w:rPr>
          <w:sz w:val="20"/>
        </w:rPr>
        <w:t xml:space="preserve">присоединению по индивидуальному проекту</w:t>
      </w:r>
    </w:p>
    <w:p>
      <w:pPr>
        <w:pStyle w:val="0"/>
        <w:jc w:val="both"/>
      </w:pPr>
      <w:r>
        <w:rPr>
          <w:sz w:val="20"/>
        </w:rPr>
      </w:r>
    </w:p>
    <w:p>
      <w:pPr>
        <w:pStyle w:val="1"/>
        <w:jc w:val="both"/>
      </w:pPr>
      <w:r>
        <w:rPr>
          <w:sz w:val="20"/>
        </w:rPr>
        <w:t xml:space="preserve">_____________________________            "__" _____________________ 20__ г.</w:t>
      </w:r>
    </w:p>
    <w:p>
      <w:pPr>
        <w:pStyle w:val="1"/>
        <w:jc w:val="both"/>
      </w:pPr>
      <w:r>
        <w:rPr>
          <w:sz w:val="20"/>
        </w:rPr>
        <w:t xml:space="preserve">(место заключения соглашения)               (дата заключения соглашения</w:t>
      </w:r>
    </w:p>
    <w:p>
      <w:pPr>
        <w:pStyle w:val="1"/>
        <w:jc w:val="both"/>
      </w:pPr>
      <w:r>
        <w:rPr>
          <w:sz w:val="20"/>
        </w:rPr>
        <w:t xml:space="preserve">                                           (указывается дата поступления</w:t>
      </w:r>
    </w:p>
    <w:p>
      <w:pPr>
        <w:pStyle w:val="1"/>
        <w:jc w:val="both"/>
      </w:pPr>
      <w:r>
        <w:rPr>
          <w:sz w:val="20"/>
        </w:rPr>
        <w:t xml:space="preserve">                                         подписанного заявителем экземпляра</w:t>
      </w:r>
    </w:p>
    <w:p>
      <w:pPr>
        <w:pStyle w:val="1"/>
        <w:jc w:val="both"/>
      </w:pPr>
      <w:r>
        <w:rPr>
          <w:sz w:val="20"/>
        </w:rPr>
        <w:t xml:space="preserve">                                         соглашения в сетевую организацию)</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именуемое     в     дальнейшем     сетевой     организацией,     в     лице</w:t>
      </w:r>
    </w:p>
    <w:p>
      <w:pPr>
        <w:pStyle w:val="1"/>
        <w:jc w:val="both"/>
      </w:pPr>
      <w:r>
        <w:rPr>
          <w:sz w:val="20"/>
        </w:rPr>
        <w:t xml:space="preserve">__________________________________________________________________________,</w:t>
      </w:r>
    </w:p>
    <w:p>
      <w:pPr>
        <w:pStyle w:val="1"/>
        <w:jc w:val="both"/>
      </w:pPr>
      <w:r>
        <w:rPr>
          <w:sz w:val="20"/>
        </w:rPr>
        <w:t xml:space="preserve">действующего на основании _____________________________, с одной стороны, и</w:t>
      </w:r>
    </w:p>
    <w:p>
      <w:pPr>
        <w:pStyle w:val="1"/>
        <w:jc w:val="both"/>
      </w:pPr>
      <w:r>
        <w:rPr>
          <w:sz w:val="20"/>
        </w:rPr>
        <w:t xml:space="preserve">__________________________________________________________________________,</w:t>
      </w:r>
    </w:p>
    <w:p>
      <w:pPr>
        <w:pStyle w:val="1"/>
        <w:jc w:val="both"/>
      </w:pPr>
      <w:r>
        <w:rPr>
          <w:sz w:val="20"/>
        </w:rPr>
        <w:t xml:space="preserve">именуемое в дальнейшем заявителем, в лице ________________________________,</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с  другой  стороны,  совместно  именуемые  сторонами,  заключили  настоящее</w:t>
      </w:r>
    </w:p>
    <w:p>
      <w:pPr>
        <w:pStyle w:val="1"/>
        <w:jc w:val="both"/>
      </w:pPr>
      <w:r>
        <w:rPr>
          <w:sz w:val="20"/>
        </w:rPr>
        <w:t xml:space="preserve">соглашение о нижеследующем:</w:t>
      </w:r>
    </w:p>
    <w:p>
      <w:pPr>
        <w:pStyle w:val="0"/>
        <w:jc w:val="both"/>
      </w:pPr>
      <w:r>
        <w:rPr>
          <w:sz w:val="20"/>
        </w:rPr>
      </w:r>
    </w:p>
    <w:p>
      <w:pPr>
        <w:pStyle w:val="0"/>
        <w:outlineLvl w:val="2"/>
        <w:jc w:val="center"/>
      </w:pPr>
      <w:r>
        <w:rPr>
          <w:sz w:val="20"/>
        </w:rPr>
        <w:t xml:space="preserve">I. Предмет соглашения</w:t>
      </w:r>
    </w:p>
    <w:p>
      <w:pPr>
        <w:pStyle w:val="0"/>
        <w:jc w:val="both"/>
      </w:pPr>
      <w:r>
        <w:rPr>
          <w:sz w:val="20"/>
        </w:rPr>
      </w:r>
    </w:p>
    <w:p>
      <w:pPr>
        <w:pStyle w:val="1"/>
        <w:jc w:val="both"/>
      </w:pPr>
      <w:r>
        <w:rPr>
          <w:sz w:val="20"/>
        </w:rPr>
        <w:t xml:space="preserve">    1. Настоящее  соглашение   заключено   сторонами  на  основании  заявки</w:t>
      </w:r>
    </w:p>
    <w:p>
      <w:pPr>
        <w:pStyle w:val="1"/>
        <w:jc w:val="both"/>
      </w:pPr>
      <w:r>
        <w:rPr>
          <w:sz w:val="20"/>
        </w:rPr>
        <w:t xml:space="preserve">от _____________ N  ____ об  осуществлении  технологического  присоединения</w:t>
      </w:r>
    </w:p>
    <w:p>
      <w:pPr>
        <w:pStyle w:val="1"/>
        <w:jc w:val="both"/>
      </w:pPr>
      <w:r>
        <w:rPr>
          <w:sz w:val="20"/>
        </w:rPr>
        <w:t xml:space="preserve">энергопринимающих    устройств    заявителя ______________________________,</w:t>
      </w:r>
    </w:p>
    <w:p>
      <w:pPr>
        <w:pStyle w:val="1"/>
        <w:jc w:val="both"/>
      </w:pPr>
      <w:r>
        <w:rPr>
          <w:sz w:val="20"/>
        </w:rPr>
        <w:t xml:space="preserve">                                               (наименование устройств)</w:t>
      </w:r>
    </w:p>
    <w:p>
      <w:pPr>
        <w:pStyle w:val="1"/>
        <w:jc w:val="both"/>
      </w:pPr>
      <w:r>
        <w:rPr>
          <w:sz w:val="20"/>
        </w:rPr>
        <w:t xml:space="preserve">расположенных (которые будут располагаться): 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(место нахождения устройств)</w:t>
      </w:r>
    </w:p>
    <w:p>
      <w:pPr>
        <w:pStyle w:val="1"/>
        <w:jc w:val="both"/>
      </w:pPr>
      <w:r>
        <w:rPr>
          <w:sz w:val="20"/>
        </w:rPr>
        <w:t xml:space="preserve">со следующими характеристиками:</w:t>
      </w:r>
    </w:p>
    <w:p>
      <w:pPr>
        <w:pStyle w:val="0"/>
        <w:ind w:firstLine="540"/>
        <w:jc w:val="both"/>
      </w:pPr>
      <w:r>
        <w:rPr>
          <w:sz w:val="20"/>
        </w:rPr>
        <w:t xml:space="preserve">максимальная мощность присоединяемых энергопринимающих устройств ___ кВт;</w:t>
      </w:r>
    </w:p>
    <w:p>
      <w:pPr>
        <w:pStyle w:val="0"/>
        <w:spacing w:before="200" w:line-rule="auto"/>
        <w:ind w:firstLine="540"/>
        <w:jc w:val="both"/>
      </w:pPr>
      <w:r>
        <w:rPr>
          <w:sz w:val="20"/>
        </w:rPr>
        <w:t xml:space="preserve">категория надежности ______;</w:t>
      </w:r>
    </w:p>
    <w:p>
      <w:pPr>
        <w:pStyle w:val="0"/>
        <w:spacing w:before="200" w:line-rule="auto"/>
        <w:ind w:firstLine="540"/>
        <w:jc w:val="both"/>
      </w:pPr>
      <w:r>
        <w:rPr>
          <w:sz w:val="20"/>
        </w:rPr>
        <w:t xml:space="preserve">класс напряжения электрических сетей, к которым осуществляется технологическое присоединение, ______ кВ;</w:t>
      </w:r>
    </w:p>
    <w:p>
      <w:pPr>
        <w:pStyle w:val="0"/>
        <w:spacing w:before="200" w:line-rule="auto"/>
        <w:ind w:firstLine="540"/>
        <w:jc w:val="both"/>
      </w:pPr>
      <w:r>
        <w:rPr>
          <w:sz w:val="20"/>
        </w:rPr>
        <w:t xml:space="preserve">максимальная мощность ранее присоединенных энергопринимающих устройств _______ кВт </w:t>
      </w:r>
      <w:hyperlink w:history="0" w:anchor="P5539" w:tooltip="&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соответствующей точке присоединения энергопринимающих устройств.">
        <w:r>
          <w:rPr>
            <w:sz w:val="20"/>
            <w:color w:val="0000ff"/>
          </w:rPr>
          <w:t xml:space="preserve">&lt;1&gt;</w:t>
        </w:r>
      </w:hyperlink>
      <w:r>
        <w:rPr>
          <w:sz w:val="20"/>
        </w:rPr>
        <w:t xml:space="preserve">.</w:t>
      </w:r>
    </w:p>
    <w:p>
      <w:pPr>
        <w:pStyle w:val="0"/>
        <w:spacing w:before="200" w:line-rule="auto"/>
        <w:ind w:firstLine="540"/>
        <w:jc w:val="both"/>
      </w:pPr>
      <w:r>
        <w:rPr>
          <w:sz w:val="20"/>
        </w:rPr>
        <w:t xml:space="preserve">2. Настоящим соглашением определен порядок взаимодействия сторон до дня заключения договора об осуществлении технологического присоединения к электрическим сетям по индивидуальному проекту (далее - договор), в том числе:</w:t>
      </w:r>
    </w:p>
    <w:p>
      <w:pPr>
        <w:pStyle w:val="0"/>
        <w:spacing w:before="200" w:line-rule="auto"/>
        <w:ind w:firstLine="540"/>
        <w:jc w:val="both"/>
      </w:pPr>
      <w:r>
        <w:rPr>
          <w:sz w:val="20"/>
        </w:rPr>
        <w:t xml:space="preserve">а) обязательства сетевой организации по подготовке индивидуальных технических условий (далее - технические условия), включая согласование с системным оператором, в случае если такое согласование предусмотрено законодательством Российской Федерации об электроэнергетике;</w:t>
      </w:r>
    </w:p>
    <w:p>
      <w:pPr>
        <w:pStyle w:val="0"/>
        <w:spacing w:before="200" w:line-rule="auto"/>
        <w:ind w:firstLine="540"/>
        <w:jc w:val="both"/>
      </w:pPr>
      <w:r>
        <w:rPr>
          <w:sz w:val="20"/>
        </w:rPr>
        <w:t xml:space="preserve">б) срок разработки проектной документации, включая обеспечение проведения ее экспертизы в соответствии с требованиями законодательства Российской Федерации о градостроительной деятельности, в целях осуществления мероприятий, которые в соответствии с техническими условиями должны быть реализованы сетевой организацией;</w:t>
      </w:r>
    </w:p>
    <w:p>
      <w:pPr>
        <w:pStyle w:val="0"/>
        <w:spacing w:before="200" w:line-rule="auto"/>
        <w:ind w:firstLine="540"/>
        <w:jc w:val="both"/>
      </w:pPr>
      <w:r>
        <w:rPr>
          <w:sz w:val="20"/>
        </w:rPr>
        <w:t xml:space="preserve">в) порядок возмещения заявителем расходов сетевой организации на осуществление мероприятий по подготовке технических условий и разработке проектной документации в случае одностороннего отказа заявителя от исполнения настоящего соглашения или заключения договора;</w:t>
      </w:r>
    </w:p>
    <w:p>
      <w:pPr>
        <w:pStyle w:val="0"/>
        <w:spacing w:before="200" w:line-rule="auto"/>
        <w:ind w:firstLine="540"/>
        <w:jc w:val="both"/>
      </w:pPr>
      <w:r>
        <w:rPr>
          <w:sz w:val="20"/>
        </w:rPr>
        <w:t xml:space="preserve">г) права и обязанности сетевой организации и заявителя, связанные с взаимодействием сторон при реализации настоящего соглашения.</w:t>
      </w:r>
    </w:p>
    <w:p>
      <w:pPr>
        <w:pStyle w:val="0"/>
        <w:spacing w:before="200" w:line-rule="auto"/>
        <w:ind w:firstLine="540"/>
        <w:jc w:val="both"/>
      </w:pPr>
      <w:r>
        <w:rPr>
          <w:sz w:val="20"/>
        </w:rPr>
        <w:t xml:space="preserve">3. Заявитель несет ответственность за разработку проектной документации в границах своего участка, сетевая организация - до границ участка заявителя.</w:t>
      </w:r>
    </w:p>
    <w:p>
      <w:pPr>
        <w:pStyle w:val="0"/>
        <w:ind w:firstLine="540"/>
        <w:jc w:val="both"/>
      </w:pPr>
      <w:r>
        <w:rPr>
          <w:sz w:val="20"/>
        </w:rPr>
      </w:r>
    </w:p>
    <w:p>
      <w:pPr>
        <w:pStyle w:val="0"/>
        <w:outlineLvl w:val="2"/>
        <w:jc w:val="center"/>
      </w:pPr>
      <w:r>
        <w:rPr>
          <w:sz w:val="20"/>
        </w:rPr>
        <w:t xml:space="preserve">II. Обязанности сторон</w:t>
      </w:r>
    </w:p>
    <w:p>
      <w:pPr>
        <w:pStyle w:val="0"/>
        <w:jc w:val="center"/>
      </w:pPr>
      <w:r>
        <w:rPr>
          <w:sz w:val="20"/>
        </w:rPr>
      </w:r>
    </w:p>
    <w:p>
      <w:pPr>
        <w:pStyle w:val="0"/>
        <w:ind w:firstLine="540"/>
        <w:jc w:val="both"/>
      </w:pPr>
      <w:r>
        <w:rPr>
          <w:sz w:val="20"/>
        </w:rPr>
        <w:t xml:space="preserve">4. Сетевая организация обязуется:</w:t>
      </w:r>
    </w:p>
    <w:bookmarkStart w:id="5428" w:name="P5428"/>
    <w:bookmarkEnd w:id="5428"/>
    <w:p>
      <w:pPr>
        <w:pStyle w:val="0"/>
        <w:spacing w:before="200" w:line-rule="auto"/>
        <w:ind w:firstLine="540"/>
        <w:jc w:val="both"/>
      </w:pPr>
      <w:r>
        <w:rPr>
          <w:sz w:val="20"/>
        </w:rPr>
        <w:t xml:space="preserve">а) не позднее ______________ </w:t>
      </w:r>
      <w:hyperlink w:history="0" w:anchor="P5540" w:tooltip="&lt;2&gt; Подлежит указанию срок, позволяющий сетевой организации исполнить предусмотренную подпунктом &quot;б&quot; пункта 4 настоящего соглашения обязанность не позднее 15 месяцев со дня заключения настоящего соглашения обратиться в уполномоченный орган исп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
        <w:r>
          <w:rPr>
            <w:sz w:val="20"/>
            <w:color w:val="0000ff"/>
          </w:rPr>
          <w:t xml:space="preserve">&lt;2&gt;</w:t>
        </w:r>
      </w:hyperlink>
      <w:r>
        <w:rPr>
          <w:sz w:val="20"/>
        </w:rPr>
        <w:t xml:space="preserve"> со дня заключения настоящего соглашения обеспечить разработку технических условий и их согласование с системным оператором (в случае, если они подлежат такому согласованию в соответствии с законодательством Российской Федерации об электроэнергетике), а также разработку (экспертизу в соответствии с требованиями законодательства Российской Федерации о градостроительной деятельности) проектной документации в целях выполнения мероприятий, которые в соответствии с техническими условиями должны быть реализованы сетевой организацией </w:t>
      </w:r>
      <w:hyperlink w:history="0" w:anchor="P5541" w:tooltip="&lt;3&gt; Обязательства сетевой организации по разработке проектной документации не включаются в настоящее соглашение, в случае если по инициативе заявителя с согласия сетевой организации в настоящее соглашение включены обязательства заявителя о выполнении работ по разработке проектной документации в целях выполнения мероприятий, которые должны быть реализованы сетевой организацией.">
        <w:r>
          <w:rPr>
            <w:sz w:val="20"/>
            <w:color w:val="0000ff"/>
          </w:rPr>
          <w:t xml:space="preserve">&lt;3&gt;</w:t>
        </w:r>
      </w:hyperlink>
      <w:r>
        <w:rPr>
          <w:sz w:val="20"/>
        </w:rPr>
        <w:t xml:space="preserve">;</w:t>
      </w:r>
    </w:p>
    <w:bookmarkStart w:id="5429" w:name="P5429"/>
    <w:bookmarkEnd w:id="5429"/>
    <w:p>
      <w:pPr>
        <w:pStyle w:val="0"/>
        <w:spacing w:before="200" w:line-rule="auto"/>
        <w:ind w:firstLine="540"/>
        <w:jc w:val="both"/>
      </w:pPr>
      <w:r>
        <w:rPr>
          <w:sz w:val="20"/>
        </w:rPr>
        <w:t xml:space="preserve">б) направить в течение 15 дней со дня истечения срока, указанного в </w:t>
      </w:r>
      <w:hyperlink w:history="0" w:anchor="P5428" w:tooltip="а) не позднее ______________ &lt;2&gt; со дня заключения настоящего соглашения обеспечить разработку технических условий и их согласование с системным оператором (в случае, если они подлежат такому согласованию в соответствии с законодательством Российской Федерации об электроэнергетике), а также разработку (экспертизу в соответствии с требованиями законодательства Российской Федерации о градостроительной деятельности) проектной документации в целях выполнения мероприятий, которые в соответствии с техническими...">
        <w:r>
          <w:rPr>
            <w:sz w:val="20"/>
            <w:color w:val="0000ff"/>
          </w:rPr>
          <w:t xml:space="preserve">подпункте "а"</w:t>
        </w:r>
      </w:hyperlink>
      <w:r>
        <w:rPr>
          <w:sz w:val="20"/>
        </w:rPr>
        <w:t xml:space="preserve"> настоящего пункта,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по индивидуальному проекту в порядке, установленном законодательством Российской Федерации об электроэнергетике;</w:t>
      </w:r>
    </w:p>
    <w:p>
      <w:pPr>
        <w:pStyle w:val="0"/>
        <w:spacing w:before="200" w:line-rule="auto"/>
        <w:ind w:firstLine="540"/>
        <w:jc w:val="both"/>
      </w:pPr>
      <w:r>
        <w:rPr>
          <w:sz w:val="20"/>
        </w:rPr>
        <w:t xml:space="preserve">в) в течение 3 рабочих дней со дня получения информации о стоимости разработки проектной документации направить такую информацию заявителю;</w:t>
      </w:r>
    </w:p>
    <w:p>
      <w:pPr>
        <w:pStyle w:val="0"/>
        <w:spacing w:before="200" w:line-rule="auto"/>
        <w:ind w:firstLine="540"/>
        <w:jc w:val="both"/>
      </w:pPr>
      <w:r>
        <w:rPr>
          <w:sz w:val="20"/>
        </w:rPr>
        <w:t xml:space="preserve">г) в течение 3 рабочих дней со дня вступления в силу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 направить заявителю оферту на заключение договора, технические условия (в случае, если технические условия подлежат согласованию с системным оператором, - технические условия, согласованные с системным оператором), а также копию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pPr>
        <w:pStyle w:val="0"/>
        <w:spacing w:before="200" w:line-rule="auto"/>
        <w:ind w:firstLine="540"/>
        <w:jc w:val="both"/>
      </w:pPr>
      <w:r>
        <w:rPr>
          <w:sz w:val="20"/>
        </w:rPr>
        <w:t xml:space="preserve">д) осуществить возврат заявителю в течение 10 дней со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денежных средств, полученных в качестве авансового платежа и превышающих стоимость мероприятий по подготовке технических условий и разработке проектной документации, включенную в указанную плату, если иное не предусмотрено заключенным сторонами договором </w:t>
      </w:r>
      <w:hyperlink w:history="0" w:anchor="P5542" w:tooltip="&lt;4&gt; Обязанность включается в случае включения в настоящее соглашение права заявителя на внесение авансового платежа.">
        <w:r>
          <w:rPr>
            <w:sz w:val="20"/>
            <w:color w:val="0000ff"/>
          </w:rPr>
          <w:t xml:space="preserve">&lt;4&gt;</w:t>
        </w:r>
      </w:hyperlink>
      <w:r>
        <w:rPr>
          <w:sz w:val="20"/>
        </w:rPr>
        <w:t xml:space="preserve">;</w:t>
      </w:r>
    </w:p>
    <w:p>
      <w:pPr>
        <w:pStyle w:val="0"/>
        <w:spacing w:before="200" w:line-rule="auto"/>
        <w:ind w:firstLine="540"/>
        <w:jc w:val="both"/>
      </w:pPr>
      <w:r>
        <w:rPr>
          <w:sz w:val="20"/>
        </w:rPr>
        <w:t xml:space="preserve">е) в течение 10 рабочих дней со дня получения письменного запроса заявителя предоставить сведения, указанные в </w:t>
      </w:r>
      <w:hyperlink w:history="0" w:anchor="P5459" w:tooltip="г) в целях обеспечения проведения инженерных изысканий и (или) разработки проектной документации в границах участка, на котором расположены энергопринимающие устройства заявителя, запрашивать у сетевой организации сведения:">
        <w:r>
          <w:rPr>
            <w:sz w:val="20"/>
            <w:color w:val="0000ff"/>
          </w:rPr>
          <w:t xml:space="preserve">подпункте "г" пункта 7</w:t>
        </w:r>
      </w:hyperlink>
      <w:r>
        <w:rPr>
          <w:sz w:val="20"/>
        </w:rPr>
        <w:t xml:space="preserve"> настоящего соглашения. В случае отсутствия необходимых сведений, запрашиваемых заявителем, сетевая организация в течение 3 рабочих дней со дня получения такого запроса уведомляет заявителя о необходимости установления более длительного срока, который не должен быть более 45 дней со дня направления письменного запроса заявителя;</w:t>
      </w:r>
    </w:p>
    <w:p>
      <w:pPr>
        <w:pStyle w:val="0"/>
        <w:spacing w:before="200" w:line-rule="auto"/>
        <w:ind w:firstLine="540"/>
        <w:jc w:val="both"/>
      </w:pPr>
      <w:r>
        <w:rPr>
          <w:sz w:val="20"/>
        </w:rPr>
        <w:t xml:space="preserve">ж) информировать заявителя:</w:t>
      </w:r>
    </w:p>
    <w:p>
      <w:pPr>
        <w:pStyle w:val="0"/>
        <w:spacing w:before="200" w:line-rule="auto"/>
        <w:ind w:firstLine="540"/>
        <w:jc w:val="both"/>
      </w:pPr>
      <w:r>
        <w:rPr>
          <w:sz w:val="20"/>
        </w:rPr>
        <w:t xml:space="preserve">о направлении в уполномоченный орган исполнительной власти в области государственного регулирования тарифов заявления о расчете платы за технологическое присоединение по индивидуальному проекту - в течение 3 дней со дня направления заявления;</w:t>
      </w:r>
    </w:p>
    <w:p>
      <w:pPr>
        <w:pStyle w:val="0"/>
        <w:spacing w:before="200" w:line-rule="auto"/>
        <w:ind w:firstLine="540"/>
        <w:jc w:val="both"/>
      </w:pPr>
      <w:r>
        <w:rPr>
          <w:sz w:val="20"/>
        </w:rPr>
        <w:t xml:space="preserve">о принятии решения об изменениях технических характеристик технологического присоединения, которые возникли в процессе и (или) по результатам разработки проектной документации и которые могут повлиять на разработку проектной документации заявителя в пределах границ его участка. Сетевая организация должна уведомить заявителя в течение 5 рабочих дней со дня принятия такого решения в случае, если сведения о технических характеристиках технологического присоединения ранее направлялись заявителю по его запросу.</w:t>
      </w:r>
    </w:p>
    <w:p>
      <w:pPr>
        <w:pStyle w:val="0"/>
        <w:spacing w:before="200" w:line-rule="auto"/>
        <w:ind w:firstLine="540"/>
        <w:jc w:val="both"/>
      </w:pPr>
      <w:r>
        <w:rPr>
          <w:sz w:val="20"/>
        </w:rPr>
        <w:t xml:space="preserve">5. Сетевая организация вправе:</w:t>
      </w:r>
    </w:p>
    <w:bookmarkStart w:id="5438" w:name="P5438"/>
    <w:bookmarkEnd w:id="5438"/>
    <w:p>
      <w:pPr>
        <w:pStyle w:val="0"/>
        <w:spacing w:before="200" w:line-rule="auto"/>
        <w:ind w:firstLine="540"/>
        <w:jc w:val="both"/>
      </w:pPr>
      <w:r>
        <w:rPr>
          <w:sz w:val="20"/>
        </w:rPr>
        <w:t xml:space="preserve">а) запрашивать у заявителя сведения о результатах проведения проектно-изыскательских работ (при наличии таких результатов), необходимые для обеспечения соответствия технических решений при проектировании объектов заявителя техническим решениям при проектировании объектов сетевой организации;</w:t>
      </w:r>
    </w:p>
    <w:p>
      <w:pPr>
        <w:pStyle w:val="0"/>
        <w:spacing w:before="200" w:line-rule="auto"/>
        <w:ind w:firstLine="540"/>
        <w:jc w:val="both"/>
      </w:pPr>
      <w:r>
        <w:rPr>
          <w:sz w:val="20"/>
        </w:rPr>
        <w:t xml:space="preserve">б) привлекать третьих лиц для выполнения обязательств по настоящему соглашению;</w:t>
      </w:r>
    </w:p>
    <w:p>
      <w:pPr>
        <w:pStyle w:val="0"/>
        <w:spacing w:before="200" w:line-rule="auto"/>
        <w:ind w:firstLine="540"/>
        <w:jc w:val="both"/>
      </w:pPr>
      <w:r>
        <w:rPr>
          <w:sz w:val="20"/>
        </w:rPr>
        <w:t xml:space="preserve">в) аннулировать заявку на технологическое присоединение в случае поступления в сетевую организацию одностороннего отказа заявителя от исполнения настоящего соглашения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или в случае ненаправления заявителем подписанного проекта договора либо мотивированного отказа от его подписания, но не ранее чем через 30 рабочих дней со дня получения заявителем от сетевой организации проекта договора, технических условий, а также копии решения уполномоченного органа исполнительной власти в области государственного регулирования тарифов;</w:t>
      </w:r>
    </w:p>
    <w:p>
      <w:pPr>
        <w:pStyle w:val="0"/>
        <w:spacing w:before="200" w:line-rule="auto"/>
        <w:ind w:firstLine="540"/>
        <w:jc w:val="both"/>
      </w:pPr>
      <w:r>
        <w:rPr>
          <w:sz w:val="20"/>
        </w:rPr>
        <w:t xml:space="preserve">г) потребовать от заявителя возмещения расходов на выполнение мероприятий по подготовке технических условий и разработке проектной документации:</w:t>
      </w:r>
    </w:p>
    <w:p>
      <w:pPr>
        <w:pStyle w:val="0"/>
        <w:spacing w:before="200" w:line-rule="auto"/>
        <w:ind w:firstLine="540"/>
        <w:jc w:val="both"/>
      </w:pPr>
      <w:r>
        <w:rPr>
          <w:sz w:val="20"/>
        </w:rPr>
        <w:t xml:space="preserve">в случае получения от заявителя письменного уведомления об отказе от исполнения обязательств по настоящему соглашению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 в размере фактически понесенных расходов при условии предоставления заявителю документов, подтверждающих такие расходы (заверенные копии первичных учетных документов - договоры, платежные документы, акты и другие документы);</w:t>
      </w:r>
    </w:p>
    <w:p>
      <w:pPr>
        <w:pStyle w:val="0"/>
        <w:spacing w:before="200" w:line-rule="auto"/>
        <w:ind w:firstLine="540"/>
        <w:jc w:val="both"/>
      </w:pPr>
      <w:r>
        <w:rPr>
          <w:sz w:val="20"/>
        </w:rPr>
        <w:t xml:space="preserve">в случае ненаправления заявителем подписанного проекта договора либо мотивированного отказа от его подписания - в размере стоимости соответствующих мероприятий, включенной в плату за технологическое присоединение по индивидуальному проекту, утвержденную уполномоченным органом исполнительной власти в области государственного регулирования тарифов.</w:t>
      </w:r>
    </w:p>
    <w:p>
      <w:pPr>
        <w:pStyle w:val="0"/>
        <w:spacing w:before="200" w:line-rule="auto"/>
        <w:ind w:firstLine="540"/>
        <w:jc w:val="both"/>
      </w:pPr>
      <w:r>
        <w:rPr>
          <w:sz w:val="20"/>
        </w:rPr>
        <w:t xml:space="preserve">6. Заявитель обязуется:</w:t>
      </w:r>
    </w:p>
    <w:p>
      <w:pPr>
        <w:pStyle w:val="0"/>
        <w:spacing w:before="200" w:line-rule="auto"/>
        <w:ind w:firstLine="540"/>
        <w:jc w:val="both"/>
      </w:pPr>
      <w:r>
        <w:rPr>
          <w:sz w:val="20"/>
        </w:rPr>
        <w:t xml:space="preserve">а) в течение 10 рабочих дней со дня получения письменного запроса сетевой организации предоставить сведения, указанные в </w:t>
      </w:r>
      <w:hyperlink w:history="0" w:anchor="P5438" w:tooltip="а) запрашивать у заявителя сведения о результатах проведения проектно-изыскательских работ (при наличии таких результатов), необходимые для обеспечения соответствия технических решений при проектировании объектов заявителя техническим решениям при проектировании объектов сетевой организации;">
        <w:r>
          <w:rPr>
            <w:sz w:val="20"/>
            <w:color w:val="0000ff"/>
          </w:rPr>
          <w:t xml:space="preserve">подпункте "а" пункта 5</w:t>
        </w:r>
      </w:hyperlink>
      <w:r>
        <w:rPr>
          <w:sz w:val="20"/>
        </w:rPr>
        <w:t xml:space="preserve"> настоящего соглашения, при их наличии. При необходимости более длительного времени для подготовки таких сведений и документов более длительный срок согласуется сторонами дополнительно. Заявитель уведомляет сетевую организацию о необходимости установления более длительного срока не позднее чем за 3 рабочих дня до истечения такого срока;</w:t>
      </w:r>
    </w:p>
    <w:p>
      <w:pPr>
        <w:pStyle w:val="0"/>
        <w:spacing w:before="200" w:line-rule="auto"/>
        <w:ind w:firstLine="540"/>
        <w:jc w:val="both"/>
      </w:pPr>
      <w:r>
        <w:rPr>
          <w:sz w:val="20"/>
        </w:rPr>
        <w:t xml:space="preserve">б) в течение 30 дней со дня получения от сетевой организации оферты на заключение договора подписать представленный сетевой организацией договор либо представить мотивированный отказ от подписания такого договора;</w:t>
      </w:r>
    </w:p>
    <w:p>
      <w:pPr>
        <w:pStyle w:val="0"/>
        <w:spacing w:before="200" w:line-rule="auto"/>
        <w:ind w:firstLine="540"/>
        <w:jc w:val="both"/>
      </w:pPr>
      <w:r>
        <w:rPr>
          <w:sz w:val="20"/>
        </w:rPr>
        <w:t xml:space="preserve">в) в случае отказа от исполнения обязательств по настоящему соглашению письменно известить сетевую организацию о таком отказе способом, позволяющим подтвердить дату отправки и получения указанного уведомления;</w:t>
      </w:r>
    </w:p>
    <w:p>
      <w:pPr>
        <w:pStyle w:val="0"/>
        <w:spacing w:before="200" w:line-rule="auto"/>
        <w:ind w:firstLine="540"/>
        <w:jc w:val="both"/>
      </w:pPr>
      <w:r>
        <w:rPr>
          <w:sz w:val="20"/>
        </w:rPr>
        <w:t xml:space="preserve">г) в течение 10 дней со дня получения от сетевой организации требования о возмещении расходов на выполнение мероприятий по подготовке технических условий и разработке проектной документации возместить такие расходы или направить мотивированный отказ от возмещения. Возмещение расходов производится путем перечисления заявителем денежных средств на расчетный счет сетевой организации, указанный в реквизитах настоящего соглашения, датой исполнения заявителем обязательств по оплате является дата зачисления денежных средств на расчетный счет сетевой организации;</w:t>
      </w:r>
    </w:p>
    <w:p>
      <w:pPr>
        <w:pStyle w:val="1"/>
        <w:spacing w:before="200" w:line-rule="auto"/>
        <w:jc w:val="both"/>
      </w:pPr>
      <w:r>
        <w:rPr>
          <w:sz w:val="20"/>
        </w:rPr>
        <w:t xml:space="preserve">    д) в  срок  до  _______________  </w:t>
      </w:r>
      <w:hyperlink w:history="0" w:anchor="P5543" w:tooltip="&lt;5&gt; Подлежит указанию срок, позволяющий сетевой организации исполнить предусмотренную подпунктом &quot;б&quot; пункта 4 настоящего соглашения обязанность не позднее 15 месяцев со дня заключения настоящего соглашения обратиться в уполномоченный орган исп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
        <w:r>
          <w:rPr>
            <w:sz w:val="20"/>
            <w:color w:val="0000ff"/>
          </w:rPr>
          <w:t xml:space="preserve">&lt;5&gt;</w:t>
        </w:r>
      </w:hyperlink>
      <w:r>
        <w:rPr>
          <w:sz w:val="20"/>
        </w:rPr>
        <w:t xml:space="preserve">  обеспечить  выполнение  следующих</w:t>
      </w:r>
    </w:p>
    <w:p>
      <w:pPr>
        <w:pStyle w:val="1"/>
        <w:jc w:val="both"/>
      </w:pPr>
      <w:r>
        <w:rPr>
          <w:sz w:val="20"/>
        </w:rPr>
        <w:t xml:space="preserve">работ по разработке проектной документации в целях выполнения  мероприятий,</w:t>
      </w:r>
    </w:p>
    <w:p>
      <w:pPr>
        <w:pStyle w:val="1"/>
        <w:jc w:val="both"/>
      </w:pPr>
      <w:r>
        <w:rPr>
          <w:sz w:val="20"/>
        </w:rPr>
        <w:t xml:space="preserve">которые  должны  быть  реализованы  сетевой  организацией,  и  передать  ей</w:t>
      </w:r>
    </w:p>
    <w:p>
      <w:pPr>
        <w:pStyle w:val="1"/>
        <w:jc w:val="both"/>
      </w:pPr>
      <w:r>
        <w:rPr>
          <w:sz w:val="20"/>
        </w:rPr>
        <w:t xml:space="preserve">результаты таких работ:</w:t>
      </w:r>
    </w:p>
    <w:p>
      <w:pPr>
        <w:pStyle w:val="1"/>
        <w:jc w:val="both"/>
      </w:pPr>
      <w:r>
        <w:rPr>
          <w:sz w:val="20"/>
        </w:rPr>
        <w:t xml:space="preserve">    ______________________________________________________________________;</w:t>
      </w:r>
    </w:p>
    <w:p>
      <w:pPr>
        <w:pStyle w:val="1"/>
        <w:jc w:val="both"/>
      </w:pPr>
      <w:r>
        <w:rPr>
          <w:sz w:val="20"/>
        </w:rPr>
        <w:t xml:space="preserve">    ______________________________________________________________________.</w:t>
      </w:r>
    </w:p>
    <w:p>
      <w:pPr>
        <w:pStyle w:val="0"/>
        <w:ind w:firstLine="540"/>
        <w:jc w:val="both"/>
      </w:pPr>
      <w:r>
        <w:rPr>
          <w:sz w:val="20"/>
        </w:rPr>
        <w:t xml:space="preserve">7. Заявитель вправе:</w:t>
      </w:r>
    </w:p>
    <w:p>
      <w:pPr>
        <w:pStyle w:val="0"/>
        <w:spacing w:before="200" w:line-rule="auto"/>
        <w:ind w:firstLine="540"/>
        <w:jc w:val="both"/>
      </w:pPr>
      <w:r>
        <w:rPr>
          <w:sz w:val="20"/>
        </w:rPr>
        <w:t xml:space="preserve">а) внести в качестве авансового платежа за осуществление сетевой организацией мероприятий по технологическому присоединению, связанных с подготовкой технических условий и разработкой проектной документации, ____________ рублей при условии, что такой платеж засчитывается в качестве возмещения расходов сетевой организации на подготовку технических условий и разработку проектной документации или оплаты по договору в части стоимости мероприятий по подготовке технических условий и разработке проектной документации, включенной в установленную плату за технологическое присоединение по индивидуальному проекту </w:t>
      </w:r>
      <w:hyperlink w:history="0" w:anchor="P5544" w:tooltip="&lt;6&gt; Право заявителя на внесение авансового платежа включается в настоящее соглашение на основании предложения заявителя.">
        <w:r>
          <w:rPr>
            <w:sz w:val="20"/>
            <w:color w:val="0000ff"/>
          </w:rPr>
          <w:t xml:space="preserve">&lt;6&gt;</w:t>
        </w:r>
      </w:hyperlink>
      <w:r>
        <w:rPr>
          <w:sz w:val="20"/>
        </w:rPr>
        <w:t xml:space="preserve">;</w:t>
      </w:r>
    </w:p>
    <w:p>
      <w:pPr>
        <w:pStyle w:val="0"/>
        <w:spacing w:before="200" w:line-rule="auto"/>
        <w:ind w:firstLine="540"/>
        <w:jc w:val="both"/>
      </w:pPr>
      <w:r>
        <w:rPr>
          <w:sz w:val="20"/>
        </w:rPr>
        <w:t xml:space="preserve">б) отказаться от исполнения обязательств по настоящему соглашению до окончания срока действия настоящего соглашения при условии письменного уведомления сетевой организации, которое должно быть направлено не позднее чем за 10 рабочих дней до дня, указанного заявителем, начиная с которого заявитель отказывается от исполнения обязательств;</w:t>
      </w:r>
    </w:p>
    <w:p>
      <w:pPr>
        <w:pStyle w:val="0"/>
        <w:spacing w:before="200" w:line-rule="auto"/>
        <w:ind w:firstLine="540"/>
        <w:jc w:val="both"/>
      </w:pPr>
      <w:r>
        <w:rPr>
          <w:sz w:val="20"/>
        </w:rPr>
        <w:t xml:space="preserve">в) отказаться от заключения договора после установления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w:t>
      </w:r>
    </w:p>
    <w:bookmarkStart w:id="5459" w:name="P5459"/>
    <w:bookmarkEnd w:id="5459"/>
    <w:p>
      <w:pPr>
        <w:pStyle w:val="0"/>
        <w:spacing w:before="200" w:line-rule="auto"/>
        <w:ind w:firstLine="540"/>
        <w:jc w:val="both"/>
      </w:pPr>
      <w:r>
        <w:rPr>
          <w:sz w:val="20"/>
        </w:rPr>
        <w:t xml:space="preserve">г) в целях обеспечения проведения инженерных изысканий и (или) разработки проектной документации в границах участка, на котором расположены энергопринимающие устройства заявителя, запрашивать у сетевой организации сведения:</w:t>
      </w:r>
    </w:p>
    <w:p>
      <w:pPr>
        <w:pStyle w:val="0"/>
        <w:spacing w:before="200" w:line-rule="auto"/>
        <w:ind w:firstLine="540"/>
        <w:jc w:val="both"/>
      </w:pPr>
      <w:r>
        <w:rPr>
          <w:sz w:val="20"/>
        </w:rPr>
        <w:t xml:space="preserve">о планируемых точках присоединения к объектам электросетевого хозяйства с распределением максимальной мощности, указанной в заявке, по каждой точке;</w:t>
      </w:r>
    </w:p>
    <w:p>
      <w:pPr>
        <w:pStyle w:val="0"/>
        <w:spacing w:before="200" w:line-rule="auto"/>
        <w:ind w:firstLine="540"/>
        <w:jc w:val="both"/>
      </w:pPr>
      <w:r>
        <w:rPr>
          <w:sz w:val="20"/>
        </w:rPr>
        <w:t xml:space="preserve">о составе мероприятий, необходимых для выполнения технологического присоединения по индивидуальному проекту.</w:t>
      </w:r>
    </w:p>
    <w:p>
      <w:pPr>
        <w:pStyle w:val="0"/>
        <w:ind w:firstLine="540"/>
        <w:jc w:val="both"/>
      </w:pPr>
      <w:r>
        <w:rPr>
          <w:sz w:val="20"/>
        </w:rPr>
      </w:r>
    </w:p>
    <w:p>
      <w:pPr>
        <w:pStyle w:val="0"/>
        <w:outlineLvl w:val="2"/>
        <w:jc w:val="center"/>
      </w:pPr>
      <w:r>
        <w:rPr>
          <w:sz w:val="20"/>
        </w:rPr>
        <w:t xml:space="preserve">III. Порядок изменения, расторжения соглашения,</w:t>
      </w:r>
    </w:p>
    <w:p>
      <w:pPr>
        <w:pStyle w:val="0"/>
        <w:jc w:val="center"/>
      </w:pPr>
      <w:r>
        <w:rPr>
          <w:sz w:val="20"/>
        </w:rPr>
        <w:t xml:space="preserve">ответственность сторон</w:t>
      </w:r>
    </w:p>
    <w:p>
      <w:pPr>
        <w:pStyle w:val="0"/>
        <w:jc w:val="center"/>
      </w:pPr>
      <w:r>
        <w:rPr>
          <w:sz w:val="20"/>
        </w:rPr>
      </w:r>
    </w:p>
    <w:p>
      <w:pPr>
        <w:pStyle w:val="0"/>
        <w:ind w:firstLine="540"/>
        <w:jc w:val="both"/>
      </w:pPr>
      <w:r>
        <w:rPr>
          <w:sz w:val="20"/>
        </w:rPr>
        <w:t xml:space="preserve">8. Настоящее соглашение может быть изменено по письменному соглашению сторон или в судебном порядке.</w:t>
      </w:r>
    </w:p>
    <w:p>
      <w:pPr>
        <w:pStyle w:val="0"/>
        <w:spacing w:before="200" w:line-rule="auto"/>
        <w:ind w:firstLine="540"/>
        <w:jc w:val="both"/>
      </w:pPr>
      <w:r>
        <w:rPr>
          <w:sz w:val="20"/>
        </w:rPr>
        <w:t xml:space="preserve">9. Настоящее соглашение может быть расторгнуто по требованию одной из сторон по основаниям, предусмотренным Гражданским </w:t>
      </w:r>
      <w:hyperlink w:history="0" r:id="rId1144" w:tooltip="&quot;Гражданский кодекс Российской Федерации (часть первая)&quot; от 30.11.1994 N 51-ФЗ (ред. от 25.02.2022)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10. Настоящее соглашение признается расторгнутым со дня поступления в сетевую организацию уведомления заявителя об отказе от исполнения обязательств по настоящему соглашению до окончания срока его действия.</w:t>
      </w:r>
    </w:p>
    <w:p>
      <w:pPr>
        <w:pStyle w:val="0"/>
        <w:spacing w:before="200" w:line-rule="auto"/>
        <w:ind w:firstLine="540"/>
        <w:jc w:val="both"/>
      </w:pPr>
      <w:r>
        <w:rPr>
          <w:sz w:val="20"/>
        </w:rPr>
        <w:t xml:space="preserve">11. В случае нарушения по вине сетевой организации установленных срока и порядка направления в уполномоченный орган исполнительной власти в области государственного регулирования тарифов заявления об установлении платы за технологическое присоединение по индивидуальному проекту сетевая организация обязана:</w:t>
      </w:r>
    </w:p>
    <w:bookmarkStart w:id="5470" w:name="P5470"/>
    <w:bookmarkEnd w:id="5470"/>
    <w:p>
      <w:pPr>
        <w:pStyle w:val="0"/>
        <w:spacing w:before="200" w:line-rule="auto"/>
        <w:ind w:firstLine="540"/>
        <w:jc w:val="both"/>
      </w:pPr>
      <w:r>
        <w:rPr>
          <w:sz w:val="20"/>
        </w:rPr>
        <w:t xml:space="preserve">уплатить заявителю не позднее даты полной оплаты заявителем услуги по технологическому присоединению по индивидуальному проекту, предусмотренной договором, неустойку, рассчитанную за каждый день просрочки как произведение 0,014 ключевой ставки Центрального банка Российской Федерации, установленной на дату заключения договора, и стоимости мероприятий, связанных с подготовкой индивидуальных технических условий и разработкой проектной документации, в размере, указанном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pPr>
        <w:pStyle w:val="0"/>
        <w:spacing w:before="200" w:line-rule="auto"/>
        <w:ind w:firstLine="540"/>
        <w:jc w:val="both"/>
      </w:pPr>
      <w:r>
        <w:rPr>
          <w:sz w:val="20"/>
        </w:rPr>
        <w:t xml:space="preserve">возместить понесенные заявителем расходы в размере, определенном в судебном акте, связанные с необходимостью принудительного взыскания.</w:t>
      </w:r>
    </w:p>
    <w:p>
      <w:pPr>
        <w:pStyle w:val="0"/>
        <w:spacing w:before="200" w:line-rule="auto"/>
        <w:ind w:firstLine="540"/>
        <w:jc w:val="both"/>
      </w:pPr>
      <w:r>
        <w:rPr>
          <w:sz w:val="20"/>
        </w:rPr>
        <w:t xml:space="preserve">Совокупный размер неустойки, подлежащей уплате заявителю, не может превышать размер неустойки, предусмотренный </w:t>
      </w:r>
      <w:hyperlink w:history="0" w:anchor="P5470" w:tooltip="уплатить заявителю не позднее даты полной оплаты заявителем услуги по технологическому присоединению по индивидуальному проекту, предусмотренной договором, неустойку, рассчитанную за каждый день просрочки как произведение 0,014 ключевой ставки Центрального банка Российской Федерации, установленной на дату заключения договора, и стоимости мероприятий, связанных с подготовкой индивидуальных технических условий и разработкой проектной документации, в размере, указанном в решении уполномоченного органа испол...">
        <w:r>
          <w:rPr>
            <w:sz w:val="20"/>
            <w:color w:val="0000ff"/>
          </w:rPr>
          <w:t xml:space="preserve">абзацем вторым</w:t>
        </w:r>
      </w:hyperlink>
      <w:r>
        <w:rPr>
          <w:sz w:val="20"/>
        </w:rPr>
        <w:t xml:space="preserve"> настоящего пункта, за год просрочки.</w:t>
      </w:r>
    </w:p>
    <w:p>
      <w:pPr>
        <w:pStyle w:val="0"/>
        <w:spacing w:before="200" w:line-rule="auto"/>
        <w:ind w:firstLine="540"/>
        <w:jc w:val="both"/>
      </w:pPr>
      <w:r>
        <w:rPr>
          <w:sz w:val="20"/>
        </w:rPr>
        <w:t xml:space="preserve">12.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13. Стороны освобождаются от ответственности за полное или частичное невыполнение обязательств по настоящему соглашению, если это невыполнение было вызвано обстоятельствами непреодолимой силы, возникшими после вступления в силу настоящего соглашения. В этих случаях сроки выполнения сторонами обязательств по настоящему соглашению переносятся на другой срок соразмерно времени, в течение которого действуют обстоятельства непреодолимой силы.</w:t>
      </w:r>
    </w:p>
    <w:p>
      <w:pPr>
        <w:pStyle w:val="0"/>
        <w:spacing w:before="200" w:line-rule="auto"/>
        <w:ind w:firstLine="540"/>
        <w:jc w:val="both"/>
      </w:pPr>
      <w:r>
        <w:rPr>
          <w:sz w:val="20"/>
        </w:rPr>
        <w:t xml:space="preserve">14. Сторона обязана в письменной форме известить о наступлении обстоятельств непреодолимой силы другую сторону не позднее 20 рабочих дней со дня наступления таких обстоятельств с представлением документов, подтверждающих их наступление. В противном случае она не вправе ссылаться на действие обстоятельств непреодолимой силы как на основание, освобождающее сторону от ответственности.</w:t>
      </w:r>
    </w:p>
    <w:p>
      <w:pPr>
        <w:pStyle w:val="0"/>
        <w:ind w:firstLine="540"/>
        <w:jc w:val="both"/>
      </w:pPr>
      <w:r>
        <w:rPr>
          <w:sz w:val="20"/>
        </w:rPr>
      </w:r>
    </w:p>
    <w:p>
      <w:pPr>
        <w:pStyle w:val="0"/>
        <w:outlineLvl w:val="2"/>
        <w:jc w:val="center"/>
      </w:pPr>
      <w:r>
        <w:rPr>
          <w:sz w:val="20"/>
        </w:rPr>
        <w:t xml:space="preserve">IV. Порядок разрешения споров</w:t>
      </w:r>
    </w:p>
    <w:p>
      <w:pPr>
        <w:pStyle w:val="0"/>
        <w:jc w:val="center"/>
      </w:pPr>
      <w:r>
        <w:rPr>
          <w:sz w:val="20"/>
        </w:rPr>
      </w:r>
    </w:p>
    <w:p>
      <w:pPr>
        <w:pStyle w:val="0"/>
        <w:ind w:firstLine="540"/>
        <w:jc w:val="both"/>
      </w:pPr>
      <w:r>
        <w:rPr>
          <w:sz w:val="20"/>
        </w:rPr>
        <w:t xml:space="preserve">15. Споры, которые могут возникнуть при исполнении, изменении и расторжении настоящего соглашения, стороны разрешают в соответствии с законодательством Российской Федерации.</w:t>
      </w:r>
    </w:p>
    <w:p>
      <w:pPr>
        <w:pStyle w:val="0"/>
        <w:ind w:firstLine="540"/>
        <w:jc w:val="both"/>
      </w:pPr>
      <w:r>
        <w:rPr>
          <w:sz w:val="20"/>
        </w:rPr>
      </w:r>
    </w:p>
    <w:p>
      <w:pPr>
        <w:pStyle w:val="0"/>
        <w:outlineLvl w:val="2"/>
        <w:jc w:val="center"/>
      </w:pPr>
      <w:r>
        <w:rPr>
          <w:sz w:val="20"/>
        </w:rPr>
        <w:t xml:space="preserve">V. Заключительные положения</w:t>
      </w:r>
    </w:p>
    <w:p>
      <w:pPr>
        <w:pStyle w:val="0"/>
        <w:jc w:val="center"/>
      </w:pPr>
      <w:r>
        <w:rPr>
          <w:sz w:val="20"/>
        </w:rPr>
      </w:r>
    </w:p>
    <w:p>
      <w:pPr>
        <w:pStyle w:val="0"/>
        <w:ind w:firstLine="540"/>
        <w:jc w:val="both"/>
      </w:pPr>
      <w:r>
        <w:rPr>
          <w:sz w:val="20"/>
        </w:rPr>
        <w:t xml:space="preserve">16. Направление всех уведомлений, извещений и информации в случаях, предусмотренных настоящим соглашением, осуществляется способом, позволяющим подтвердить дату отправки и получения.</w:t>
      </w:r>
    </w:p>
    <w:p>
      <w:pPr>
        <w:pStyle w:val="0"/>
        <w:spacing w:before="200" w:line-rule="auto"/>
        <w:ind w:firstLine="540"/>
        <w:jc w:val="both"/>
      </w:pPr>
      <w:r>
        <w:rPr>
          <w:sz w:val="20"/>
        </w:rPr>
        <w:t xml:space="preserve">17. Настоящее соглашение считается заключенным со дня поступления в сетевую организацию экземпляра, подписанного заявителем, и действует до окончания исполнения сторонами обязательств.</w:t>
      </w:r>
    </w:p>
    <w:p>
      <w:pPr>
        <w:pStyle w:val="0"/>
        <w:spacing w:before="200" w:line-rule="auto"/>
        <w:ind w:firstLine="540"/>
        <w:jc w:val="both"/>
      </w:pPr>
      <w:r>
        <w:rPr>
          <w:sz w:val="20"/>
        </w:rPr>
        <w:t xml:space="preserve">18. Изменения, которые вносятся в настоящее соглашение, действительны, если они оформлены в письменном виде и подписаны сторонами или уполномоченными представителями сторон.</w:t>
      </w:r>
    </w:p>
    <w:p>
      <w:pPr>
        <w:pStyle w:val="0"/>
        <w:spacing w:before="200" w:line-rule="auto"/>
        <w:ind w:firstLine="540"/>
        <w:jc w:val="both"/>
      </w:pPr>
      <w:r>
        <w:rPr>
          <w:sz w:val="20"/>
        </w:rPr>
        <w:t xml:space="preserve">19. Настоящее соглашение составлено в двух экземплярах - по одному для каждой из сторон.</w:t>
      </w:r>
    </w:p>
    <w:p>
      <w:pPr>
        <w:pStyle w:val="0"/>
        <w:ind w:firstLine="540"/>
        <w:jc w:val="both"/>
      </w:pPr>
      <w:r>
        <w:rPr>
          <w:sz w:val="20"/>
        </w:rPr>
      </w:r>
    </w:p>
    <w:p>
      <w:pPr>
        <w:pStyle w:val="0"/>
        <w:outlineLvl w:val="2"/>
        <w:jc w:val="center"/>
      </w:pPr>
      <w:r>
        <w:rPr>
          <w:sz w:val="20"/>
        </w:rPr>
        <w:t xml:space="preserve">VI. Реквизиты сторон</w:t>
      </w:r>
    </w:p>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2222"/>
        <w:gridCol w:w="2087"/>
        <w:gridCol w:w="567"/>
        <w:gridCol w:w="2189"/>
        <w:gridCol w:w="1950"/>
      </w:tblGrid>
      <w:tr>
        <w:tc>
          <w:tcPr>
            <w:gridSpan w:val="2"/>
            <w:tcW w:w="4309" w:type="dxa"/>
            <w:tcBorders>
              <w:top w:val="nil"/>
              <w:left w:val="nil"/>
              <w:bottom w:val="nil"/>
              <w:right w:val="nil"/>
            </w:tcBorders>
          </w:tcPr>
          <w:p>
            <w:pPr>
              <w:pStyle w:val="0"/>
              <w:jc w:val="both"/>
            </w:pPr>
            <w:r>
              <w:rPr>
                <w:sz w:val="20"/>
              </w:rPr>
              <w:t xml:space="preserve">Сетевая организация</w:t>
            </w:r>
          </w:p>
        </w:tc>
        <w:tc>
          <w:tcPr>
            <w:tcW w:w="567" w:type="dxa"/>
            <w:tcBorders>
              <w:top w:val="nil"/>
              <w:left w:val="nil"/>
              <w:bottom w:val="nil"/>
              <w:right w:val="nil"/>
            </w:tcBorders>
            <w:vMerge w:val="restart"/>
          </w:tcPr>
          <w:p>
            <w:pPr>
              <w:pStyle w:val="0"/>
              <w:jc w:val="both"/>
            </w:pPr>
            <w:r>
              <w:rPr>
                <w:sz w:val="20"/>
              </w:rPr>
            </w:r>
          </w:p>
        </w:tc>
        <w:tc>
          <w:tcPr>
            <w:gridSpan w:val="2"/>
            <w:tcW w:w="4139" w:type="dxa"/>
            <w:tcBorders>
              <w:top w:val="nil"/>
              <w:left w:val="nil"/>
              <w:bottom w:val="nil"/>
              <w:right w:val="nil"/>
            </w:tcBorders>
          </w:tcPr>
          <w:p>
            <w:pPr>
              <w:pStyle w:val="0"/>
              <w:jc w:val="both"/>
            </w:pPr>
            <w:r>
              <w:rPr>
                <w:sz w:val="20"/>
              </w:rPr>
              <w:t xml:space="preserve">Заявитель</w:t>
            </w:r>
          </w:p>
        </w:tc>
      </w:tr>
      <w:tr>
        <w:tc>
          <w:tcPr>
            <w:gridSpan w:val="2"/>
            <w:tcW w:w="4309" w:type="dxa"/>
            <w:tcBorders>
              <w:top w:val="nil"/>
              <w:left w:val="nil"/>
              <w:bottom w:val="nil"/>
              <w:right w:val="nil"/>
            </w:tcBorders>
          </w:tcPr>
          <w:p>
            <w:pPr>
              <w:pStyle w:val="0"/>
              <w:jc w:val="center"/>
            </w:pPr>
            <w:r>
              <w:rPr>
                <w:sz w:val="20"/>
              </w:rPr>
              <w:t xml:space="preserve">_________________________________</w:t>
            </w:r>
          </w:p>
          <w:p>
            <w:pPr>
              <w:pStyle w:val="0"/>
              <w:jc w:val="center"/>
            </w:pPr>
            <w:r>
              <w:rPr>
                <w:sz w:val="20"/>
              </w:rPr>
              <w:t xml:space="preserve">(наименование сетевой организации)</w:t>
            </w:r>
          </w:p>
          <w:p>
            <w:pPr>
              <w:pStyle w:val="0"/>
              <w:jc w:val="center"/>
            </w:pPr>
            <w:r>
              <w:rPr>
                <w:sz w:val="20"/>
              </w:rPr>
              <w:t xml:space="preserve">_________________________________</w:t>
            </w:r>
          </w:p>
          <w:p>
            <w:pPr>
              <w:pStyle w:val="0"/>
              <w:jc w:val="center"/>
            </w:pPr>
            <w:r>
              <w:rPr>
                <w:sz w:val="20"/>
              </w:rPr>
              <w:t xml:space="preserve">(место нахождения)</w:t>
            </w:r>
          </w:p>
        </w:tc>
        <w:tc>
          <w:tcPr>
            <w:tcBorders>
              <w:top w:val="nil"/>
              <w:left w:val="nil"/>
              <w:bottom w:val="nil"/>
              <w:right w:val="nil"/>
            </w:tcBorders>
            <w:vMerge w:val="continue"/>
          </w:tcPr>
          <w:p/>
        </w:tc>
        <w:tc>
          <w:tcPr>
            <w:gridSpan w:val="2"/>
            <w:tcW w:w="4139" w:type="dxa"/>
            <w:tcBorders>
              <w:top w:val="nil"/>
              <w:left w:val="nil"/>
              <w:bottom w:val="nil"/>
              <w:right w:val="nil"/>
            </w:tcBorders>
            <w:vMerge w:val="restart"/>
          </w:tcPr>
          <w:p>
            <w:pPr>
              <w:pStyle w:val="0"/>
              <w:jc w:val="center"/>
            </w:pPr>
            <w:r>
              <w:rPr>
                <w:sz w:val="20"/>
              </w:rPr>
              <w:t xml:space="preserve">________________________________</w:t>
            </w:r>
          </w:p>
          <w:p>
            <w:pPr>
              <w:pStyle w:val="0"/>
              <w:jc w:val="center"/>
            </w:pPr>
            <w:r>
              <w:rPr>
                <w:sz w:val="20"/>
              </w:rPr>
              <w:t xml:space="preserve">(для юридических лиц - полное наименование)</w:t>
            </w:r>
          </w:p>
          <w:p>
            <w:pPr>
              <w:pStyle w:val="0"/>
              <w:jc w:val="center"/>
            </w:pPr>
            <w:r>
              <w:rPr>
                <w:sz w:val="20"/>
              </w:rPr>
              <w:t xml:space="preserve">________________________________</w:t>
            </w:r>
          </w:p>
          <w:p>
            <w:pPr>
              <w:pStyle w:val="0"/>
              <w:jc w:val="center"/>
            </w:pPr>
            <w:r>
              <w:rPr>
                <w:sz w:val="20"/>
              </w:rPr>
              <w:t xml:space="preserve">(номер записи в Едином государственном реестре юридических лиц)</w:t>
            </w:r>
          </w:p>
        </w:tc>
      </w:tr>
      <w:tr>
        <w:tc>
          <w:tcPr>
            <w:gridSpan w:val="2"/>
            <w:tcW w:w="4309" w:type="dxa"/>
            <w:tcBorders>
              <w:top w:val="nil"/>
              <w:left w:val="nil"/>
              <w:bottom w:val="nil"/>
              <w:right w:val="nil"/>
            </w:tcBorders>
            <w:vMerge w:val="restart"/>
          </w:tcPr>
          <w:p>
            <w:pPr>
              <w:pStyle w:val="0"/>
              <w:jc w:val="both"/>
            </w:pPr>
            <w:r>
              <w:rPr>
                <w:sz w:val="20"/>
              </w:rPr>
              <w:t xml:space="preserve">ИНН/КПП _________________________</w:t>
            </w:r>
          </w:p>
          <w:p>
            <w:pPr>
              <w:pStyle w:val="0"/>
              <w:jc w:val="both"/>
            </w:pPr>
            <w:r>
              <w:rPr>
                <w:sz w:val="20"/>
              </w:rPr>
              <w:t xml:space="preserve">р/с _______________________________</w:t>
            </w:r>
          </w:p>
          <w:p>
            <w:pPr>
              <w:pStyle w:val="0"/>
              <w:jc w:val="both"/>
            </w:pPr>
            <w:r>
              <w:rPr>
                <w:sz w:val="20"/>
              </w:rPr>
              <w:t xml:space="preserve">к/с _______________________________</w:t>
            </w:r>
          </w:p>
        </w:tc>
        <w:tc>
          <w:tcPr>
            <w:tcBorders>
              <w:top w:val="nil"/>
              <w:left w:val="nil"/>
              <w:bottom w:val="nil"/>
              <w:right w:val="nil"/>
            </w:tcBorders>
            <w:vMerge w:val="continue"/>
          </w:tcPr>
          <w:p/>
        </w:tc>
        <w:tc>
          <w:tcPr>
            <w:gridSpan w:val="2"/>
            <w:tcBorders>
              <w:top w:val="nil"/>
              <w:left w:val="nil"/>
              <w:bottom w:val="nil"/>
              <w:right w:val="nil"/>
            </w:tcBorders>
            <w:vMerge w:val="continue"/>
          </w:tcPr>
          <w:p/>
        </w:tc>
      </w:tr>
      <w:tr>
        <w:tc>
          <w:tcPr>
            <w:gridSpan w:val="2"/>
            <w:tcBorders>
              <w:top w:val="nil"/>
              <w:left w:val="nil"/>
              <w:bottom w:val="nil"/>
              <w:right w:val="nil"/>
            </w:tcBorders>
            <w:vMerge w:val="continue"/>
          </w:tcPr>
          <w:p/>
        </w:tc>
        <w:tc>
          <w:tcPr>
            <w:tcBorders>
              <w:top w:val="nil"/>
              <w:left w:val="nil"/>
              <w:bottom w:val="nil"/>
              <w:right w:val="nil"/>
            </w:tcBorders>
            <w:vMerge w:val="continue"/>
          </w:tcPr>
          <w:p/>
        </w:tc>
        <w:tc>
          <w:tcPr>
            <w:gridSpan w:val="2"/>
            <w:tcW w:w="4139" w:type="dxa"/>
            <w:tcBorders>
              <w:top w:val="nil"/>
              <w:left w:val="nil"/>
              <w:bottom w:val="nil"/>
              <w:right w:val="nil"/>
            </w:tcBorders>
            <w:vMerge w:val="restart"/>
          </w:tcPr>
          <w:p>
            <w:pPr>
              <w:pStyle w:val="0"/>
              <w:jc w:val="both"/>
            </w:pPr>
            <w:r>
              <w:rPr>
                <w:sz w:val="20"/>
              </w:rPr>
              <w:t xml:space="preserve">ИНН ____________________________</w:t>
            </w:r>
          </w:p>
        </w:tc>
      </w:tr>
      <w:tr>
        <w:tc>
          <w:tcPr>
            <w:gridSpan w:val="2"/>
            <w:tcW w:w="4309" w:type="dxa"/>
            <w:tcBorders>
              <w:top w:val="nil"/>
              <w:left w:val="nil"/>
              <w:bottom w:val="nil"/>
              <w:right w:val="nil"/>
            </w:tcBorders>
            <w:vMerge w:val="restart"/>
          </w:tcPr>
          <w:p>
            <w:pPr>
              <w:pStyle w:val="0"/>
              <w:jc w:val="center"/>
            </w:pPr>
            <w:r>
              <w:rPr>
                <w:sz w:val="20"/>
              </w:rPr>
              <w:t xml:space="preserve">_________________________________</w:t>
            </w:r>
          </w:p>
          <w:p>
            <w:pPr>
              <w:pStyle w:val="0"/>
              <w:jc w:val="center"/>
            </w:pPr>
            <w:r>
              <w:rPr>
                <w:sz w:val="20"/>
              </w:rPr>
              <w:t xml:space="preserve">(должность, фамилия, имя, отчество лица, действующего от имени сетевой организации)</w:t>
            </w:r>
          </w:p>
        </w:tc>
        <w:tc>
          <w:tcPr>
            <w:tcBorders>
              <w:top w:val="nil"/>
              <w:left w:val="nil"/>
              <w:bottom w:val="nil"/>
              <w:right w:val="nil"/>
            </w:tcBorders>
            <w:vMerge w:val="continue"/>
          </w:tcPr>
          <w:p/>
        </w:tc>
        <w:tc>
          <w:tcPr>
            <w:gridSpan w:val="2"/>
            <w:tcBorders>
              <w:top w:val="nil"/>
              <w:left w:val="nil"/>
              <w:bottom w:val="nil"/>
              <w:right w:val="nil"/>
            </w:tcBorders>
            <w:vMerge w:val="continue"/>
          </w:tcPr>
          <w:p/>
        </w:tc>
      </w:tr>
      <w:tr>
        <w:tc>
          <w:tcPr>
            <w:gridSpan w:val="2"/>
            <w:tcBorders>
              <w:top w:val="nil"/>
              <w:left w:val="nil"/>
              <w:bottom w:val="nil"/>
              <w:right w:val="nil"/>
            </w:tcBorders>
            <w:vMerge w:val="continue"/>
          </w:tcPr>
          <w:p/>
        </w:tc>
        <w:tc>
          <w:tcPr>
            <w:tcBorders>
              <w:top w:val="nil"/>
              <w:left w:val="nil"/>
              <w:bottom w:val="nil"/>
              <w:right w:val="nil"/>
            </w:tcBorders>
            <w:vMerge w:val="continue"/>
          </w:tcPr>
          <w:p/>
        </w:tc>
        <w:tc>
          <w:tcPr>
            <w:gridSpan w:val="2"/>
            <w:tcW w:w="4139" w:type="dxa"/>
            <w:tcBorders>
              <w:top w:val="nil"/>
              <w:left w:val="nil"/>
              <w:bottom w:val="nil"/>
              <w:right w:val="nil"/>
            </w:tcBorders>
            <w:vMerge w:val="restart"/>
          </w:tcPr>
          <w:p>
            <w:pPr>
              <w:pStyle w:val="0"/>
              <w:jc w:val="center"/>
            </w:pPr>
            <w:r>
              <w:rPr>
                <w:sz w:val="20"/>
              </w:rPr>
              <w:t xml:space="preserve">_________________________________</w:t>
            </w:r>
          </w:p>
          <w:p>
            <w:pPr>
              <w:pStyle w:val="0"/>
              <w:jc w:val="center"/>
            </w:pPr>
            <w:r>
              <w:rPr>
                <w:sz w:val="20"/>
              </w:rPr>
              <w:t xml:space="preserve">(должность, фамилия, имя, отчество лица,</w:t>
            </w:r>
          </w:p>
          <w:p>
            <w:pPr>
              <w:pStyle w:val="0"/>
              <w:jc w:val="center"/>
            </w:pPr>
            <w:r>
              <w:rPr>
                <w:sz w:val="20"/>
              </w:rPr>
              <w:t xml:space="preserve">_________________________________</w:t>
            </w:r>
          </w:p>
          <w:p>
            <w:pPr>
              <w:pStyle w:val="0"/>
              <w:jc w:val="center"/>
            </w:pPr>
            <w:r>
              <w:rPr>
                <w:sz w:val="20"/>
              </w:rPr>
              <w:t xml:space="preserve">действующего от имени юридического лица)</w:t>
            </w:r>
          </w:p>
          <w:p>
            <w:pPr>
              <w:pStyle w:val="0"/>
              <w:jc w:val="center"/>
            </w:pPr>
            <w:r>
              <w:rPr>
                <w:sz w:val="20"/>
              </w:rPr>
              <w:t xml:space="preserve">_________________________________</w:t>
            </w:r>
          </w:p>
          <w:p>
            <w:pPr>
              <w:pStyle w:val="0"/>
              <w:jc w:val="center"/>
            </w:pPr>
            <w:r>
              <w:rPr>
                <w:sz w:val="20"/>
              </w:rPr>
              <w:t xml:space="preserve">_________________________________</w:t>
            </w:r>
          </w:p>
          <w:p>
            <w:pPr>
              <w:pStyle w:val="0"/>
              <w:jc w:val="center"/>
            </w:pPr>
            <w:r>
              <w:rPr>
                <w:sz w:val="20"/>
              </w:rPr>
              <w:t xml:space="preserve">(место нахождения)</w:t>
            </w:r>
          </w:p>
          <w:p>
            <w:pPr>
              <w:pStyle w:val="0"/>
              <w:jc w:val="center"/>
            </w:pPr>
            <w:r>
              <w:rPr>
                <w:sz w:val="20"/>
              </w:rPr>
              <w:t xml:space="preserve">_________________________________</w:t>
            </w:r>
          </w:p>
          <w:p>
            <w:pPr>
              <w:pStyle w:val="0"/>
              <w:jc w:val="center"/>
            </w:pPr>
            <w:r>
              <w:rPr>
                <w:sz w:val="20"/>
              </w:rPr>
              <w:t xml:space="preserve">(для индивидуальных предпринимателей - фамилия, имя, отчество)</w:t>
            </w:r>
          </w:p>
          <w:p>
            <w:pPr>
              <w:pStyle w:val="0"/>
              <w:jc w:val="center"/>
            </w:pPr>
            <w:r>
              <w:rPr>
                <w:sz w:val="20"/>
              </w:rPr>
              <w:t xml:space="preserve">_________________________________</w:t>
            </w:r>
          </w:p>
          <w:p>
            <w:pPr>
              <w:pStyle w:val="0"/>
              <w:jc w:val="center"/>
            </w:pPr>
            <w:r>
              <w:rPr>
                <w:sz w:val="20"/>
              </w:rPr>
              <w:t xml:space="preserve">(номер записи в Едином государственном реестре индивидуальных предпринимателей и дата ее внесения в реестр)</w:t>
            </w:r>
          </w:p>
          <w:p>
            <w:pPr>
              <w:pStyle w:val="0"/>
              <w:jc w:val="center"/>
            </w:pPr>
            <w:r>
              <w:rPr>
                <w:sz w:val="20"/>
              </w:rPr>
              <w:t xml:space="preserve">_________________________________</w:t>
            </w:r>
          </w:p>
          <w:p>
            <w:pPr>
              <w:pStyle w:val="0"/>
              <w:jc w:val="center"/>
            </w:pPr>
            <w:r>
              <w:rPr>
                <w:sz w:val="20"/>
              </w:rPr>
              <w:t xml:space="preserve">(серия, номер и дата выдачи паспорта или</w:t>
            </w:r>
          </w:p>
          <w:p>
            <w:pPr>
              <w:pStyle w:val="0"/>
              <w:jc w:val="center"/>
            </w:pPr>
            <w:r>
              <w:rPr>
                <w:sz w:val="20"/>
              </w:rPr>
              <w:t xml:space="preserve">_________________________________</w:t>
            </w:r>
          </w:p>
          <w:p>
            <w:pPr>
              <w:pStyle w:val="0"/>
              <w:jc w:val="center"/>
            </w:pPr>
            <w:r>
              <w:rPr>
                <w:sz w:val="20"/>
              </w:rPr>
              <w:t xml:space="preserve">иного документа, удостоверяющего личность в соответствии с законодательством Российской Федерации)</w:t>
            </w:r>
          </w:p>
        </w:tc>
      </w:tr>
      <w:tr>
        <w:tc>
          <w:tcPr>
            <w:gridSpan w:val="2"/>
            <w:tcW w:w="4309" w:type="dxa"/>
            <w:tcBorders>
              <w:top w:val="nil"/>
              <w:left w:val="nil"/>
              <w:bottom w:val="nil"/>
              <w:right w:val="nil"/>
            </w:tcBorders>
            <w:vMerge w:val="restart"/>
          </w:tcPr>
          <w:p>
            <w:pPr>
              <w:pStyle w:val="0"/>
              <w:jc w:val="both"/>
            </w:pPr>
            <w:r>
              <w:rPr>
                <w:sz w:val="20"/>
              </w:rPr>
            </w:r>
          </w:p>
        </w:tc>
        <w:tc>
          <w:tcPr>
            <w:tcBorders>
              <w:top w:val="nil"/>
              <w:left w:val="nil"/>
              <w:bottom w:val="nil"/>
              <w:right w:val="nil"/>
            </w:tcBorders>
            <w:vMerge w:val="continue"/>
          </w:tcPr>
          <w:p/>
        </w:tc>
        <w:tc>
          <w:tcPr>
            <w:gridSpan w:val="2"/>
            <w:tcBorders>
              <w:top w:val="nil"/>
              <w:left w:val="nil"/>
              <w:bottom w:val="nil"/>
              <w:right w:val="nil"/>
            </w:tcBorders>
            <w:vMerge w:val="continue"/>
          </w:tcPr>
          <w:p/>
        </w:tc>
      </w:tr>
      <w:tr>
        <w:tc>
          <w:tcPr>
            <w:gridSpan w:val="2"/>
            <w:tcBorders>
              <w:top w:val="nil"/>
              <w:left w:val="nil"/>
              <w:bottom w:val="nil"/>
              <w:right w:val="nil"/>
            </w:tcBorders>
            <w:vMerge w:val="continue"/>
          </w:tcPr>
          <w:p/>
        </w:tc>
        <w:tc>
          <w:tcPr>
            <w:tcBorders>
              <w:top w:val="nil"/>
              <w:left w:val="nil"/>
              <w:bottom w:val="nil"/>
              <w:right w:val="nil"/>
            </w:tcBorders>
            <w:vMerge w:val="continue"/>
          </w:tcPr>
          <w:p/>
        </w:tc>
        <w:tc>
          <w:tcPr>
            <w:gridSpan w:val="2"/>
            <w:tcW w:w="4139" w:type="dxa"/>
            <w:tcBorders>
              <w:top w:val="nil"/>
              <w:left w:val="nil"/>
              <w:bottom w:val="nil"/>
              <w:right w:val="nil"/>
            </w:tcBorders>
          </w:tcPr>
          <w:p>
            <w:pPr>
              <w:pStyle w:val="0"/>
            </w:pPr>
            <w:r>
              <w:rPr>
                <w:sz w:val="20"/>
              </w:rPr>
              <w:t xml:space="preserve">ИНН ____________________________</w:t>
            </w:r>
          </w:p>
        </w:tc>
      </w:tr>
      <w:tr>
        <w:tc>
          <w:tcPr>
            <w:gridSpan w:val="2"/>
            <w:tcBorders>
              <w:top w:val="nil"/>
              <w:left w:val="nil"/>
              <w:bottom w:val="nil"/>
              <w:right w:val="nil"/>
            </w:tcBorders>
            <w:vMerge w:val="continue"/>
          </w:tcPr>
          <w:p/>
        </w:tc>
        <w:tc>
          <w:tcPr>
            <w:tcBorders>
              <w:top w:val="nil"/>
              <w:left w:val="nil"/>
              <w:bottom w:val="nil"/>
              <w:right w:val="nil"/>
            </w:tcBorders>
            <w:vMerge w:val="continue"/>
          </w:tcPr>
          <w:p/>
        </w:tc>
        <w:tc>
          <w:tcPr>
            <w:gridSpan w:val="2"/>
            <w:tcW w:w="4139" w:type="dxa"/>
            <w:tcBorders>
              <w:top w:val="nil"/>
              <w:left w:val="nil"/>
              <w:bottom w:val="nil"/>
              <w:right w:val="nil"/>
            </w:tcBorders>
          </w:tcPr>
          <w:p>
            <w:pPr>
              <w:pStyle w:val="0"/>
              <w:jc w:val="center"/>
            </w:pPr>
            <w:r>
              <w:rPr>
                <w:sz w:val="20"/>
              </w:rPr>
              <w:t xml:space="preserve">_________________________________</w:t>
            </w:r>
          </w:p>
          <w:p>
            <w:pPr>
              <w:pStyle w:val="0"/>
              <w:jc w:val="center"/>
            </w:pPr>
            <w:r>
              <w:rPr>
                <w:sz w:val="20"/>
              </w:rPr>
              <w:t xml:space="preserve">_________________________________</w:t>
            </w:r>
          </w:p>
          <w:p>
            <w:pPr>
              <w:pStyle w:val="0"/>
              <w:jc w:val="center"/>
            </w:pPr>
            <w:r>
              <w:rPr>
                <w:sz w:val="20"/>
              </w:rPr>
              <w:t xml:space="preserve">(место жительства)</w:t>
            </w:r>
          </w:p>
        </w:tc>
      </w:tr>
      <w:tr>
        <w:tc>
          <w:tcPr>
            <w:tcW w:w="2222" w:type="dxa"/>
            <w:tcBorders>
              <w:top w:val="nil"/>
              <w:left w:val="nil"/>
              <w:bottom w:val="nil"/>
              <w:right w:val="nil"/>
            </w:tcBorders>
          </w:tcPr>
          <w:p>
            <w:pPr>
              <w:pStyle w:val="0"/>
              <w:jc w:val="center"/>
            </w:pPr>
            <w:r>
              <w:rPr>
                <w:sz w:val="20"/>
              </w:rPr>
              <w:t xml:space="preserve">________________</w:t>
            </w:r>
          </w:p>
          <w:p>
            <w:pPr>
              <w:pStyle w:val="0"/>
              <w:jc w:val="center"/>
            </w:pPr>
            <w:r>
              <w:rPr>
                <w:sz w:val="20"/>
              </w:rPr>
              <w:t xml:space="preserve">(подпись)</w:t>
            </w:r>
          </w:p>
        </w:tc>
        <w:tc>
          <w:tcPr>
            <w:tcW w:w="2087" w:type="dxa"/>
            <w:tcBorders>
              <w:top w:val="nil"/>
              <w:left w:val="nil"/>
              <w:bottom w:val="nil"/>
              <w:right w:val="nil"/>
            </w:tcBorders>
          </w:tcPr>
          <w:p>
            <w:pPr>
              <w:pStyle w:val="0"/>
              <w:jc w:val="both"/>
            </w:pPr>
            <w:r>
              <w:rPr>
                <w:sz w:val="20"/>
              </w:rPr>
            </w:r>
          </w:p>
        </w:tc>
        <w:tc>
          <w:tcPr>
            <w:tcBorders>
              <w:top w:val="nil"/>
              <w:left w:val="nil"/>
              <w:bottom w:val="nil"/>
              <w:right w:val="nil"/>
            </w:tcBorders>
            <w:vMerge w:val="continue"/>
          </w:tcPr>
          <w:p/>
        </w:tc>
        <w:tc>
          <w:tcPr>
            <w:tcW w:w="2189" w:type="dxa"/>
            <w:tcBorders>
              <w:top w:val="nil"/>
              <w:left w:val="nil"/>
              <w:bottom w:val="nil"/>
              <w:right w:val="nil"/>
            </w:tcBorders>
          </w:tcPr>
          <w:p>
            <w:pPr>
              <w:pStyle w:val="0"/>
              <w:jc w:val="center"/>
            </w:pPr>
            <w:r>
              <w:rPr>
                <w:sz w:val="20"/>
              </w:rPr>
              <w:t xml:space="preserve">________________</w:t>
            </w:r>
          </w:p>
          <w:p>
            <w:pPr>
              <w:pStyle w:val="0"/>
              <w:jc w:val="center"/>
            </w:pPr>
            <w:r>
              <w:rPr>
                <w:sz w:val="20"/>
              </w:rPr>
              <w:t xml:space="preserve">(подпись)</w:t>
            </w:r>
          </w:p>
        </w:tc>
        <w:tc>
          <w:tcPr>
            <w:tcW w:w="1950" w:type="dxa"/>
            <w:tcBorders>
              <w:top w:val="nil"/>
              <w:left w:val="nil"/>
              <w:bottom w:val="nil"/>
              <w:right w:val="nil"/>
            </w:tcBorders>
          </w:tcPr>
          <w:p>
            <w:pPr>
              <w:pStyle w:val="0"/>
              <w:jc w:val="both"/>
            </w:pPr>
            <w:r>
              <w:rPr>
                <w:sz w:val="20"/>
              </w:rPr>
            </w:r>
          </w:p>
        </w:tc>
      </w:tr>
      <w:tr>
        <w:tc>
          <w:tcPr>
            <w:tcW w:w="2222" w:type="dxa"/>
            <w:tcBorders>
              <w:top w:val="nil"/>
              <w:left w:val="nil"/>
              <w:bottom w:val="nil"/>
              <w:right w:val="nil"/>
            </w:tcBorders>
          </w:tcPr>
          <w:p>
            <w:pPr>
              <w:pStyle w:val="0"/>
            </w:pPr>
            <w:r>
              <w:rPr>
                <w:sz w:val="20"/>
              </w:rPr>
              <w:t xml:space="preserve">М.П.</w:t>
            </w:r>
          </w:p>
        </w:tc>
        <w:tc>
          <w:tcPr>
            <w:tcW w:w="2087" w:type="dxa"/>
            <w:tcBorders>
              <w:top w:val="nil"/>
              <w:left w:val="nil"/>
              <w:bottom w:val="nil"/>
              <w:right w:val="nil"/>
            </w:tcBorders>
          </w:tcPr>
          <w:p>
            <w:pPr>
              <w:pStyle w:val="0"/>
              <w:jc w:val="both"/>
            </w:pPr>
            <w:r>
              <w:rPr>
                <w:sz w:val="20"/>
              </w:rPr>
            </w:r>
          </w:p>
        </w:tc>
        <w:tc>
          <w:tcPr>
            <w:tcBorders>
              <w:top w:val="nil"/>
              <w:left w:val="nil"/>
              <w:bottom w:val="nil"/>
              <w:right w:val="nil"/>
            </w:tcBorders>
            <w:vMerge w:val="continue"/>
          </w:tcPr>
          <w:p/>
        </w:tc>
        <w:tc>
          <w:tcPr>
            <w:tcW w:w="2189" w:type="dxa"/>
            <w:tcBorders>
              <w:top w:val="nil"/>
              <w:left w:val="nil"/>
              <w:bottom w:val="nil"/>
              <w:right w:val="nil"/>
            </w:tcBorders>
          </w:tcPr>
          <w:p>
            <w:pPr>
              <w:pStyle w:val="0"/>
            </w:pPr>
            <w:r>
              <w:rPr>
                <w:sz w:val="20"/>
              </w:rPr>
              <w:t xml:space="preserve">М.П.</w:t>
            </w:r>
          </w:p>
        </w:tc>
        <w:tc>
          <w:tcPr>
            <w:tcW w:w="1950" w:type="dxa"/>
            <w:tcBorders>
              <w:top w:val="nil"/>
              <w:left w:val="nil"/>
              <w:bottom w:val="nil"/>
              <w:right w:val="nil"/>
            </w:tcBorders>
          </w:tcPr>
          <w:p>
            <w:pPr>
              <w:pStyle w:val="0"/>
              <w:jc w:val="both"/>
            </w:pPr>
            <w:r>
              <w:rPr>
                <w:sz w:val="20"/>
              </w:rPr>
            </w:r>
          </w:p>
        </w:tc>
      </w:tr>
    </w:tbl>
    <w:p>
      <w:pPr>
        <w:pStyle w:val="0"/>
        <w:ind w:firstLine="540"/>
        <w:jc w:val="both"/>
      </w:pPr>
      <w:r>
        <w:rPr>
          <w:sz w:val="20"/>
        </w:rPr>
      </w:r>
    </w:p>
    <w:p>
      <w:pPr>
        <w:pStyle w:val="0"/>
        <w:ind w:firstLine="540"/>
        <w:jc w:val="both"/>
      </w:pPr>
      <w:r>
        <w:rPr>
          <w:sz w:val="20"/>
        </w:rPr>
        <w:t xml:space="preserve">--------------------------------</w:t>
      </w:r>
    </w:p>
    <w:bookmarkStart w:id="5539" w:name="P5539"/>
    <w:bookmarkEnd w:id="5539"/>
    <w:p>
      <w:pPr>
        <w:pStyle w:val="0"/>
        <w:spacing w:before="200" w:line-rule="auto"/>
        <w:ind w:firstLine="540"/>
        <w:jc w:val="both"/>
      </w:pPr>
      <w:r>
        <w:rPr>
          <w:sz w:val="20"/>
        </w:rPr>
        <w:t xml:space="preserve">&lt;1&gt;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соответствующей точке присоединения энергопринимающих устройств.</w:t>
      </w:r>
    </w:p>
    <w:bookmarkStart w:id="5540" w:name="P5540"/>
    <w:bookmarkEnd w:id="5540"/>
    <w:p>
      <w:pPr>
        <w:pStyle w:val="0"/>
        <w:spacing w:before="200" w:line-rule="auto"/>
        <w:ind w:firstLine="540"/>
        <w:jc w:val="both"/>
      </w:pPr>
      <w:r>
        <w:rPr>
          <w:sz w:val="20"/>
        </w:rPr>
        <w:t xml:space="preserve">&lt;2&gt; Подлежит указанию срок, позволяющий сетевой организации исполнить предусмотренную </w:t>
      </w:r>
      <w:hyperlink w:history="0" w:anchor="P5429" w:tooltip="б) направить в течение 15 дней со дня истечения срока, указанного в подпункте &quot;а&quot; настоящего пункта,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по индивидуальному проекту в порядке, установленном законодательством Российской Федерации об электроэнергетике;">
        <w:r>
          <w:rPr>
            <w:sz w:val="20"/>
            <w:color w:val="0000ff"/>
          </w:rPr>
          <w:t xml:space="preserve">подпунктом "б" пункта 4</w:t>
        </w:r>
      </w:hyperlink>
      <w:r>
        <w:rPr>
          <w:sz w:val="20"/>
        </w:rPr>
        <w:t xml:space="preserve"> настоящего соглашения обязанность не позднее 15 месяцев со дня заключения настоящего соглашения обратиться в уполномоченный орган исполнительной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w:t>
      </w:r>
    </w:p>
    <w:bookmarkStart w:id="5541" w:name="P5541"/>
    <w:bookmarkEnd w:id="5541"/>
    <w:p>
      <w:pPr>
        <w:pStyle w:val="0"/>
        <w:spacing w:before="200" w:line-rule="auto"/>
        <w:ind w:firstLine="540"/>
        <w:jc w:val="both"/>
      </w:pPr>
      <w:r>
        <w:rPr>
          <w:sz w:val="20"/>
        </w:rPr>
        <w:t xml:space="preserve">&lt;3&gt; Обязательства сетевой организации по разработке проектной документации не включаются в настоящее соглашение, в случае если по инициативе заявителя с согласия сетевой организации в настоящее соглашение включены обязательства заявителя о выполнении работ по разработке проектной документации в целях выполнения мероприятий, которые должны быть реализованы сетевой организацией.</w:t>
      </w:r>
    </w:p>
    <w:bookmarkStart w:id="5542" w:name="P5542"/>
    <w:bookmarkEnd w:id="5542"/>
    <w:p>
      <w:pPr>
        <w:pStyle w:val="0"/>
        <w:spacing w:before="200" w:line-rule="auto"/>
        <w:ind w:firstLine="540"/>
        <w:jc w:val="both"/>
      </w:pPr>
      <w:r>
        <w:rPr>
          <w:sz w:val="20"/>
        </w:rPr>
        <w:t xml:space="preserve">&lt;4&gt; Обязанность включается в случае включения в настоящее соглашение права заявителя на внесение авансового платежа.</w:t>
      </w:r>
    </w:p>
    <w:bookmarkStart w:id="5543" w:name="P5543"/>
    <w:bookmarkEnd w:id="5543"/>
    <w:p>
      <w:pPr>
        <w:pStyle w:val="0"/>
        <w:spacing w:before="200" w:line-rule="auto"/>
        <w:ind w:firstLine="540"/>
        <w:jc w:val="both"/>
      </w:pPr>
      <w:r>
        <w:rPr>
          <w:sz w:val="20"/>
        </w:rPr>
        <w:t xml:space="preserve">&lt;5&gt; Подлежит указанию срок, позволяющий сетевой организации исполнить предусмотренную </w:t>
      </w:r>
      <w:hyperlink w:history="0" w:anchor="P5429" w:tooltip="б) направить в течение 15 дней со дня истечения срока, указанного в подпункте &quot;а&quot; настоящего пункта,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по индивидуальному проекту в порядке, установленном законодательством Российской Федерации об электроэнергетике;">
        <w:r>
          <w:rPr>
            <w:sz w:val="20"/>
            <w:color w:val="0000ff"/>
          </w:rPr>
          <w:t xml:space="preserve">подпунктом "б" пункта 4</w:t>
        </w:r>
      </w:hyperlink>
      <w:r>
        <w:rPr>
          <w:sz w:val="20"/>
        </w:rPr>
        <w:t xml:space="preserve"> настоящего соглашения обязанность не позднее 15 месяцев со дня заключения настоящего соглашения обратиться в уполномоченный орган исполнительной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w:t>
      </w:r>
    </w:p>
    <w:bookmarkStart w:id="5544" w:name="P5544"/>
    <w:bookmarkEnd w:id="5544"/>
    <w:p>
      <w:pPr>
        <w:pStyle w:val="0"/>
        <w:spacing w:before="200" w:line-rule="auto"/>
        <w:ind w:firstLine="540"/>
        <w:jc w:val="both"/>
      </w:pPr>
      <w:r>
        <w:rPr>
          <w:sz w:val="20"/>
        </w:rPr>
        <w:t xml:space="preserve">&lt;6&gt; Право заявителя на внесение авансового платежа включается в настоящее соглашение на основании предложения заявителя.</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16</w:t>
      </w:r>
    </w:p>
    <w:p>
      <w:pPr>
        <w:pStyle w:val="0"/>
        <w:jc w:val="right"/>
      </w:pPr>
      <w:r>
        <w:rPr>
          <w:sz w:val="20"/>
        </w:rPr>
        <w:t xml:space="preserve">к Правилам технологического</w:t>
      </w:r>
    </w:p>
    <w:p>
      <w:pPr>
        <w:pStyle w:val="0"/>
        <w:jc w:val="right"/>
      </w:pPr>
      <w:r>
        <w:rPr>
          <w:sz w:val="20"/>
        </w:rPr>
        <w:t xml:space="preserve">присоединения энергопринимающих</w:t>
      </w:r>
    </w:p>
    <w:p>
      <w:pPr>
        <w:pStyle w:val="0"/>
        <w:jc w:val="right"/>
      </w:pPr>
      <w:r>
        <w:rPr>
          <w:sz w:val="20"/>
        </w:rPr>
        <w:t xml:space="preserve">устройств потребителей электрической</w:t>
      </w:r>
    </w:p>
    <w:p>
      <w:pPr>
        <w:pStyle w:val="0"/>
        <w:jc w:val="right"/>
      </w:pPr>
      <w:r>
        <w:rPr>
          <w:sz w:val="20"/>
        </w:rPr>
        <w:t xml:space="preserve">энергии, объектов по производству</w:t>
      </w:r>
    </w:p>
    <w:p>
      <w:pPr>
        <w:pStyle w:val="0"/>
        <w:jc w:val="right"/>
      </w:pPr>
      <w:r>
        <w:rPr>
          <w:sz w:val="20"/>
        </w:rPr>
        <w:t xml:space="preserve">электрической энергии, а также</w:t>
      </w:r>
    </w:p>
    <w:p>
      <w:pPr>
        <w:pStyle w:val="0"/>
        <w:jc w:val="right"/>
      </w:pPr>
      <w:r>
        <w:rPr>
          <w:sz w:val="20"/>
        </w:rPr>
        <w:t xml:space="preserve">объектов электросетевого хозяйства,</w:t>
      </w:r>
    </w:p>
    <w:p>
      <w:pPr>
        <w:pStyle w:val="0"/>
        <w:jc w:val="right"/>
      </w:pPr>
      <w:r>
        <w:rPr>
          <w:sz w:val="20"/>
        </w:rPr>
        <w:t xml:space="preserve">принадлежащих сетевым организациям</w:t>
      </w:r>
    </w:p>
    <w:p>
      <w:pPr>
        <w:pStyle w:val="0"/>
        <w:jc w:val="right"/>
      </w:pPr>
      <w:r>
        <w:rPr>
          <w:sz w:val="20"/>
        </w:rPr>
        <w:t xml:space="preserve">и иным лицам, к электрическим сетям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1145"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quot; {КонсультантПлюс}">
              <w:r>
                <w:rPr>
                  <w:sz w:val="20"/>
                  <w:color w:val="0000ff"/>
                </w:rPr>
                <w:t xml:space="preserve">Постановлением</w:t>
              </w:r>
            </w:hyperlink>
            <w:r>
              <w:rPr>
                <w:sz w:val="20"/>
                <w:color w:val="392c69"/>
              </w:rPr>
              <w:t xml:space="preserve"> Правительства РФ от 27.12.2017 N 1661;</w:t>
            </w:r>
          </w:p>
          <w:p>
            <w:pPr>
              <w:pStyle w:val="0"/>
              <w:jc w:val="center"/>
            </w:pPr>
            <w:r>
              <w:rPr>
                <w:sz w:val="20"/>
                <w:color w:val="392c69"/>
              </w:rPr>
              <w:t xml:space="preserve">в ред. Постановлений Правительства РФ от 21.12.2020 </w:t>
            </w:r>
            <w:hyperlink w:history="0" r:id="rId1146" w:tooltip="Постановление Правительства РФ от 21.12.2020 N 2184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N 2184</w:t>
              </w:r>
            </w:hyperlink>
            <w:r>
              <w:rPr>
                <w:sz w:val="20"/>
                <w:color w:val="392c69"/>
              </w:rPr>
              <w:t xml:space="preserve">,</w:t>
            </w:r>
          </w:p>
          <w:p>
            <w:pPr>
              <w:pStyle w:val="0"/>
              <w:jc w:val="center"/>
            </w:pPr>
            <w:r>
              <w:rPr>
                <w:sz w:val="20"/>
                <w:color w:val="392c69"/>
              </w:rPr>
              <w:t xml:space="preserve">от 30.06.2022 </w:t>
            </w:r>
            <w:hyperlink w:history="0" r:id="rId1147"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1178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5564" w:name="P5564"/>
    <w:bookmarkEnd w:id="5564"/>
    <w:p>
      <w:pPr>
        <w:pStyle w:val="1"/>
        <w:jc w:val="both"/>
      </w:pPr>
      <w:r>
        <w:rPr>
          <w:sz w:val="20"/>
        </w:rPr>
        <w:t xml:space="preserve">                                    АКТ</w:t>
      </w:r>
    </w:p>
    <w:p>
      <w:pPr>
        <w:pStyle w:val="1"/>
        <w:jc w:val="both"/>
      </w:pPr>
      <w:r>
        <w:rPr>
          <w:sz w:val="20"/>
        </w:rPr>
        <w:t xml:space="preserve">        допуска в эксплуатацию прибора учета электрической энергии</w:t>
      </w:r>
    </w:p>
    <w:p>
      <w:pPr>
        <w:pStyle w:val="1"/>
        <w:jc w:val="both"/>
      </w:pPr>
      <w:r>
        <w:rPr>
          <w:sz w:val="20"/>
        </w:rPr>
        <w:t xml:space="preserve">                 N _______________ "__" _____________ 20__</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сетевой организации)</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должность представителя сетевой организации)</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или наименование потребителя</w:t>
      </w:r>
    </w:p>
    <w:p>
      <w:pPr>
        <w:pStyle w:val="1"/>
        <w:jc w:val="both"/>
      </w:pPr>
      <w:r>
        <w:rPr>
          <w:sz w:val="20"/>
        </w:rPr>
        <w:t xml:space="preserve">                          или его представителя)</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субъекта розничного рынка, с которым у заявителя заключен</w:t>
      </w:r>
    </w:p>
    <w:p>
      <w:pPr>
        <w:pStyle w:val="1"/>
        <w:jc w:val="both"/>
      </w:pPr>
      <w:r>
        <w:rPr>
          <w:sz w:val="20"/>
        </w:rPr>
        <w:t xml:space="preserve">   (предполагается к заключению) договор энергоснабжения (купли-продажи</w:t>
      </w:r>
    </w:p>
    <w:p>
      <w:pPr>
        <w:pStyle w:val="1"/>
        <w:jc w:val="both"/>
      </w:pPr>
      <w:r>
        <w:rPr>
          <w:sz w:val="20"/>
        </w:rPr>
        <w:t xml:space="preserve">                (поставки) электрической энергии (мощности)</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должность представителя субъекта розничного</w:t>
      </w:r>
    </w:p>
    <w:p>
      <w:pPr>
        <w:pStyle w:val="1"/>
        <w:jc w:val="both"/>
      </w:pPr>
      <w:r>
        <w:rPr>
          <w:sz w:val="20"/>
        </w:rPr>
        <w:t xml:space="preserve">    рынка, с которым у заявителя заключен (предполагается к заключению)</w:t>
      </w:r>
    </w:p>
    <w:p>
      <w:pPr>
        <w:pStyle w:val="1"/>
        <w:jc w:val="both"/>
      </w:pPr>
      <w:r>
        <w:rPr>
          <w:sz w:val="20"/>
        </w:rPr>
        <w:t xml:space="preserve">             договор энергоснабжения (купли-продажи (поставки)</w:t>
      </w:r>
    </w:p>
    <w:p>
      <w:pPr>
        <w:pStyle w:val="1"/>
        <w:jc w:val="both"/>
      </w:pPr>
      <w:r>
        <w:rPr>
          <w:sz w:val="20"/>
        </w:rPr>
        <w:t xml:space="preserve">                     электрической энергии (мощности)</w:t>
      </w:r>
    </w:p>
    <w:p>
      <w:pPr>
        <w:pStyle w:val="1"/>
        <w:jc w:val="both"/>
      </w:pPr>
      <w:r>
        <w:rPr>
          <w:sz w:val="20"/>
        </w:rPr>
        <w:t xml:space="preserve">___________________________________________________________________________</w:t>
      </w:r>
    </w:p>
    <w:p>
      <w:pPr>
        <w:pStyle w:val="1"/>
        <w:jc w:val="both"/>
      </w:pPr>
      <w:r>
        <w:rPr>
          <w:sz w:val="20"/>
        </w:rPr>
        <w:t xml:space="preserve">         (номер договора энергоснабжения (купли-продажи (поставки)</w:t>
      </w:r>
    </w:p>
    <w:p>
      <w:pPr>
        <w:pStyle w:val="1"/>
        <w:jc w:val="both"/>
      </w:pPr>
      <w:r>
        <w:rPr>
          <w:sz w:val="20"/>
        </w:rPr>
        <w:t xml:space="preserve">               электрической энергии (мощности) при наличии)</w:t>
      </w:r>
    </w:p>
    <w:p>
      <w:pPr>
        <w:pStyle w:val="1"/>
        <w:jc w:val="both"/>
      </w:pPr>
      <w:r>
        <w:rPr>
          <w:sz w:val="20"/>
        </w:rPr>
      </w:r>
    </w:p>
    <w:p>
      <w:pPr>
        <w:pStyle w:val="1"/>
        <w:jc w:val="both"/>
      </w:pPr>
      <w:r>
        <w:rPr>
          <w:sz w:val="20"/>
        </w:rPr>
        <w:t xml:space="preserve">    Дата и время проведения проверки: "__" ______________ 20__ г.</w:t>
      </w:r>
    </w:p>
    <w:p>
      <w:pPr>
        <w:pStyle w:val="1"/>
        <w:jc w:val="both"/>
      </w:pPr>
      <w:r>
        <w:rPr>
          <w:sz w:val="20"/>
        </w:rPr>
        <w:t xml:space="preserve">"__" часов "__" минут.</w:t>
      </w:r>
    </w:p>
    <w:p>
      <w:pPr>
        <w:pStyle w:val="1"/>
        <w:jc w:val="both"/>
      </w:pPr>
      <w:r>
        <w:rPr>
          <w:sz w:val="20"/>
        </w:rPr>
      </w:r>
    </w:p>
    <w:p>
      <w:pPr>
        <w:pStyle w:val="1"/>
        <w:jc w:val="both"/>
      </w:pPr>
      <w:r>
        <w:rPr>
          <w:sz w:val="20"/>
        </w:rPr>
        <w:t xml:space="preserve">    1. Сведения о точке поставки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066"/>
        <w:gridCol w:w="3005"/>
      </w:tblGrid>
      <w:tr>
        <w:tc>
          <w:tcPr>
            <w:tcW w:w="6066" w:type="dxa"/>
          </w:tcPr>
          <w:p>
            <w:pPr>
              <w:pStyle w:val="0"/>
            </w:pPr>
            <w:r>
              <w:rPr>
                <w:sz w:val="20"/>
              </w:rPr>
              <w:t xml:space="preserve">Адрес</w:t>
            </w:r>
          </w:p>
        </w:tc>
        <w:tc>
          <w:tcPr>
            <w:tcW w:w="3005" w:type="dxa"/>
          </w:tcPr>
          <w:p>
            <w:pPr>
              <w:pStyle w:val="0"/>
            </w:pPr>
            <w:r>
              <w:rPr>
                <w:sz w:val="20"/>
              </w:rPr>
            </w:r>
          </w:p>
        </w:tc>
      </w:tr>
      <w:tr>
        <w:tc>
          <w:tcPr>
            <w:tcW w:w="6066" w:type="dxa"/>
          </w:tcPr>
          <w:p>
            <w:pPr>
              <w:pStyle w:val="0"/>
            </w:pPr>
            <w:r>
              <w:rPr>
                <w:sz w:val="20"/>
              </w:rPr>
              <w:t xml:space="preserve">Наименование</w:t>
            </w:r>
          </w:p>
          <w:p>
            <w:pPr>
              <w:pStyle w:val="0"/>
            </w:pPr>
            <w:r>
              <w:rPr>
                <w:sz w:val="20"/>
              </w:rPr>
              <w:t xml:space="preserve">Центр питания (наименование, уровень напряжения, номер)</w:t>
            </w:r>
          </w:p>
          <w:p>
            <w:pPr>
              <w:pStyle w:val="0"/>
            </w:pPr>
            <w:r>
              <w:rPr>
                <w:sz w:val="20"/>
              </w:rPr>
              <w:t xml:space="preserve">Фидер 10 (6) кВ (наименование, номер)</w:t>
            </w:r>
          </w:p>
          <w:p>
            <w:pPr>
              <w:pStyle w:val="0"/>
            </w:pPr>
            <w:r>
              <w:rPr>
                <w:sz w:val="20"/>
              </w:rPr>
              <w:t xml:space="preserve">ТП (КТП) (наименование, номер)</w:t>
            </w:r>
          </w:p>
          <w:p>
            <w:pPr>
              <w:pStyle w:val="0"/>
            </w:pPr>
            <w:r>
              <w:rPr>
                <w:sz w:val="20"/>
              </w:rPr>
              <w:t xml:space="preserve">Фидер 0,4 кВ (наименование, номер)</w:t>
            </w:r>
          </w:p>
          <w:p>
            <w:pPr>
              <w:pStyle w:val="0"/>
            </w:pPr>
            <w:r>
              <w:rPr>
                <w:sz w:val="20"/>
              </w:rPr>
              <w:t xml:space="preserve">Опора 0,4 кВ (номер)</w:t>
            </w:r>
          </w:p>
        </w:tc>
        <w:tc>
          <w:tcPr>
            <w:tcW w:w="3005" w:type="dxa"/>
          </w:tcPr>
          <w:p>
            <w:pPr>
              <w:pStyle w:val="0"/>
            </w:pPr>
            <w:r>
              <w:rPr>
                <w:sz w:val="20"/>
              </w:rPr>
            </w:r>
          </w:p>
        </w:tc>
      </w:tr>
      <w:tr>
        <w:tc>
          <w:tcPr>
            <w:tcW w:w="6066" w:type="dxa"/>
          </w:tcPr>
          <w:p>
            <w:pPr>
              <w:pStyle w:val="0"/>
            </w:pPr>
            <w:r>
              <w:rPr>
                <w:sz w:val="20"/>
              </w:rPr>
              <w:t xml:space="preserve">Характеристика помещения (жилое или нежилое)</w:t>
            </w:r>
          </w:p>
        </w:tc>
        <w:tc>
          <w:tcPr>
            <w:tcW w:w="3005" w:type="dxa"/>
          </w:tcPr>
          <w:p>
            <w:pPr>
              <w:pStyle w:val="0"/>
            </w:pPr>
            <w:r>
              <w:rPr>
                <w:sz w:val="20"/>
              </w:rPr>
            </w:r>
          </w:p>
        </w:tc>
      </w:tr>
      <w:tr>
        <w:tc>
          <w:tcPr>
            <w:tcW w:w="6066" w:type="dxa"/>
          </w:tcPr>
          <w:p>
            <w:pPr>
              <w:pStyle w:val="0"/>
            </w:pPr>
            <w:r>
              <w:rPr>
                <w:sz w:val="20"/>
              </w:rPr>
              <w:t xml:space="preserve">Коммутационный аппарат до прибора учета (номинальный ток, A)</w:t>
            </w:r>
          </w:p>
        </w:tc>
        <w:tc>
          <w:tcPr>
            <w:tcW w:w="3005" w:type="dxa"/>
          </w:tcPr>
          <w:p>
            <w:pPr>
              <w:pStyle w:val="0"/>
            </w:pPr>
            <w:r>
              <w:rPr>
                <w:sz w:val="20"/>
              </w:rPr>
            </w:r>
          </w:p>
        </w:tc>
      </w:tr>
    </w:tbl>
    <w:p>
      <w:pPr>
        <w:pStyle w:val="0"/>
        <w:jc w:val="both"/>
      </w:pPr>
      <w:r>
        <w:rPr>
          <w:sz w:val="20"/>
        </w:rPr>
      </w:r>
    </w:p>
    <w:p>
      <w:pPr>
        <w:pStyle w:val="1"/>
        <w:jc w:val="both"/>
      </w:pPr>
      <w:r>
        <w:rPr>
          <w:sz w:val="20"/>
        </w:rPr>
        <w:t xml:space="preserve">    2. Характеристики и показания прибора учета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308"/>
        <w:gridCol w:w="4762"/>
      </w:tblGrid>
      <w:tr>
        <w:tc>
          <w:tcPr>
            <w:tcW w:w="4308" w:type="dxa"/>
          </w:tcPr>
          <w:p>
            <w:pPr>
              <w:pStyle w:val="0"/>
            </w:pPr>
            <w:r>
              <w:rPr>
                <w:sz w:val="20"/>
              </w:rPr>
              <w:t xml:space="preserve">Место установки</w:t>
            </w:r>
          </w:p>
        </w:tc>
        <w:tc>
          <w:tcPr>
            <w:tcW w:w="4762" w:type="dxa"/>
          </w:tcPr>
          <w:p>
            <w:pPr>
              <w:pStyle w:val="0"/>
            </w:pPr>
            <w:r>
              <w:rPr>
                <w:sz w:val="20"/>
              </w:rPr>
            </w:r>
          </w:p>
        </w:tc>
      </w:tr>
      <w:tr>
        <w:tc>
          <w:tcPr>
            <w:tcW w:w="4308" w:type="dxa"/>
          </w:tcPr>
          <w:p>
            <w:pPr>
              <w:pStyle w:val="0"/>
            </w:pPr>
            <w:r>
              <w:rPr>
                <w:sz w:val="20"/>
              </w:rPr>
              <w:t xml:space="preserve">Балансовая принадлежность</w:t>
            </w:r>
          </w:p>
        </w:tc>
        <w:tc>
          <w:tcPr>
            <w:tcW w:w="4762" w:type="dxa"/>
          </w:tcPr>
          <w:p>
            <w:pPr>
              <w:pStyle w:val="0"/>
            </w:pPr>
            <w:r>
              <w:rPr>
                <w:sz w:val="20"/>
              </w:rPr>
            </w:r>
          </w:p>
        </w:tc>
      </w:tr>
      <w:tr>
        <w:tc>
          <w:tcPr>
            <w:tcW w:w="4308" w:type="dxa"/>
          </w:tcPr>
          <w:p>
            <w:pPr>
              <w:pStyle w:val="0"/>
            </w:pPr>
            <w:r>
              <w:rPr>
                <w:sz w:val="20"/>
              </w:rPr>
              <w:t xml:space="preserve">Тип</w:t>
            </w:r>
          </w:p>
        </w:tc>
        <w:tc>
          <w:tcPr>
            <w:tcW w:w="4762" w:type="dxa"/>
          </w:tcPr>
          <w:p>
            <w:pPr>
              <w:pStyle w:val="0"/>
            </w:pPr>
            <w:r>
              <w:rPr>
                <w:sz w:val="20"/>
              </w:rPr>
            </w:r>
          </w:p>
        </w:tc>
      </w:tr>
      <w:tr>
        <w:tc>
          <w:tcPr>
            <w:tcW w:w="4308" w:type="dxa"/>
          </w:tcPr>
          <w:p>
            <w:pPr>
              <w:pStyle w:val="0"/>
            </w:pPr>
            <w:r>
              <w:rPr>
                <w:sz w:val="20"/>
              </w:rPr>
              <w:t xml:space="preserve">Заводской номер</w:t>
            </w:r>
          </w:p>
        </w:tc>
        <w:tc>
          <w:tcPr>
            <w:tcW w:w="4762" w:type="dxa"/>
          </w:tcPr>
          <w:p>
            <w:pPr>
              <w:pStyle w:val="0"/>
            </w:pPr>
            <w:r>
              <w:rPr>
                <w:sz w:val="20"/>
              </w:rPr>
            </w:r>
          </w:p>
        </w:tc>
      </w:tr>
      <w:tr>
        <w:tc>
          <w:tcPr>
            <w:tcW w:w="4308" w:type="dxa"/>
          </w:tcPr>
          <w:p>
            <w:pPr>
              <w:pStyle w:val="0"/>
            </w:pPr>
            <w:r>
              <w:rPr>
                <w:sz w:val="20"/>
              </w:rPr>
              <w:t xml:space="preserve">Класс точности</w:t>
            </w:r>
          </w:p>
        </w:tc>
        <w:tc>
          <w:tcPr>
            <w:tcW w:w="4762" w:type="dxa"/>
          </w:tcPr>
          <w:p>
            <w:pPr>
              <w:pStyle w:val="0"/>
            </w:pPr>
            <w:r>
              <w:rPr>
                <w:sz w:val="20"/>
              </w:rPr>
            </w:r>
          </w:p>
        </w:tc>
      </w:tr>
      <w:tr>
        <w:tc>
          <w:tcPr>
            <w:tcW w:w="4308" w:type="dxa"/>
          </w:tcPr>
          <w:p>
            <w:pPr>
              <w:pStyle w:val="0"/>
            </w:pPr>
            <w:r>
              <w:rPr>
                <w:sz w:val="20"/>
              </w:rPr>
              <w:t xml:space="preserve">Номинальный ток, A</w:t>
            </w:r>
          </w:p>
        </w:tc>
        <w:tc>
          <w:tcPr>
            <w:tcW w:w="4762" w:type="dxa"/>
          </w:tcPr>
          <w:p>
            <w:pPr>
              <w:pStyle w:val="0"/>
            </w:pPr>
            <w:r>
              <w:rPr>
                <w:sz w:val="20"/>
              </w:rPr>
            </w:r>
          </w:p>
        </w:tc>
      </w:tr>
      <w:tr>
        <w:tc>
          <w:tcPr>
            <w:tcW w:w="4308" w:type="dxa"/>
          </w:tcPr>
          <w:p>
            <w:pPr>
              <w:pStyle w:val="0"/>
            </w:pPr>
            <w:r>
              <w:rPr>
                <w:sz w:val="20"/>
              </w:rPr>
              <w:t xml:space="preserve">Номинальное напряжение, B</w:t>
            </w:r>
          </w:p>
        </w:tc>
        <w:tc>
          <w:tcPr>
            <w:tcW w:w="4762" w:type="dxa"/>
          </w:tcPr>
          <w:p>
            <w:pPr>
              <w:pStyle w:val="0"/>
            </w:pPr>
            <w:r>
              <w:rPr>
                <w:sz w:val="20"/>
              </w:rPr>
            </w:r>
          </w:p>
        </w:tc>
      </w:tr>
      <w:tr>
        <w:tc>
          <w:tcPr>
            <w:tcW w:w="4308" w:type="dxa"/>
          </w:tcPr>
          <w:p>
            <w:pPr>
              <w:pStyle w:val="0"/>
            </w:pPr>
            <w:r>
              <w:rPr>
                <w:sz w:val="20"/>
              </w:rPr>
              <w:t xml:space="preserve">Разрядность (до запятой)</w:t>
            </w:r>
          </w:p>
        </w:tc>
        <w:tc>
          <w:tcPr>
            <w:tcW w:w="4762" w:type="dxa"/>
          </w:tcPr>
          <w:p>
            <w:pPr>
              <w:pStyle w:val="0"/>
            </w:pPr>
            <w:r>
              <w:rPr>
                <w:sz w:val="20"/>
              </w:rPr>
            </w:r>
          </w:p>
        </w:tc>
      </w:tr>
      <w:tr>
        <w:tc>
          <w:tcPr>
            <w:tcW w:w="4308" w:type="dxa"/>
          </w:tcPr>
          <w:p>
            <w:pPr>
              <w:pStyle w:val="0"/>
            </w:pPr>
            <w:r>
              <w:rPr>
                <w:sz w:val="20"/>
              </w:rPr>
              <w:t xml:space="preserve">Разрядность (после запятой)</w:t>
            </w:r>
          </w:p>
        </w:tc>
        <w:tc>
          <w:tcPr>
            <w:tcW w:w="4762" w:type="dxa"/>
          </w:tcPr>
          <w:p>
            <w:pPr>
              <w:pStyle w:val="0"/>
            </w:pPr>
            <w:r>
              <w:rPr>
                <w:sz w:val="20"/>
              </w:rPr>
            </w:r>
          </w:p>
        </w:tc>
      </w:tr>
      <w:tr>
        <w:tc>
          <w:tcPr>
            <w:tcW w:w="4308" w:type="dxa"/>
          </w:tcPr>
          <w:p>
            <w:pPr>
              <w:pStyle w:val="0"/>
            </w:pPr>
            <w:r>
              <w:rPr>
                <w:sz w:val="20"/>
              </w:rPr>
              <w:t xml:space="preserve">Год выпуска</w:t>
            </w:r>
          </w:p>
        </w:tc>
        <w:tc>
          <w:tcPr>
            <w:tcW w:w="4762" w:type="dxa"/>
          </w:tcPr>
          <w:p>
            <w:pPr>
              <w:pStyle w:val="0"/>
            </w:pPr>
            <w:r>
              <w:rPr>
                <w:sz w:val="20"/>
              </w:rPr>
            </w:r>
          </w:p>
        </w:tc>
      </w:tr>
      <w:tr>
        <w:tc>
          <w:tcPr>
            <w:tcW w:w="4308" w:type="dxa"/>
          </w:tcPr>
          <w:p>
            <w:pPr>
              <w:pStyle w:val="0"/>
            </w:pPr>
            <w:r>
              <w:rPr>
                <w:sz w:val="20"/>
              </w:rPr>
              <w:t xml:space="preserve">Дата поверки</w:t>
            </w:r>
          </w:p>
        </w:tc>
        <w:tc>
          <w:tcPr>
            <w:tcW w:w="4762" w:type="dxa"/>
          </w:tcPr>
          <w:p>
            <w:pPr>
              <w:pStyle w:val="0"/>
            </w:pPr>
            <w:r>
              <w:rPr>
                <w:sz w:val="20"/>
              </w:rPr>
            </w:r>
          </w:p>
        </w:tc>
      </w:tr>
      <w:tr>
        <w:tc>
          <w:tcPr>
            <w:tcW w:w="4308" w:type="dxa"/>
          </w:tcPr>
          <w:p>
            <w:pPr>
              <w:pStyle w:val="0"/>
            </w:pPr>
            <w:r>
              <w:rPr>
                <w:sz w:val="20"/>
              </w:rPr>
              <w:t xml:space="preserve">Дата следующей поверки</w:t>
            </w:r>
          </w:p>
        </w:tc>
        <w:tc>
          <w:tcPr>
            <w:tcW w:w="4762" w:type="dxa"/>
          </w:tcPr>
          <w:p>
            <w:pPr>
              <w:pStyle w:val="0"/>
            </w:pPr>
            <w:r>
              <w:rPr>
                <w:sz w:val="20"/>
              </w:rPr>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21"/>
        <w:gridCol w:w="1586"/>
        <w:gridCol w:w="1586"/>
        <w:gridCol w:w="1586"/>
        <w:gridCol w:w="1587"/>
      </w:tblGrid>
      <w:tr>
        <w:tc>
          <w:tcPr>
            <w:tcW w:w="2721" w:type="dxa"/>
          </w:tcPr>
          <w:p>
            <w:pPr>
              <w:pStyle w:val="0"/>
              <w:jc w:val="center"/>
            </w:pPr>
            <w:r>
              <w:rPr>
                <w:sz w:val="20"/>
              </w:rPr>
              <w:t xml:space="preserve">Вид энергии</w:t>
            </w:r>
          </w:p>
        </w:tc>
        <w:tc>
          <w:tcPr>
            <w:tcW w:w="1586" w:type="dxa"/>
          </w:tcPr>
          <w:p>
            <w:pPr>
              <w:pStyle w:val="0"/>
              <w:jc w:val="center"/>
            </w:pPr>
            <w:r>
              <w:rPr>
                <w:sz w:val="20"/>
              </w:rPr>
              <w:t xml:space="preserve">Активная (прием)</w:t>
            </w:r>
          </w:p>
        </w:tc>
        <w:tc>
          <w:tcPr>
            <w:tcW w:w="1586" w:type="dxa"/>
          </w:tcPr>
          <w:p>
            <w:pPr>
              <w:pStyle w:val="0"/>
              <w:jc w:val="center"/>
            </w:pPr>
            <w:r>
              <w:rPr>
                <w:sz w:val="20"/>
              </w:rPr>
              <w:t xml:space="preserve">Активная (отдача)</w:t>
            </w:r>
          </w:p>
        </w:tc>
        <w:tc>
          <w:tcPr>
            <w:tcW w:w="1586" w:type="dxa"/>
          </w:tcPr>
          <w:p>
            <w:pPr>
              <w:pStyle w:val="0"/>
              <w:jc w:val="center"/>
            </w:pPr>
            <w:r>
              <w:rPr>
                <w:sz w:val="20"/>
              </w:rPr>
              <w:t xml:space="preserve">Реактивная (прием)</w:t>
            </w:r>
          </w:p>
        </w:tc>
        <w:tc>
          <w:tcPr>
            <w:tcW w:w="1587" w:type="dxa"/>
          </w:tcPr>
          <w:p>
            <w:pPr>
              <w:pStyle w:val="0"/>
              <w:jc w:val="center"/>
            </w:pPr>
            <w:r>
              <w:rPr>
                <w:sz w:val="20"/>
              </w:rPr>
              <w:t xml:space="preserve">Реактивная (отдача)</w:t>
            </w:r>
          </w:p>
        </w:tc>
      </w:tr>
      <w:tr>
        <w:tc>
          <w:tcPr>
            <w:tcW w:w="2721" w:type="dxa"/>
          </w:tcPr>
          <w:p>
            <w:pPr>
              <w:pStyle w:val="0"/>
            </w:pPr>
            <w:r>
              <w:rPr>
                <w:sz w:val="20"/>
              </w:rPr>
              <w:t xml:space="preserve">Показания электрической энергии, в том числе</w:t>
            </w:r>
          </w:p>
        </w:tc>
        <w:tc>
          <w:tcPr>
            <w:tcW w:w="1586" w:type="dxa"/>
          </w:tcPr>
          <w:p>
            <w:pPr>
              <w:pStyle w:val="0"/>
            </w:pPr>
            <w:r>
              <w:rPr>
                <w:sz w:val="20"/>
              </w:rPr>
            </w:r>
          </w:p>
        </w:tc>
        <w:tc>
          <w:tcPr>
            <w:tcW w:w="1586" w:type="dxa"/>
          </w:tcPr>
          <w:p>
            <w:pPr>
              <w:pStyle w:val="0"/>
            </w:pPr>
            <w:r>
              <w:rPr>
                <w:sz w:val="20"/>
              </w:rPr>
            </w:r>
          </w:p>
        </w:tc>
        <w:tc>
          <w:tcPr>
            <w:tcW w:w="1586" w:type="dxa"/>
          </w:tcPr>
          <w:p>
            <w:pPr>
              <w:pStyle w:val="0"/>
            </w:pPr>
            <w:r>
              <w:rPr>
                <w:sz w:val="20"/>
              </w:rPr>
            </w:r>
          </w:p>
        </w:tc>
        <w:tc>
          <w:tcPr>
            <w:tcW w:w="1587" w:type="dxa"/>
          </w:tcPr>
          <w:p>
            <w:pPr>
              <w:pStyle w:val="0"/>
            </w:pPr>
            <w:r>
              <w:rPr>
                <w:sz w:val="20"/>
              </w:rPr>
            </w:r>
          </w:p>
        </w:tc>
      </w:tr>
      <w:tr>
        <w:tc>
          <w:tcPr>
            <w:tcW w:w="2721" w:type="dxa"/>
          </w:tcPr>
          <w:p>
            <w:pPr>
              <w:pStyle w:val="0"/>
            </w:pPr>
            <w:r>
              <w:rPr>
                <w:sz w:val="20"/>
              </w:rPr>
              <w:t xml:space="preserve">тариф 1</w:t>
            </w:r>
          </w:p>
        </w:tc>
        <w:tc>
          <w:tcPr>
            <w:tcW w:w="1586" w:type="dxa"/>
          </w:tcPr>
          <w:p>
            <w:pPr>
              <w:pStyle w:val="0"/>
            </w:pPr>
            <w:r>
              <w:rPr>
                <w:sz w:val="20"/>
              </w:rPr>
            </w:r>
          </w:p>
        </w:tc>
        <w:tc>
          <w:tcPr>
            <w:tcW w:w="1586" w:type="dxa"/>
          </w:tcPr>
          <w:p>
            <w:pPr>
              <w:pStyle w:val="0"/>
            </w:pPr>
            <w:r>
              <w:rPr>
                <w:sz w:val="20"/>
              </w:rPr>
            </w:r>
          </w:p>
        </w:tc>
        <w:tc>
          <w:tcPr>
            <w:tcW w:w="1586" w:type="dxa"/>
          </w:tcPr>
          <w:p>
            <w:pPr>
              <w:pStyle w:val="0"/>
            </w:pPr>
            <w:r>
              <w:rPr>
                <w:sz w:val="20"/>
              </w:rPr>
            </w:r>
          </w:p>
        </w:tc>
        <w:tc>
          <w:tcPr>
            <w:tcW w:w="1587" w:type="dxa"/>
          </w:tcPr>
          <w:p>
            <w:pPr>
              <w:pStyle w:val="0"/>
            </w:pPr>
            <w:r>
              <w:rPr>
                <w:sz w:val="20"/>
              </w:rPr>
            </w:r>
          </w:p>
        </w:tc>
      </w:tr>
      <w:tr>
        <w:tc>
          <w:tcPr>
            <w:tcW w:w="2721" w:type="dxa"/>
          </w:tcPr>
          <w:p>
            <w:pPr>
              <w:pStyle w:val="0"/>
            </w:pPr>
            <w:r>
              <w:rPr>
                <w:sz w:val="20"/>
              </w:rPr>
              <w:t xml:space="preserve">тариф 2</w:t>
            </w:r>
          </w:p>
        </w:tc>
        <w:tc>
          <w:tcPr>
            <w:tcW w:w="1586" w:type="dxa"/>
          </w:tcPr>
          <w:p>
            <w:pPr>
              <w:pStyle w:val="0"/>
            </w:pPr>
            <w:r>
              <w:rPr>
                <w:sz w:val="20"/>
              </w:rPr>
            </w:r>
          </w:p>
        </w:tc>
        <w:tc>
          <w:tcPr>
            <w:tcW w:w="1586" w:type="dxa"/>
          </w:tcPr>
          <w:p>
            <w:pPr>
              <w:pStyle w:val="0"/>
            </w:pPr>
            <w:r>
              <w:rPr>
                <w:sz w:val="20"/>
              </w:rPr>
            </w:r>
          </w:p>
        </w:tc>
        <w:tc>
          <w:tcPr>
            <w:tcW w:w="1586" w:type="dxa"/>
          </w:tcPr>
          <w:p>
            <w:pPr>
              <w:pStyle w:val="0"/>
            </w:pPr>
            <w:r>
              <w:rPr>
                <w:sz w:val="20"/>
              </w:rPr>
            </w:r>
          </w:p>
        </w:tc>
        <w:tc>
          <w:tcPr>
            <w:tcW w:w="1587" w:type="dxa"/>
          </w:tcPr>
          <w:p>
            <w:pPr>
              <w:pStyle w:val="0"/>
            </w:pPr>
            <w:r>
              <w:rPr>
                <w:sz w:val="20"/>
              </w:rPr>
            </w:r>
          </w:p>
        </w:tc>
      </w:tr>
      <w:tr>
        <w:tc>
          <w:tcPr>
            <w:tcW w:w="2721" w:type="dxa"/>
          </w:tcPr>
          <w:p>
            <w:pPr>
              <w:pStyle w:val="0"/>
            </w:pPr>
            <w:r>
              <w:rPr>
                <w:sz w:val="20"/>
              </w:rPr>
              <w:t xml:space="preserve">...</w:t>
            </w:r>
          </w:p>
        </w:tc>
        <w:tc>
          <w:tcPr>
            <w:tcW w:w="1586" w:type="dxa"/>
          </w:tcPr>
          <w:p>
            <w:pPr>
              <w:pStyle w:val="0"/>
            </w:pPr>
            <w:r>
              <w:rPr>
                <w:sz w:val="20"/>
              </w:rPr>
            </w:r>
          </w:p>
        </w:tc>
        <w:tc>
          <w:tcPr>
            <w:tcW w:w="1586" w:type="dxa"/>
          </w:tcPr>
          <w:p>
            <w:pPr>
              <w:pStyle w:val="0"/>
            </w:pPr>
            <w:r>
              <w:rPr>
                <w:sz w:val="20"/>
              </w:rPr>
            </w:r>
          </w:p>
        </w:tc>
        <w:tc>
          <w:tcPr>
            <w:tcW w:w="1586" w:type="dxa"/>
          </w:tcPr>
          <w:p>
            <w:pPr>
              <w:pStyle w:val="0"/>
            </w:pPr>
            <w:r>
              <w:rPr>
                <w:sz w:val="20"/>
              </w:rPr>
            </w:r>
          </w:p>
        </w:tc>
        <w:tc>
          <w:tcPr>
            <w:tcW w:w="1587" w:type="dxa"/>
          </w:tcPr>
          <w:p>
            <w:pPr>
              <w:pStyle w:val="0"/>
            </w:pPr>
            <w:r>
              <w:rPr>
                <w:sz w:val="20"/>
              </w:rPr>
            </w:r>
          </w:p>
        </w:tc>
      </w:tr>
    </w:tbl>
    <w:p>
      <w:pPr>
        <w:pStyle w:val="0"/>
        <w:jc w:val="both"/>
      </w:pPr>
      <w:r>
        <w:rPr>
          <w:sz w:val="20"/>
        </w:rPr>
      </w:r>
    </w:p>
    <w:p>
      <w:pPr>
        <w:pStyle w:val="1"/>
        <w:jc w:val="both"/>
      </w:pPr>
      <w:r>
        <w:rPr>
          <w:sz w:val="20"/>
        </w:rPr>
        <w:t xml:space="preserve">    3. Характеристики измерительных трансформаторов тока (при наличии)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875"/>
        <w:gridCol w:w="1417"/>
        <w:gridCol w:w="1417"/>
        <w:gridCol w:w="1360"/>
      </w:tblGrid>
      <w:tr>
        <w:tc>
          <w:tcPr>
            <w:tcW w:w="4875" w:type="dxa"/>
            <w:vMerge w:val="restart"/>
          </w:tcPr>
          <w:p>
            <w:pPr>
              <w:pStyle w:val="0"/>
              <w:jc w:val="center"/>
            </w:pPr>
            <w:r>
              <w:rPr>
                <w:sz w:val="20"/>
              </w:rPr>
              <w:t xml:space="preserve">Наименование</w:t>
            </w:r>
          </w:p>
        </w:tc>
        <w:tc>
          <w:tcPr>
            <w:gridSpan w:val="3"/>
            <w:tcW w:w="4194" w:type="dxa"/>
          </w:tcPr>
          <w:p>
            <w:pPr>
              <w:pStyle w:val="0"/>
              <w:jc w:val="center"/>
            </w:pPr>
            <w:r>
              <w:rPr>
                <w:sz w:val="20"/>
              </w:rPr>
              <w:t xml:space="preserve">Характеристики по фазам</w:t>
            </w:r>
          </w:p>
        </w:tc>
      </w:tr>
      <w:tr>
        <w:tc>
          <w:tcPr>
            <w:vMerge w:val="continue"/>
          </w:tcPr>
          <w:p/>
        </w:tc>
        <w:tc>
          <w:tcPr>
            <w:tcW w:w="1417" w:type="dxa"/>
          </w:tcPr>
          <w:p>
            <w:pPr>
              <w:pStyle w:val="0"/>
              <w:jc w:val="center"/>
            </w:pPr>
            <w:r>
              <w:rPr>
                <w:sz w:val="20"/>
              </w:rPr>
              <w:t xml:space="preserve">Фаза A</w:t>
            </w:r>
          </w:p>
        </w:tc>
        <w:tc>
          <w:tcPr>
            <w:tcW w:w="1417" w:type="dxa"/>
          </w:tcPr>
          <w:p>
            <w:pPr>
              <w:pStyle w:val="0"/>
              <w:jc w:val="center"/>
            </w:pPr>
            <w:r>
              <w:rPr>
                <w:sz w:val="20"/>
              </w:rPr>
              <w:t xml:space="preserve">Фаза B</w:t>
            </w:r>
          </w:p>
        </w:tc>
        <w:tc>
          <w:tcPr>
            <w:tcW w:w="1360" w:type="dxa"/>
          </w:tcPr>
          <w:p>
            <w:pPr>
              <w:pStyle w:val="0"/>
              <w:jc w:val="center"/>
            </w:pPr>
            <w:r>
              <w:rPr>
                <w:sz w:val="20"/>
              </w:rPr>
              <w:t xml:space="preserve">Фаза C</w:t>
            </w:r>
          </w:p>
        </w:tc>
      </w:tr>
      <w:tr>
        <w:tc>
          <w:tcPr>
            <w:tcW w:w="4875" w:type="dxa"/>
          </w:tcPr>
          <w:p>
            <w:pPr>
              <w:pStyle w:val="0"/>
            </w:pPr>
            <w:r>
              <w:rPr>
                <w:sz w:val="20"/>
              </w:rPr>
              <w:t xml:space="preserve">Место установки</w:t>
            </w:r>
          </w:p>
        </w:tc>
        <w:tc>
          <w:tcPr>
            <w:gridSpan w:val="3"/>
            <w:tcW w:w="4194" w:type="dxa"/>
          </w:tcPr>
          <w:p>
            <w:pPr>
              <w:pStyle w:val="0"/>
            </w:pPr>
            <w:r>
              <w:rPr>
                <w:sz w:val="20"/>
              </w:rPr>
            </w:r>
          </w:p>
        </w:tc>
      </w:tr>
      <w:tr>
        <w:tc>
          <w:tcPr>
            <w:tcW w:w="4875" w:type="dxa"/>
          </w:tcPr>
          <w:p>
            <w:pPr>
              <w:pStyle w:val="0"/>
            </w:pPr>
            <w:r>
              <w:rPr>
                <w:sz w:val="20"/>
              </w:rPr>
              <w:t xml:space="preserve">Тип</w:t>
            </w:r>
          </w:p>
        </w:tc>
        <w:tc>
          <w:tcPr>
            <w:tcW w:w="1417" w:type="dxa"/>
          </w:tcPr>
          <w:p>
            <w:pPr>
              <w:pStyle w:val="0"/>
            </w:pPr>
            <w:r>
              <w:rPr>
                <w:sz w:val="20"/>
              </w:rPr>
            </w:r>
          </w:p>
        </w:tc>
        <w:tc>
          <w:tcPr>
            <w:tcW w:w="1417" w:type="dxa"/>
          </w:tcPr>
          <w:p>
            <w:pPr>
              <w:pStyle w:val="0"/>
            </w:pPr>
            <w:r>
              <w:rPr>
                <w:sz w:val="20"/>
              </w:rPr>
            </w:r>
          </w:p>
        </w:tc>
        <w:tc>
          <w:tcPr>
            <w:tcW w:w="1360" w:type="dxa"/>
          </w:tcPr>
          <w:p>
            <w:pPr>
              <w:pStyle w:val="0"/>
            </w:pPr>
            <w:r>
              <w:rPr>
                <w:sz w:val="20"/>
              </w:rPr>
            </w:r>
          </w:p>
        </w:tc>
      </w:tr>
      <w:tr>
        <w:tc>
          <w:tcPr>
            <w:tcW w:w="4875" w:type="dxa"/>
          </w:tcPr>
          <w:p>
            <w:pPr>
              <w:pStyle w:val="0"/>
            </w:pPr>
            <w:r>
              <w:rPr>
                <w:sz w:val="20"/>
              </w:rPr>
              <w:t xml:space="preserve">Заводской номер</w:t>
            </w:r>
          </w:p>
        </w:tc>
        <w:tc>
          <w:tcPr>
            <w:tcW w:w="1417" w:type="dxa"/>
          </w:tcPr>
          <w:p>
            <w:pPr>
              <w:pStyle w:val="0"/>
            </w:pPr>
            <w:r>
              <w:rPr>
                <w:sz w:val="20"/>
              </w:rPr>
            </w:r>
          </w:p>
        </w:tc>
        <w:tc>
          <w:tcPr>
            <w:tcW w:w="1417" w:type="dxa"/>
          </w:tcPr>
          <w:p>
            <w:pPr>
              <w:pStyle w:val="0"/>
            </w:pPr>
            <w:r>
              <w:rPr>
                <w:sz w:val="20"/>
              </w:rPr>
            </w:r>
          </w:p>
        </w:tc>
        <w:tc>
          <w:tcPr>
            <w:tcW w:w="1360" w:type="dxa"/>
          </w:tcPr>
          <w:p>
            <w:pPr>
              <w:pStyle w:val="0"/>
            </w:pPr>
            <w:r>
              <w:rPr>
                <w:sz w:val="20"/>
              </w:rPr>
            </w:r>
          </w:p>
        </w:tc>
      </w:tr>
      <w:tr>
        <w:tc>
          <w:tcPr>
            <w:tcW w:w="4875" w:type="dxa"/>
          </w:tcPr>
          <w:p>
            <w:pPr>
              <w:pStyle w:val="0"/>
            </w:pPr>
            <w:r>
              <w:rPr>
                <w:sz w:val="20"/>
              </w:rPr>
              <w:t xml:space="preserve">Коэффициент трансформации</w:t>
            </w:r>
          </w:p>
        </w:tc>
        <w:tc>
          <w:tcPr>
            <w:tcW w:w="1417" w:type="dxa"/>
          </w:tcPr>
          <w:p>
            <w:pPr>
              <w:pStyle w:val="0"/>
            </w:pPr>
            <w:r>
              <w:rPr>
                <w:sz w:val="20"/>
              </w:rPr>
            </w:r>
          </w:p>
        </w:tc>
        <w:tc>
          <w:tcPr>
            <w:tcW w:w="1417" w:type="dxa"/>
          </w:tcPr>
          <w:p>
            <w:pPr>
              <w:pStyle w:val="0"/>
            </w:pPr>
            <w:r>
              <w:rPr>
                <w:sz w:val="20"/>
              </w:rPr>
            </w:r>
          </w:p>
        </w:tc>
        <w:tc>
          <w:tcPr>
            <w:tcW w:w="1360" w:type="dxa"/>
          </w:tcPr>
          <w:p>
            <w:pPr>
              <w:pStyle w:val="0"/>
            </w:pPr>
            <w:r>
              <w:rPr>
                <w:sz w:val="20"/>
              </w:rPr>
            </w:r>
          </w:p>
        </w:tc>
      </w:tr>
      <w:tr>
        <w:tc>
          <w:tcPr>
            <w:tcW w:w="4875" w:type="dxa"/>
          </w:tcPr>
          <w:p>
            <w:pPr>
              <w:pStyle w:val="0"/>
            </w:pPr>
            <w:r>
              <w:rPr>
                <w:sz w:val="20"/>
              </w:rPr>
              <w:t xml:space="preserve">Класс точности</w:t>
            </w:r>
          </w:p>
        </w:tc>
        <w:tc>
          <w:tcPr>
            <w:tcW w:w="1417" w:type="dxa"/>
          </w:tcPr>
          <w:p>
            <w:pPr>
              <w:pStyle w:val="0"/>
            </w:pPr>
            <w:r>
              <w:rPr>
                <w:sz w:val="20"/>
              </w:rPr>
            </w:r>
          </w:p>
        </w:tc>
        <w:tc>
          <w:tcPr>
            <w:tcW w:w="1417" w:type="dxa"/>
          </w:tcPr>
          <w:p>
            <w:pPr>
              <w:pStyle w:val="0"/>
            </w:pPr>
            <w:r>
              <w:rPr>
                <w:sz w:val="20"/>
              </w:rPr>
            </w:r>
          </w:p>
        </w:tc>
        <w:tc>
          <w:tcPr>
            <w:tcW w:w="1360" w:type="dxa"/>
          </w:tcPr>
          <w:p>
            <w:pPr>
              <w:pStyle w:val="0"/>
            </w:pPr>
            <w:r>
              <w:rPr>
                <w:sz w:val="20"/>
              </w:rPr>
            </w:r>
          </w:p>
        </w:tc>
      </w:tr>
      <w:tr>
        <w:tc>
          <w:tcPr>
            <w:tcW w:w="4875" w:type="dxa"/>
          </w:tcPr>
          <w:p>
            <w:pPr>
              <w:pStyle w:val="0"/>
            </w:pPr>
            <w:r>
              <w:rPr>
                <w:sz w:val="20"/>
              </w:rPr>
              <w:t xml:space="preserve">Дата поверки</w:t>
            </w:r>
          </w:p>
        </w:tc>
        <w:tc>
          <w:tcPr>
            <w:tcW w:w="1417" w:type="dxa"/>
          </w:tcPr>
          <w:p>
            <w:pPr>
              <w:pStyle w:val="0"/>
            </w:pPr>
            <w:r>
              <w:rPr>
                <w:sz w:val="20"/>
              </w:rPr>
            </w:r>
          </w:p>
        </w:tc>
        <w:tc>
          <w:tcPr>
            <w:tcW w:w="1417" w:type="dxa"/>
          </w:tcPr>
          <w:p>
            <w:pPr>
              <w:pStyle w:val="0"/>
            </w:pPr>
            <w:r>
              <w:rPr>
                <w:sz w:val="20"/>
              </w:rPr>
            </w:r>
          </w:p>
        </w:tc>
        <w:tc>
          <w:tcPr>
            <w:tcW w:w="1360" w:type="dxa"/>
          </w:tcPr>
          <w:p>
            <w:pPr>
              <w:pStyle w:val="0"/>
            </w:pPr>
            <w:r>
              <w:rPr>
                <w:sz w:val="20"/>
              </w:rPr>
            </w:r>
          </w:p>
        </w:tc>
      </w:tr>
      <w:tr>
        <w:tc>
          <w:tcPr>
            <w:tcW w:w="4875" w:type="dxa"/>
          </w:tcPr>
          <w:p>
            <w:pPr>
              <w:pStyle w:val="0"/>
            </w:pPr>
            <w:r>
              <w:rPr>
                <w:sz w:val="20"/>
              </w:rPr>
              <w:t xml:space="preserve">Дата следующей поверки</w:t>
            </w:r>
          </w:p>
        </w:tc>
        <w:tc>
          <w:tcPr>
            <w:tcW w:w="1417" w:type="dxa"/>
          </w:tcPr>
          <w:p>
            <w:pPr>
              <w:pStyle w:val="0"/>
            </w:pPr>
            <w:r>
              <w:rPr>
                <w:sz w:val="20"/>
              </w:rPr>
            </w:r>
          </w:p>
        </w:tc>
        <w:tc>
          <w:tcPr>
            <w:tcW w:w="1417" w:type="dxa"/>
          </w:tcPr>
          <w:p>
            <w:pPr>
              <w:pStyle w:val="0"/>
            </w:pPr>
            <w:r>
              <w:rPr>
                <w:sz w:val="20"/>
              </w:rPr>
            </w:r>
          </w:p>
        </w:tc>
        <w:tc>
          <w:tcPr>
            <w:tcW w:w="1360" w:type="dxa"/>
          </w:tcPr>
          <w:p>
            <w:pPr>
              <w:pStyle w:val="0"/>
            </w:pPr>
            <w:r>
              <w:rPr>
                <w:sz w:val="20"/>
              </w:rPr>
            </w:r>
          </w:p>
        </w:tc>
      </w:tr>
    </w:tbl>
    <w:p>
      <w:pPr>
        <w:pStyle w:val="0"/>
        <w:jc w:val="both"/>
      </w:pPr>
      <w:r>
        <w:rPr>
          <w:sz w:val="20"/>
        </w:rPr>
      </w:r>
    </w:p>
    <w:p>
      <w:pPr>
        <w:pStyle w:val="1"/>
        <w:jc w:val="both"/>
      </w:pPr>
      <w:r>
        <w:rPr>
          <w:sz w:val="20"/>
        </w:rPr>
        <w:t xml:space="preserve">    4. Характеристики     измерительных      трансформаторов     напряжения</w:t>
      </w:r>
    </w:p>
    <w:p>
      <w:pPr>
        <w:pStyle w:val="1"/>
        <w:jc w:val="both"/>
      </w:pPr>
      <w:r>
        <w:rPr>
          <w:sz w:val="20"/>
        </w:rPr>
        <w:t xml:space="preserve">(при наличии)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932"/>
        <w:gridCol w:w="1417"/>
        <w:gridCol w:w="1417"/>
        <w:gridCol w:w="1303"/>
      </w:tblGrid>
      <w:tr>
        <w:tc>
          <w:tcPr>
            <w:tcW w:w="4932" w:type="dxa"/>
            <w:vMerge w:val="restart"/>
          </w:tcPr>
          <w:p>
            <w:pPr>
              <w:pStyle w:val="0"/>
              <w:jc w:val="center"/>
            </w:pPr>
            <w:r>
              <w:rPr>
                <w:sz w:val="20"/>
              </w:rPr>
              <w:t xml:space="preserve">Наименование</w:t>
            </w:r>
          </w:p>
        </w:tc>
        <w:tc>
          <w:tcPr>
            <w:gridSpan w:val="3"/>
            <w:tcW w:w="4137" w:type="dxa"/>
          </w:tcPr>
          <w:p>
            <w:pPr>
              <w:pStyle w:val="0"/>
              <w:jc w:val="center"/>
            </w:pPr>
            <w:r>
              <w:rPr>
                <w:sz w:val="20"/>
              </w:rPr>
              <w:t xml:space="preserve">Характеристики по фазам</w:t>
            </w:r>
          </w:p>
        </w:tc>
      </w:tr>
      <w:tr>
        <w:tc>
          <w:tcPr>
            <w:vMerge w:val="continue"/>
          </w:tcPr>
          <w:p/>
        </w:tc>
        <w:tc>
          <w:tcPr>
            <w:tcW w:w="1417" w:type="dxa"/>
          </w:tcPr>
          <w:p>
            <w:pPr>
              <w:pStyle w:val="0"/>
              <w:jc w:val="center"/>
            </w:pPr>
            <w:r>
              <w:rPr>
                <w:sz w:val="20"/>
              </w:rPr>
              <w:t xml:space="preserve">Фаза A</w:t>
            </w:r>
          </w:p>
        </w:tc>
        <w:tc>
          <w:tcPr>
            <w:tcW w:w="1417" w:type="dxa"/>
          </w:tcPr>
          <w:p>
            <w:pPr>
              <w:pStyle w:val="0"/>
              <w:jc w:val="center"/>
            </w:pPr>
            <w:r>
              <w:rPr>
                <w:sz w:val="20"/>
              </w:rPr>
              <w:t xml:space="preserve">Фаза B</w:t>
            </w:r>
          </w:p>
        </w:tc>
        <w:tc>
          <w:tcPr>
            <w:tcW w:w="1303" w:type="dxa"/>
          </w:tcPr>
          <w:p>
            <w:pPr>
              <w:pStyle w:val="0"/>
              <w:jc w:val="center"/>
            </w:pPr>
            <w:r>
              <w:rPr>
                <w:sz w:val="20"/>
              </w:rPr>
              <w:t xml:space="preserve">Фаза C</w:t>
            </w:r>
          </w:p>
        </w:tc>
      </w:tr>
      <w:tr>
        <w:tc>
          <w:tcPr>
            <w:tcW w:w="4932" w:type="dxa"/>
          </w:tcPr>
          <w:p>
            <w:pPr>
              <w:pStyle w:val="0"/>
            </w:pPr>
            <w:r>
              <w:rPr>
                <w:sz w:val="20"/>
              </w:rPr>
              <w:t xml:space="preserve">Место установки</w:t>
            </w:r>
          </w:p>
        </w:tc>
        <w:tc>
          <w:tcPr>
            <w:gridSpan w:val="3"/>
            <w:tcW w:w="4137" w:type="dxa"/>
          </w:tcPr>
          <w:p>
            <w:pPr>
              <w:pStyle w:val="0"/>
            </w:pPr>
            <w:r>
              <w:rPr>
                <w:sz w:val="20"/>
              </w:rPr>
            </w:r>
          </w:p>
        </w:tc>
      </w:tr>
      <w:tr>
        <w:tc>
          <w:tcPr>
            <w:tcW w:w="4932" w:type="dxa"/>
          </w:tcPr>
          <w:p>
            <w:pPr>
              <w:pStyle w:val="0"/>
            </w:pPr>
            <w:r>
              <w:rPr>
                <w:sz w:val="20"/>
              </w:rPr>
              <w:t xml:space="preserve">Тип</w:t>
            </w:r>
          </w:p>
        </w:tc>
        <w:tc>
          <w:tcPr>
            <w:tcW w:w="1417" w:type="dxa"/>
          </w:tcPr>
          <w:p>
            <w:pPr>
              <w:pStyle w:val="0"/>
            </w:pPr>
            <w:r>
              <w:rPr>
                <w:sz w:val="20"/>
              </w:rPr>
            </w:r>
          </w:p>
        </w:tc>
        <w:tc>
          <w:tcPr>
            <w:tcW w:w="1417" w:type="dxa"/>
          </w:tcPr>
          <w:p>
            <w:pPr>
              <w:pStyle w:val="0"/>
            </w:pPr>
            <w:r>
              <w:rPr>
                <w:sz w:val="20"/>
              </w:rPr>
            </w:r>
          </w:p>
        </w:tc>
        <w:tc>
          <w:tcPr>
            <w:tcW w:w="1303" w:type="dxa"/>
          </w:tcPr>
          <w:p>
            <w:pPr>
              <w:pStyle w:val="0"/>
            </w:pPr>
            <w:r>
              <w:rPr>
                <w:sz w:val="20"/>
              </w:rPr>
            </w:r>
          </w:p>
        </w:tc>
      </w:tr>
      <w:tr>
        <w:tc>
          <w:tcPr>
            <w:tcW w:w="4932" w:type="dxa"/>
          </w:tcPr>
          <w:p>
            <w:pPr>
              <w:pStyle w:val="0"/>
            </w:pPr>
            <w:r>
              <w:rPr>
                <w:sz w:val="20"/>
              </w:rPr>
              <w:t xml:space="preserve">Заводской номер</w:t>
            </w:r>
          </w:p>
        </w:tc>
        <w:tc>
          <w:tcPr>
            <w:tcW w:w="1417" w:type="dxa"/>
          </w:tcPr>
          <w:p>
            <w:pPr>
              <w:pStyle w:val="0"/>
            </w:pPr>
            <w:r>
              <w:rPr>
                <w:sz w:val="20"/>
              </w:rPr>
            </w:r>
          </w:p>
        </w:tc>
        <w:tc>
          <w:tcPr>
            <w:tcW w:w="1417" w:type="dxa"/>
          </w:tcPr>
          <w:p>
            <w:pPr>
              <w:pStyle w:val="0"/>
            </w:pPr>
            <w:r>
              <w:rPr>
                <w:sz w:val="20"/>
              </w:rPr>
            </w:r>
          </w:p>
        </w:tc>
        <w:tc>
          <w:tcPr>
            <w:tcW w:w="1303" w:type="dxa"/>
          </w:tcPr>
          <w:p>
            <w:pPr>
              <w:pStyle w:val="0"/>
            </w:pPr>
            <w:r>
              <w:rPr>
                <w:sz w:val="20"/>
              </w:rPr>
            </w:r>
          </w:p>
        </w:tc>
      </w:tr>
      <w:tr>
        <w:tc>
          <w:tcPr>
            <w:tcW w:w="4932" w:type="dxa"/>
          </w:tcPr>
          <w:p>
            <w:pPr>
              <w:pStyle w:val="0"/>
            </w:pPr>
            <w:r>
              <w:rPr>
                <w:sz w:val="20"/>
              </w:rPr>
              <w:t xml:space="preserve">Коэффициент трансформации</w:t>
            </w:r>
          </w:p>
        </w:tc>
        <w:tc>
          <w:tcPr>
            <w:tcW w:w="1417" w:type="dxa"/>
          </w:tcPr>
          <w:p>
            <w:pPr>
              <w:pStyle w:val="0"/>
            </w:pPr>
            <w:r>
              <w:rPr>
                <w:sz w:val="20"/>
              </w:rPr>
            </w:r>
          </w:p>
        </w:tc>
        <w:tc>
          <w:tcPr>
            <w:tcW w:w="1417" w:type="dxa"/>
          </w:tcPr>
          <w:p>
            <w:pPr>
              <w:pStyle w:val="0"/>
            </w:pPr>
            <w:r>
              <w:rPr>
                <w:sz w:val="20"/>
              </w:rPr>
            </w:r>
          </w:p>
        </w:tc>
        <w:tc>
          <w:tcPr>
            <w:tcW w:w="1303" w:type="dxa"/>
          </w:tcPr>
          <w:p>
            <w:pPr>
              <w:pStyle w:val="0"/>
            </w:pPr>
            <w:r>
              <w:rPr>
                <w:sz w:val="20"/>
              </w:rPr>
            </w:r>
          </w:p>
        </w:tc>
      </w:tr>
      <w:tr>
        <w:tc>
          <w:tcPr>
            <w:tcW w:w="4932" w:type="dxa"/>
          </w:tcPr>
          <w:p>
            <w:pPr>
              <w:pStyle w:val="0"/>
            </w:pPr>
            <w:r>
              <w:rPr>
                <w:sz w:val="20"/>
              </w:rPr>
              <w:t xml:space="preserve">Класс точности</w:t>
            </w:r>
          </w:p>
        </w:tc>
        <w:tc>
          <w:tcPr>
            <w:tcW w:w="1417" w:type="dxa"/>
          </w:tcPr>
          <w:p>
            <w:pPr>
              <w:pStyle w:val="0"/>
            </w:pPr>
            <w:r>
              <w:rPr>
                <w:sz w:val="20"/>
              </w:rPr>
            </w:r>
          </w:p>
        </w:tc>
        <w:tc>
          <w:tcPr>
            <w:tcW w:w="1417" w:type="dxa"/>
          </w:tcPr>
          <w:p>
            <w:pPr>
              <w:pStyle w:val="0"/>
            </w:pPr>
            <w:r>
              <w:rPr>
                <w:sz w:val="20"/>
              </w:rPr>
            </w:r>
          </w:p>
        </w:tc>
        <w:tc>
          <w:tcPr>
            <w:tcW w:w="1303" w:type="dxa"/>
          </w:tcPr>
          <w:p>
            <w:pPr>
              <w:pStyle w:val="0"/>
            </w:pPr>
            <w:r>
              <w:rPr>
                <w:sz w:val="20"/>
              </w:rPr>
            </w:r>
          </w:p>
        </w:tc>
      </w:tr>
      <w:tr>
        <w:tc>
          <w:tcPr>
            <w:tcW w:w="4932" w:type="dxa"/>
          </w:tcPr>
          <w:p>
            <w:pPr>
              <w:pStyle w:val="0"/>
            </w:pPr>
            <w:r>
              <w:rPr>
                <w:sz w:val="20"/>
              </w:rPr>
              <w:t xml:space="preserve">Дата поверки</w:t>
            </w:r>
          </w:p>
        </w:tc>
        <w:tc>
          <w:tcPr>
            <w:tcW w:w="1417" w:type="dxa"/>
          </w:tcPr>
          <w:p>
            <w:pPr>
              <w:pStyle w:val="0"/>
            </w:pPr>
            <w:r>
              <w:rPr>
                <w:sz w:val="20"/>
              </w:rPr>
            </w:r>
          </w:p>
        </w:tc>
        <w:tc>
          <w:tcPr>
            <w:tcW w:w="1417" w:type="dxa"/>
          </w:tcPr>
          <w:p>
            <w:pPr>
              <w:pStyle w:val="0"/>
            </w:pPr>
            <w:r>
              <w:rPr>
                <w:sz w:val="20"/>
              </w:rPr>
            </w:r>
          </w:p>
        </w:tc>
        <w:tc>
          <w:tcPr>
            <w:tcW w:w="1303" w:type="dxa"/>
          </w:tcPr>
          <w:p>
            <w:pPr>
              <w:pStyle w:val="0"/>
            </w:pPr>
            <w:r>
              <w:rPr>
                <w:sz w:val="20"/>
              </w:rPr>
            </w:r>
          </w:p>
        </w:tc>
      </w:tr>
      <w:tr>
        <w:tc>
          <w:tcPr>
            <w:tcW w:w="4932" w:type="dxa"/>
          </w:tcPr>
          <w:p>
            <w:pPr>
              <w:pStyle w:val="0"/>
            </w:pPr>
            <w:r>
              <w:rPr>
                <w:sz w:val="20"/>
              </w:rPr>
              <w:t xml:space="preserve">Дата следующей поверки</w:t>
            </w:r>
          </w:p>
        </w:tc>
        <w:tc>
          <w:tcPr>
            <w:tcW w:w="1417" w:type="dxa"/>
          </w:tcPr>
          <w:p>
            <w:pPr>
              <w:pStyle w:val="0"/>
            </w:pPr>
            <w:r>
              <w:rPr>
                <w:sz w:val="20"/>
              </w:rPr>
            </w:r>
          </w:p>
        </w:tc>
        <w:tc>
          <w:tcPr>
            <w:tcW w:w="1417" w:type="dxa"/>
          </w:tcPr>
          <w:p>
            <w:pPr>
              <w:pStyle w:val="0"/>
            </w:pPr>
            <w:r>
              <w:rPr>
                <w:sz w:val="20"/>
              </w:rPr>
            </w:r>
          </w:p>
        </w:tc>
        <w:tc>
          <w:tcPr>
            <w:tcW w:w="1303" w:type="dxa"/>
          </w:tcPr>
          <w:p>
            <w:pPr>
              <w:pStyle w:val="0"/>
            </w:pPr>
            <w:r>
              <w:rPr>
                <w:sz w:val="20"/>
              </w:rPr>
            </w:r>
          </w:p>
        </w:tc>
      </w:tr>
    </w:tbl>
    <w:p>
      <w:pPr>
        <w:pStyle w:val="0"/>
        <w:jc w:val="both"/>
      </w:pPr>
      <w:r>
        <w:rPr>
          <w:sz w:val="20"/>
        </w:rPr>
      </w:r>
    </w:p>
    <w:p>
      <w:pPr>
        <w:pStyle w:val="1"/>
        <w:jc w:val="both"/>
      </w:pPr>
      <w:r>
        <w:rPr>
          <w:sz w:val="20"/>
        </w:rPr>
        <w:t xml:space="preserve">    5. Информация о знаках визуального контроля (пломбах)</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551"/>
        <w:gridCol w:w="1700"/>
        <w:gridCol w:w="4818"/>
      </w:tblGrid>
      <w:tr>
        <w:tc>
          <w:tcPr>
            <w:tcW w:w="2551" w:type="dxa"/>
          </w:tcPr>
          <w:p>
            <w:pPr>
              <w:pStyle w:val="0"/>
              <w:jc w:val="center"/>
            </w:pPr>
            <w:r>
              <w:rPr>
                <w:sz w:val="20"/>
              </w:rPr>
              <w:t xml:space="preserve">Место установки пломбы</w:t>
            </w:r>
          </w:p>
        </w:tc>
        <w:tc>
          <w:tcPr>
            <w:tcW w:w="1700" w:type="dxa"/>
          </w:tcPr>
          <w:p>
            <w:pPr>
              <w:pStyle w:val="0"/>
              <w:jc w:val="center"/>
            </w:pPr>
            <w:r>
              <w:rPr>
                <w:sz w:val="20"/>
              </w:rPr>
              <w:t xml:space="preserve">Номер пломбы</w:t>
            </w:r>
          </w:p>
        </w:tc>
        <w:tc>
          <w:tcPr>
            <w:tcW w:w="4818" w:type="dxa"/>
          </w:tcPr>
          <w:p>
            <w:pPr>
              <w:pStyle w:val="0"/>
              <w:jc w:val="center"/>
            </w:pPr>
            <w:r>
              <w:rPr>
                <w:sz w:val="20"/>
              </w:rPr>
              <w:t xml:space="preserve">Наименование организации, установившей пломбу</w:t>
            </w:r>
          </w:p>
        </w:tc>
      </w:tr>
      <w:tr>
        <w:tc>
          <w:tcPr>
            <w:tcW w:w="2551" w:type="dxa"/>
          </w:tcPr>
          <w:p>
            <w:pPr>
              <w:pStyle w:val="0"/>
            </w:pPr>
            <w:r>
              <w:rPr>
                <w:sz w:val="20"/>
              </w:rPr>
            </w:r>
          </w:p>
        </w:tc>
        <w:tc>
          <w:tcPr>
            <w:tcW w:w="1700" w:type="dxa"/>
          </w:tcPr>
          <w:p>
            <w:pPr>
              <w:pStyle w:val="0"/>
            </w:pPr>
            <w:r>
              <w:rPr>
                <w:sz w:val="20"/>
              </w:rPr>
            </w:r>
          </w:p>
        </w:tc>
        <w:tc>
          <w:tcPr>
            <w:tcW w:w="4818" w:type="dxa"/>
          </w:tcPr>
          <w:p>
            <w:pPr>
              <w:pStyle w:val="0"/>
            </w:pPr>
            <w:r>
              <w:rPr>
                <w:sz w:val="20"/>
              </w:rPr>
            </w:r>
          </w:p>
        </w:tc>
      </w:tr>
      <w:tr>
        <w:tc>
          <w:tcPr>
            <w:tcW w:w="2551" w:type="dxa"/>
          </w:tcPr>
          <w:p>
            <w:pPr>
              <w:pStyle w:val="0"/>
            </w:pPr>
            <w:r>
              <w:rPr>
                <w:sz w:val="20"/>
              </w:rPr>
            </w:r>
          </w:p>
        </w:tc>
        <w:tc>
          <w:tcPr>
            <w:tcW w:w="1700" w:type="dxa"/>
          </w:tcPr>
          <w:p>
            <w:pPr>
              <w:pStyle w:val="0"/>
            </w:pPr>
            <w:r>
              <w:rPr>
                <w:sz w:val="20"/>
              </w:rPr>
            </w:r>
          </w:p>
        </w:tc>
        <w:tc>
          <w:tcPr>
            <w:tcW w:w="4818" w:type="dxa"/>
          </w:tcPr>
          <w:p>
            <w:pPr>
              <w:pStyle w:val="0"/>
            </w:pPr>
            <w:r>
              <w:rPr>
                <w:sz w:val="20"/>
              </w:rPr>
            </w:r>
          </w:p>
        </w:tc>
      </w:tr>
      <w:tr>
        <w:tc>
          <w:tcPr>
            <w:tcW w:w="2551" w:type="dxa"/>
          </w:tcPr>
          <w:p>
            <w:pPr>
              <w:pStyle w:val="0"/>
            </w:pPr>
            <w:r>
              <w:rPr>
                <w:sz w:val="20"/>
              </w:rPr>
            </w:r>
          </w:p>
        </w:tc>
        <w:tc>
          <w:tcPr>
            <w:tcW w:w="1700" w:type="dxa"/>
          </w:tcPr>
          <w:p>
            <w:pPr>
              <w:pStyle w:val="0"/>
            </w:pPr>
            <w:r>
              <w:rPr>
                <w:sz w:val="20"/>
              </w:rPr>
            </w:r>
          </w:p>
        </w:tc>
        <w:tc>
          <w:tcPr>
            <w:tcW w:w="4818" w:type="dxa"/>
          </w:tcPr>
          <w:p>
            <w:pPr>
              <w:pStyle w:val="0"/>
            </w:pPr>
            <w:r>
              <w:rPr>
                <w:sz w:val="20"/>
              </w:rPr>
            </w:r>
          </w:p>
        </w:tc>
      </w:tr>
      <w:tr>
        <w:tc>
          <w:tcPr>
            <w:tcW w:w="2551" w:type="dxa"/>
          </w:tcPr>
          <w:p>
            <w:pPr>
              <w:pStyle w:val="0"/>
            </w:pPr>
            <w:r>
              <w:rPr>
                <w:sz w:val="20"/>
              </w:rPr>
            </w:r>
          </w:p>
        </w:tc>
        <w:tc>
          <w:tcPr>
            <w:tcW w:w="1700" w:type="dxa"/>
          </w:tcPr>
          <w:p>
            <w:pPr>
              <w:pStyle w:val="0"/>
            </w:pPr>
            <w:r>
              <w:rPr>
                <w:sz w:val="20"/>
              </w:rPr>
            </w:r>
          </w:p>
        </w:tc>
        <w:tc>
          <w:tcPr>
            <w:tcW w:w="4818" w:type="dxa"/>
          </w:tcPr>
          <w:p>
            <w:pPr>
              <w:pStyle w:val="0"/>
            </w:pPr>
            <w:r>
              <w:rPr>
                <w:sz w:val="20"/>
              </w:rPr>
            </w:r>
          </w:p>
        </w:tc>
      </w:tr>
      <w:tr>
        <w:tc>
          <w:tcPr>
            <w:tcW w:w="2551" w:type="dxa"/>
          </w:tcPr>
          <w:p>
            <w:pPr>
              <w:pStyle w:val="0"/>
            </w:pPr>
            <w:r>
              <w:rPr>
                <w:sz w:val="20"/>
              </w:rPr>
            </w:r>
          </w:p>
        </w:tc>
        <w:tc>
          <w:tcPr>
            <w:tcW w:w="1700" w:type="dxa"/>
          </w:tcPr>
          <w:p>
            <w:pPr>
              <w:pStyle w:val="0"/>
            </w:pPr>
            <w:r>
              <w:rPr>
                <w:sz w:val="20"/>
              </w:rPr>
            </w:r>
          </w:p>
        </w:tc>
        <w:tc>
          <w:tcPr>
            <w:tcW w:w="4818" w:type="dxa"/>
          </w:tcPr>
          <w:p>
            <w:pPr>
              <w:pStyle w:val="0"/>
            </w:pPr>
            <w:r>
              <w:rPr>
                <w:sz w:val="20"/>
              </w:rPr>
            </w:r>
          </w:p>
        </w:tc>
      </w:tr>
    </w:tbl>
    <w:p>
      <w:pPr>
        <w:pStyle w:val="0"/>
        <w:jc w:val="both"/>
      </w:pPr>
      <w:r>
        <w:rPr>
          <w:sz w:val="20"/>
        </w:rPr>
      </w:r>
    </w:p>
    <w:p>
      <w:pPr>
        <w:pStyle w:val="1"/>
        <w:jc w:val="both"/>
      </w:pPr>
      <w:r>
        <w:rPr>
          <w:sz w:val="20"/>
        </w:rPr>
        <w:t xml:space="preserve">    6. Сведения об оборудовании дистанционного сбора данных (при наличии)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004"/>
        <w:gridCol w:w="1814"/>
        <w:gridCol w:w="2607"/>
        <w:gridCol w:w="1644"/>
      </w:tblGrid>
      <w:tr>
        <w:tc>
          <w:tcPr>
            <w:tcW w:w="3004" w:type="dxa"/>
          </w:tcPr>
          <w:p>
            <w:pPr>
              <w:pStyle w:val="0"/>
              <w:jc w:val="center"/>
            </w:pPr>
            <w:r>
              <w:rPr>
                <w:sz w:val="20"/>
              </w:rPr>
              <w:t xml:space="preserve">Наименование</w:t>
            </w:r>
          </w:p>
        </w:tc>
        <w:tc>
          <w:tcPr>
            <w:tcW w:w="1814" w:type="dxa"/>
          </w:tcPr>
          <w:p>
            <w:pPr>
              <w:pStyle w:val="0"/>
              <w:jc w:val="center"/>
            </w:pPr>
            <w:r>
              <w:rPr>
                <w:sz w:val="20"/>
              </w:rPr>
              <w:t xml:space="preserve">Устройство сбора и передачи данных</w:t>
            </w:r>
          </w:p>
        </w:tc>
        <w:tc>
          <w:tcPr>
            <w:tcW w:w="2607" w:type="dxa"/>
          </w:tcPr>
          <w:p>
            <w:pPr>
              <w:pStyle w:val="0"/>
              <w:jc w:val="center"/>
            </w:pPr>
            <w:r>
              <w:rPr>
                <w:sz w:val="20"/>
              </w:rPr>
              <w:t xml:space="preserve">Коммуникационное оборудование</w:t>
            </w:r>
          </w:p>
        </w:tc>
        <w:tc>
          <w:tcPr>
            <w:tcW w:w="1644" w:type="dxa"/>
          </w:tcPr>
          <w:p>
            <w:pPr>
              <w:pStyle w:val="0"/>
              <w:jc w:val="center"/>
            </w:pPr>
            <w:r>
              <w:rPr>
                <w:sz w:val="20"/>
              </w:rPr>
              <w:t xml:space="preserve">Прочее (указать)</w:t>
            </w:r>
          </w:p>
        </w:tc>
      </w:tr>
      <w:tr>
        <w:tc>
          <w:tcPr>
            <w:tcW w:w="3004" w:type="dxa"/>
          </w:tcPr>
          <w:p>
            <w:pPr>
              <w:pStyle w:val="0"/>
            </w:pPr>
            <w:r>
              <w:rPr>
                <w:sz w:val="20"/>
              </w:rPr>
              <w:t xml:space="preserve">Место установки</w:t>
            </w:r>
          </w:p>
        </w:tc>
        <w:tc>
          <w:tcPr>
            <w:tcW w:w="1814" w:type="dxa"/>
          </w:tcPr>
          <w:p>
            <w:pPr>
              <w:pStyle w:val="0"/>
            </w:pPr>
            <w:r>
              <w:rPr>
                <w:sz w:val="20"/>
              </w:rPr>
            </w:r>
          </w:p>
        </w:tc>
        <w:tc>
          <w:tcPr>
            <w:tcW w:w="2607" w:type="dxa"/>
          </w:tcPr>
          <w:p>
            <w:pPr>
              <w:pStyle w:val="0"/>
            </w:pPr>
            <w:r>
              <w:rPr>
                <w:sz w:val="20"/>
              </w:rPr>
            </w:r>
          </w:p>
        </w:tc>
        <w:tc>
          <w:tcPr>
            <w:tcW w:w="1644" w:type="dxa"/>
          </w:tcPr>
          <w:p>
            <w:pPr>
              <w:pStyle w:val="0"/>
            </w:pPr>
            <w:r>
              <w:rPr>
                <w:sz w:val="20"/>
              </w:rPr>
            </w:r>
          </w:p>
        </w:tc>
      </w:tr>
      <w:tr>
        <w:tc>
          <w:tcPr>
            <w:tcW w:w="3004" w:type="dxa"/>
          </w:tcPr>
          <w:p>
            <w:pPr>
              <w:pStyle w:val="0"/>
            </w:pPr>
            <w:r>
              <w:rPr>
                <w:sz w:val="20"/>
              </w:rPr>
              <w:t xml:space="preserve">Балансовая принадлежность</w:t>
            </w:r>
          </w:p>
        </w:tc>
        <w:tc>
          <w:tcPr>
            <w:tcW w:w="1814" w:type="dxa"/>
          </w:tcPr>
          <w:p>
            <w:pPr>
              <w:pStyle w:val="0"/>
            </w:pPr>
            <w:r>
              <w:rPr>
                <w:sz w:val="20"/>
              </w:rPr>
            </w:r>
          </w:p>
        </w:tc>
        <w:tc>
          <w:tcPr>
            <w:tcW w:w="2607" w:type="dxa"/>
          </w:tcPr>
          <w:p>
            <w:pPr>
              <w:pStyle w:val="0"/>
            </w:pPr>
            <w:r>
              <w:rPr>
                <w:sz w:val="20"/>
              </w:rPr>
            </w:r>
          </w:p>
        </w:tc>
        <w:tc>
          <w:tcPr>
            <w:tcW w:w="1644" w:type="dxa"/>
          </w:tcPr>
          <w:p>
            <w:pPr>
              <w:pStyle w:val="0"/>
            </w:pPr>
            <w:r>
              <w:rPr>
                <w:sz w:val="20"/>
              </w:rPr>
            </w:r>
          </w:p>
        </w:tc>
      </w:tr>
      <w:tr>
        <w:tc>
          <w:tcPr>
            <w:tcW w:w="3004" w:type="dxa"/>
          </w:tcPr>
          <w:p>
            <w:pPr>
              <w:pStyle w:val="0"/>
            </w:pPr>
            <w:r>
              <w:rPr>
                <w:sz w:val="20"/>
              </w:rPr>
              <w:t xml:space="preserve">Тип</w:t>
            </w:r>
          </w:p>
        </w:tc>
        <w:tc>
          <w:tcPr>
            <w:tcW w:w="1814" w:type="dxa"/>
          </w:tcPr>
          <w:p>
            <w:pPr>
              <w:pStyle w:val="0"/>
            </w:pPr>
            <w:r>
              <w:rPr>
                <w:sz w:val="20"/>
              </w:rPr>
            </w:r>
          </w:p>
        </w:tc>
        <w:tc>
          <w:tcPr>
            <w:tcW w:w="2607" w:type="dxa"/>
          </w:tcPr>
          <w:p>
            <w:pPr>
              <w:pStyle w:val="0"/>
            </w:pPr>
            <w:r>
              <w:rPr>
                <w:sz w:val="20"/>
              </w:rPr>
            </w:r>
          </w:p>
        </w:tc>
        <w:tc>
          <w:tcPr>
            <w:tcW w:w="1644" w:type="dxa"/>
          </w:tcPr>
          <w:p>
            <w:pPr>
              <w:pStyle w:val="0"/>
            </w:pPr>
            <w:r>
              <w:rPr>
                <w:sz w:val="20"/>
              </w:rPr>
            </w:r>
          </w:p>
        </w:tc>
      </w:tr>
      <w:tr>
        <w:tc>
          <w:tcPr>
            <w:tcW w:w="3004" w:type="dxa"/>
          </w:tcPr>
          <w:p>
            <w:pPr>
              <w:pStyle w:val="0"/>
            </w:pPr>
            <w:r>
              <w:rPr>
                <w:sz w:val="20"/>
              </w:rPr>
              <w:t xml:space="preserve">Заводской номер</w:t>
            </w:r>
          </w:p>
        </w:tc>
        <w:tc>
          <w:tcPr>
            <w:tcW w:w="1814" w:type="dxa"/>
          </w:tcPr>
          <w:p>
            <w:pPr>
              <w:pStyle w:val="0"/>
            </w:pPr>
            <w:r>
              <w:rPr>
                <w:sz w:val="20"/>
              </w:rPr>
            </w:r>
          </w:p>
        </w:tc>
        <w:tc>
          <w:tcPr>
            <w:tcW w:w="2607" w:type="dxa"/>
          </w:tcPr>
          <w:p>
            <w:pPr>
              <w:pStyle w:val="0"/>
            </w:pPr>
            <w:r>
              <w:rPr>
                <w:sz w:val="20"/>
              </w:rPr>
            </w:r>
          </w:p>
        </w:tc>
        <w:tc>
          <w:tcPr>
            <w:tcW w:w="1644" w:type="dxa"/>
          </w:tcPr>
          <w:p>
            <w:pPr>
              <w:pStyle w:val="0"/>
            </w:pPr>
            <w:r>
              <w:rPr>
                <w:sz w:val="20"/>
              </w:rPr>
            </w:r>
          </w:p>
        </w:tc>
      </w:tr>
      <w:tr>
        <w:tc>
          <w:tcPr>
            <w:tcW w:w="3004" w:type="dxa"/>
          </w:tcPr>
          <w:p>
            <w:pPr>
              <w:pStyle w:val="0"/>
            </w:pPr>
            <w:r>
              <w:rPr>
                <w:sz w:val="20"/>
              </w:rPr>
              <w:t xml:space="preserve">Дата поверки</w:t>
            </w:r>
          </w:p>
        </w:tc>
        <w:tc>
          <w:tcPr>
            <w:tcW w:w="1814" w:type="dxa"/>
          </w:tcPr>
          <w:p>
            <w:pPr>
              <w:pStyle w:val="0"/>
            </w:pPr>
            <w:r>
              <w:rPr>
                <w:sz w:val="20"/>
              </w:rPr>
            </w:r>
          </w:p>
        </w:tc>
        <w:tc>
          <w:tcPr>
            <w:tcW w:w="2607" w:type="dxa"/>
          </w:tcPr>
          <w:p>
            <w:pPr>
              <w:pStyle w:val="0"/>
            </w:pPr>
            <w:r>
              <w:rPr>
                <w:sz w:val="20"/>
              </w:rPr>
            </w:r>
          </w:p>
        </w:tc>
        <w:tc>
          <w:tcPr>
            <w:tcW w:w="1644" w:type="dxa"/>
          </w:tcPr>
          <w:p>
            <w:pPr>
              <w:pStyle w:val="0"/>
            </w:pPr>
            <w:r>
              <w:rPr>
                <w:sz w:val="20"/>
              </w:rPr>
            </w:r>
          </w:p>
        </w:tc>
      </w:tr>
      <w:tr>
        <w:tc>
          <w:tcPr>
            <w:tcW w:w="3004" w:type="dxa"/>
          </w:tcPr>
          <w:p>
            <w:pPr>
              <w:pStyle w:val="0"/>
            </w:pPr>
            <w:r>
              <w:rPr>
                <w:sz w:val="20"/>
              </w:rPr>
              <w:t xml:space="preserve">Дата следующей поверки</w:t>
            </w:r>
          </w:p>
        </w:tc>
        <w:tc>
          <w:tcPr>
            <w:tcW w:w="1814" w:type="dxa"/>
          </w:tcPr>
          <w:p>
            <w:pPr>
              <w:pStyle w:val="0"/>
            </w:pPr>
            <w:r>
              <w:rPr>
                <w:sz w:val="20"/>
              </w:rPr>
            </w:r>
          </w:p>
        </w:tc>
        <w:tc>
          <w:tcPr>
            <w:tcW w:w="2607" w:type="dxa"/>
          </w:tcPr>
          <w:p>
            <w:pPr>
              <w:pStyle w:val="0"/>
            </w:pPr>
            <w:r>
              <w:rPr>
                <w:sz w:val="20"/>
              </w:rPr>
            </w:r>
          </w:p>
        </w:tc>
        <w:tc>
          <w:tcPr>
            <w:tcW w:w="1644" w:type="dxa"/>
          </w:tcPr>
          <w:p>
            <w:pPr>
              <w:pStyle w:val="0"/>
            </w:pPr>
            <w:r>
              <w:rPr>
                <w:sz w:val="20"/>
              </w:rPr>
            </w:r>
          </w:p>
        </w:tc>
      </w:tr>
    </w:tbl>
    <w:p>
      <w:pPr>
        <w:pStyle w:val="0"/>
        <w:jc w:val="both"/>
      </w:pPr>
      <w:r>
        <w:rPr>
          <w:sz w:val="20"/>
        </w:rPr>
      </w:r>
    </w:p>
    <w:p>
      <w:pPr>
        <w:pStyle w:val="1"/>
        <w:jc w:val="both"/>
      </w:pPr>
      <w:r>
        <w:rPr>
          <w:sz w:val="20"/>
        </w:rPr>
        <w:t xml:space="preserve">    7. Результаты измерений</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762"/>
        <w:gridCol w:w="1360"/>
        <w:gridCol w:w="1417"/>
        <w:gridCol w:w="1530"/>
      </w:tblGrid>
      <w:tr>
        <w:tc>
          <w:tcPr>
            <w:tcW w:w="4762" w:type="dxa"/>
          </w:tcPr>
          <w:p>
            <w:pPr>
              <w:pStyle w:val="0"/>
              <w:jc w:val="center"/>
            </w:pPr>
            <w:r>
              <w:rPr>
                <w:sz w:val="20"/>
              </w:rPr>
              <w:t xml:space="preserve">Характеристики</w:t>
            </w:r>
          </w:p>
        </w:tc>
        <w:tc>
          <w:tcPr>
            <w:tcW w:w="1360" w:type="dxa"/>
          </w:tcPr>
          <w:p>
            <w:pPr>
              <w:pStyle w:val="0"/>
              <w:jc w:val="center"/>
            </w:pPr>
            <w:r>
              <w:rPr>
                <w:sz w:val="20"/>
              </w:rPr>
              <w:t xml:space="preserve">Фаза A</w:t>
            </w:r>
          </w:p>
        </w:tc>
        <w:tc>
          <w:tcPr>
            <w:tcW w:w="1417" w:type="dxa"/>
          </w:tcPr>
          <w:p>
            <w:pPr>
              <w:pStyle w:val="0"/>
              <w:jc w:val="center"/>
            </w:pPr>
            <w:r>
              <w:rPr>
                <w:sz w:val="20"/>
              </w:rPr>
              <w:t xml:space="preserve">Фаза B</w:t>
            </w:r>
          </w:p>
        </w:tc>
        <w:tc>
          <w:tcPr>
            <w:tcW w:w="1530" w:type="dxa"/>
          </w:tcPr>
          <w:p>
            <w:pPr>
              <w:pStyle w:val="0"/>
              <w:jc w:val="center"/>
            </w:pPr>
            <w:r>
              <w:rPr>
                <w:sz w:val="20"/>
              </w:rPr>
              <w:t xml:space="preserve">Фаза C</w:t>
            </w:r>
          </w:p>
        </w:tc>
      </w:tr>
      <w:tr>
        <w:tc>
          <w:tcPr>
            <w:tcW w:w="4762" w:type="dxa"/>
          </w:tcPr>
          <w:p>
            <w:pPr>
              <w:pStyle w:val="0"/>
            </w:pPr>
            <w:r>
              <w:rPr>
                <w:sz w:val="20"/>
              </w:rPr>
              <w:t xml:space="preserve">Сила тока в первичной цепи, A</w:t>
            </w:r>
          </w:p>
        </w:tc>
        <w:tc>
          <w:tcPr>
            <w:tcW w:w="1360" w:type="dxa"/>
          </w:tcPr>
          <w:p>
            <w:pPr>
              <w:pStyle w:val="0"/>
            </w:pPr>
            <w:r>
              <w:rPr>
                <w:sz w:val="20"/>
              </w:rPr>
            </w:r>
          </w:p>
        </w:tc>
        <w:tc>
          <w:tcPr>
            <w:tcW w:w="1417" w:type="dxa"/>
          </w:tcPr>
          <w:p>
            <w:pPr>
              <w:pStyle w:val="0"/>
            </w:pPr>
            <w:r>
              <w:rPr>
                <w:sz w:val="20"/>
              </w:rPr>
            </w:r>
          </w:p>
        </w:tc>
        <w:tc>
          <w:tcPr>
            <w:tcW w:w="1530" w:type="dxa"/>
          </w:tcPr>
          <w:p>
            <w:pPr>
              <w:pStyle w:val="0"/>
            </w:pPr>
            <w:r>
              <w:rPr>
                <w:sz w:val="20"/>
              </w:rPr>
            </w:r>
          </w:p>
        </w:tc>
      </w:tr>
      <w:tr>
        <w:tc>
          <w:tcPr>
            <w:tcW w:w="4762" w:type="dxa"/>
          </w:tcPr>
          <w:p>
            <w:pPr>
              <w:pStyle w:val="0"/>
            </w:pPr>
            <w:r>
              <w:rPr>
                <w:sz w:val="20"/>
              </w:rPr>
              <w:t xml:space="preserve">Сила тока в измерительных цепях, A</w:t>
            </w:r>
          </w:p>
        </w:tc>
        <w:tc>
          <w:tcPr>
            <w:tcW w:w="1360" w:type="dxa"/>
          </w:tcPr>
          <w:p>
            <w:pPr>
              <w:pStyle w:val="0"/>
            </w:pPr>
            <w:r>
              <w:rPr>
                <w:sz w:val="20"/>
              </w:rPr>
            </w:r>
          </w:p>
        </w:tc>
        <w:tc>
          <w:tcPr>
            <w:tcW w:w="1417" w:type="dxa"/>
          </w:tcPr>
          <w:p>
            <w:pPr>
              <w:pStyle w:val="0"/>
            </w:pPr>
            <w:r>
              <w:rPr>
                <w:sz w:val="20"/>
              </w:rPr>
            </w:r>
          </w:p>
        </w:tc>
        <w:tc>
          <w:tcPr>
            <w:tcW w:w="1530" w:type="dxa"/>
          </w:tcPr>
          <w:p>
            <w:pPr>
              <w:pStyle w:val="0"/>
            </w:pPr>
            <w:r>
              <w:rPr>
                <w:sz w:val="20"/>
              </w:rPr>
            </w:r>
          </w:p>
        </w:tc>
      </w:tr>
      <w:tr>
        <w:tc>
          <w:tcPr>
            <w:tcW w:w="4762" w:type="dxa"/>
          </w:tcPr>
          <w:p>
            <w:pPr>
              <w:pStyle w:val="0"/>
            </w:pPr>
            <w:r>
              <w:rPr>
                <w:sz w:val="20"/>
              </w:rPr>
              <w:t xml:space="preserve">Фазное напряжение, B</w:t>
            </w:r>
          </w:p>
        </w:tc>
        <w:tc>
          <w:tcPr>
            <w:tcW w:w="1360" w:type="dxa"/>
          </w:tcPr>
          <w:p>
            <w:pPr>
              <w:pStyle w:val="0"/>
            </w:pPr>
            <w:r>
              <w:rPr>
                <w:sz w:val="20"/>
              </w:rPr>
            </w:r>
          </w:p>
        </w:tc>
        <w:tc>
          <w:tcPr>
            <w:tcW w:w="1417" w:type="dxa"/>
          </w:tcPr>
          <w:p>
            <w:pPr>
              <w:pStyle w:val="0"/>
            </w:pPr>
            <w:r>
              <w:rPr>
                <w:sz w:val="20"/>
              </w:rPr>
            </w:r>
          </w:p>
        </w:tc>
        <w:tc>
          <w:tcPr>
            <w:tcW w:w="1530" w:type="dxa"/>
          </w:tcPr>
          <w:p>
            <w:pPr>
              <w:pStyle w:val="0"/>
            </w:pPr>
            <w:r>
              <w:rPr>
                <w:sz w:val="20"/>
              </w:rPr>
            </w:r>
          </w:p>
        </w:tc>
      </w:tr>
      <w:tr>
        <w:tc>
          <w:tcPr>
            <w:tcW w:w="4762" w:type="dxa"/>
          </w:tcPr>
          <w:p>
            <w:pPr>
              <w:pStyle w:val="0"/>
            </w:pPr>
            <w:r>
              <w:rPr>
                <w:sz w:val="20"/>
              </w:rPr>
              <w:t xml:space="preserve">Угол фазового сдвига, град</w:t>
            </w:r>
          </w:p>
        </w:tc>
        <w:tc>
          <w:tcPr>
            <w:tcW w:w="1360" w:type="dxa"/>
          </w:tcPr>
          <w:p>
            <w:pPr>
              <w:pStyle w:val="0"/>
            </w:pPr>
            <w:r>
              <w:rPr>
                <w:sz w:val="20"/>
              </w:rPr>
            </w:r>
          </w:p>
        </w:tc>
        <w:tc>
          <w:tcPr>
            <w:tcW w:w="1417" w:type="dxa"/>
          </w:tcPr>
          <w:p>
            <w:pPr>
              <w:pStyle w:val="0"/>
            </w:pPr>
            <w:r>
              <w:rPr>
                <w:sz w:val="20"/>
              </w:rPr>
            </w:r>
          </w:p>
        </w:tc>
        <w:tc>
          <w:tcPr>
            <w:tcW w:w="1530" w:type="dxa"/>
          </w:tcPr>
          <w:p>
            <w:pPr>
              <w:pStyle w:val="0"/>
            </w:pPr>
            <w:r>
              <w:rPr>
                <w:sz w:val="20"/>
              </w:rPr>
            </w:r>
          </w:p>
        </w:tc>
      </w:tr>
    </w:tbl>
    <w:p>
      <w:pPr>
        <w:pStyle w:val="0"/>
        <w:jc w:val="both"/>
      </w:pPr>
      <w:r>
        <w:rPr>
          <w:sz w:val="20"/>
        </w:rPr>
      </w:r>
    </w:p>
    <w:p>
      <w:pPr>
        <w:pStyle w:val="1"/>
        <w:jc w:val="both"/>
      </w:pPr>
      <w:r>
        <w:rPr>
          <w:sz w:val="20"/>
        </w:rPr>
        <w:t xml:space="preserve">    8. Характеристики использованного оборудования</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и тип оборудования, номер, дата поверки)</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9. Прочее</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10. Заключение</w:t>
      </w:r>
    </w:p>
    <w:p>
      <w:pPr>
        <w:pStyle w:val="1"/>
        <w:jc w:val="both"/>
      </w:pPr>
      <w:r>
        <w:rPr>
          <w:sz w:val="20"/>
        </w:rPr>
        <w:t xml:space="preserve">    Решение  о  допуске  (недопуске) прибора учета в эксплуатацию (в случае</w:t>
      </w:r>
    </w:p>
    <w:p>
      <w:pPr>
        <w:pStyle w:val="1"/>
        <w:jc w:val="both"/>
      </w:pPr>
      <w:r>
        <w:rPr>
          <w:sz w:val="20"/>
        </w:rPr>
        <w:t xml:space="preserve">недопуска указать причины)</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Мероприятия,   необходимые  к  выполнению  для  допуска  прибора  учета</w:t>
      </w:r>
    </w:p>
    <w:p>
      <w:pPr>
        <w:pStyle w:val="1"/>
        <w:jc w:val="both"/>
      </w:pPr>
      <w:r>
        <w:rPr>
          <w:sz w:val="20"/>
        </w:rPr>
        <w:t xml:space="preserve">электрической энергии в эксплуатацию</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Срок выполнения мероприятий до "__" ___________ 20__ г.</w:t>
      </w:r>
    </w:p>
    <w:p>
      <w:pPr>
        <w:pStyle w:val="1"/>
        <w:jc w:val="both"/>
      </w:pPr>
      <w:r>
        <w:rPr>
          <w:sz w:val="20"/>
        </w:rPr>
      </w:r>
    </w:p>
    <w:p>
      <w:pPr>
        <w:pStyle w:val="1"/>
        <w:jc w:val="both"/>
      </w:pPr>
      <w:r>
        <w:rPr>
          <w:sz w:val="20"/>
        </w:rPr>
        <w:t xml:space="preserve">                     Представитель сетевой организации</w:t>
      </w:r>
    </w:p>
    <w:p>
      <w:pPr>
        <w:pStyle w:val="1"/>
        <w:jc w:val="both"/>
      </w:pPr>
      <w:r>
        <w:rPr>
          <w:sz w:val="20"/>
        </w:rPr>
        <w:t xml:space="preserve">          _______________/_______________________________________/</w:t>
      </w:r>
    </w:p>
    <w:p>
      <w:pPr>
        <w:pStyle w:val="1"/>
        <w:jc w:val="both"/>
      </w:pPr>
      <w:r>
        <w:rPr>
          <w:sz w:val="20"/>
        </w:rPr>
        <w:t xml:space="preserve">             (подпись)            (ф.и.о. представителя)</w:t>
      </w:r>
    </w:p>
    <w:p>
      <w:pPr>
        <w:pStyle w:val="1"/>
        <w:jc w:val="both"/>
      </w:pPr>
      <w:r>
        <w:rPr>
          <w:sz w:val="20"/>
        </w:rPr>
      </w:r>
    </w:p>
    <w:p>
      <w:pPr>
        <w:pStyle w:val="1"/>
        <w:jc w:val="both"/>
      </w:pPr>
      <w:r>
        <w:rPr>
          <w:sz w:val="20"/>
        </w:rPr>
        <w:t xml:space="preserve">                      Потребитель (его представитель) &lt;1&gt;</w:t>
      </w:r>
    </w:p>
    <w:p>
      <w:pPr>
        <w:pStyle w:val="1"/>
        <w:jc w:val="both"/>
      </w:pPr>
      <w:r>
        <w:rPr>
          <w:sz w:val="20"/>
        </w:rPr>
        <w:t xml:space="preserve">          _______________/_______________________________________/</w:t>
      </w:r>
    </w:p>
    <w:p>
      <w:pPr>
        <w:pStyle w:val="1"/>
        <w:jc w:val="both"/>
      </w:pPr>
      <w:r>
        <w:rPr>
          <w:sz w:val="20"/>
        </w:rPr>
        <w:t xml:space="preserve">             (подпись)    (ф.и.о. потребителя (его представителя)</w:t>
      </w:r>
    </w:p>
    <w:p>
      <w:pPr>
        <w:pStyle w:val="1"/>
        <w:jc w:val="both"/>
      </w:pPr>
      <w:r>
        <w:rPr>
          <w:sz w:val="20"/>
        </w:rPr>
      </w:r>
    </w:p>
    <w:p>
      <w:pPr>
        <w:pStyle w:val="1"/>
        <w:jc w:val="both"/>
      </w:pPr>
      <w:r>
        <w:rPr>
          <w:sz w:val="20"/>
        </w:rPr>
        <w:t xml:space="preserve">      Представитель субъекта розничного рынка, с которым у заявителя</w:t>
      </w:r>
    </w:p>
    <w:p>
      <w:pPr>
        <w:pStyle w:val="1"/>
        <w:jc w:val="both"/>
      </w:pPr>
      <w:r>
        <w:rPr>
          <w:sz w:val="20"/>
        </w:rPr>
        <w:t xml:space="preserve">      заключен (предполагается к заключению) договор энергоснабжения</w:t>
      </w:r>
    </w:p>
    <w:p>
      <w:pPr>
        <w:pStyle w:val="1"/>
        <w:jc w:val="both"/>
      </w:pPr>
      <w:r>
        <w:rPr>
          <w:sz w:val="20"/>
        </w:rPr>
        <w:t xml:space="preserve">        (купли-продажи (поставки) электрической энергии (мощности)</w:t>
      </w:r>
    </w:p>
    <w:p>
      <w:pPr>
        <w:pStyle w:val="1"/>
        <w:jc w:val="both"/>
      </w:pPr>
      <w:r>
        <w:rPr>
          <w:sz w:val="20"/>
        </w:rPr>
        <w:t xml:space="preserve">          _______________/_______________________________________/</w:t>
      </w:r>
    </w:p>
    <w:p>
      <w:pPr>
        <w:pStyle w:val="1"/>
        <w:jc w:val="both"/>
      </w:pPr>
      <w:r>
        <w:rPr>
          <w:sz w:val="20"/>
        </w:rPr>
        <w:t xml:space="preserve">             (подпись)            (ф.и.о. представителя)</w:t>
      </w:r>
    </w:p>
    <w:p>
      <w:pPr>
        <w:pStyle w:val="1"/>
        <w:jc w:val="both"/>
      </w:pPr>
      <w:r>
        <w:rPr>
          <w:sz w:val="20"/>
        </w:rPr>
      </w:r>
    </w:p>
    <w:p>
      <w:pPr>
        <w:pStyle w:val="1"/>
        <w:jc w:val="both"/>
      </w:pPr>
      <w:r>
        <w:rPr>
          <w:sz w:val="20"/>
        </w:rPr>
        <w:t xml:space="preserve">    Представитель гарантирующего поставщика (в случае технологического</w:t>
      </w:r>
    </w:p>
    <w:p>
      <w:pPr>
        <w:pStyle w:val="1"/>
        <w:jc w:val="both"/>
      </w:pPr>
      <w:r>
        <w:rPr>
          <w:sz w:val="20"/>
        </w:rPr>
        <w:t xml:space="preserve">                   присоединения многоквартирного дома)</w:t>
      </w:r>
    </w:p>
    <w:p>
      <w:pPr>
        <w:pStyle w:val="1"/>
        <w:jc w:val="both"/>
      </w:pPr>
      <w:r>
        <w:rPr>
          <w:sz w:val="20"/>
        </w:rPr>
        <w:t xml:space="preserve">             ___________________/___________________________/</w:t>
      </w:r>
    </w:p>
    <w:p>
      <w:pPr>
        <w:pStyle w:val="1"/>
        <w:jc w:val="both"/>
      </w:pPr>
      <w:r>
        <w:rPr>
          <w:sz w:val="20"/>
        </w:rPr>
        <w:t xml:space="preserve">                   (подпись)       (ф.и.о. представителя)</w:t>
      </w:r>
    </w:p>
    <w:p>
      <w:pPr>
        <w:pStyle w:val="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&lt;1&gt; Не подлежит подписанию со стороны потребителя (его представителя) при оформлении акта в рамках процедуры технологического присоединения энергопринимающих устройств заявителей, указанных в пунктах 12(1), </w:t>
      </w:r>
      <w:hyperlink w:history="0" w:anchor="P1125"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sz w:val="20"/>
            <w:color w:val="0000ff"/>
          </w:rPr>
          <w:t xml:space="preserve">13(2)</w:t>
        </w:r>
      </w:hyperlink>
      <w:r>
        <w:rPr>
          <w:sz w:val="20"/>
        </w:rPr>
        <w:t xml:space="preserve"> - </w:t>
      </w:r>
      <w:hyperlink w:history="0" w:anchor="P1148"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
        <w:r>
          <w:rPr>
            <w:sz w:val="20"/>
            <w:color w:val="0000ff"/>
          </w:rPr>
          <w:t xml:space="preserve">13(5)</w:t>
        </w:r>
      </w:hyperlink>
      <w:r>
        <w:rPr>
          <w:sz w:val="20"/>
        </w:rPr>
        <w:t xml:space="preserve"> и 14 настоящих Правил, за исключением случаев оформления акта в отношении коллективных (общедомовых) приборов учета электрической энергии.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17</w:t>
      </w:r>
    </w:p>
    <w:p>
      <w:pPr>
        <w:pStyle w:val="0"/>
        <w:jc w:val="right"/>
      </w:pPr>
      <w:r>
        <w:rPr>
          <w:sz w:val="20"/>
        </w:rPr>
        <w:t xml:space="preserve">к Правилам технологического</w:t>
      </w:r>
    </w:p>
    <w:p>
      <w:pPr>
        <w:pStyle w:val="0"/>
        <w:jc w:val="right"/>
      </w:pPr>
      <w:r>
        <w:rPr>
          <w:sz w:val="20"/>
        </w:rPr>
        <w:t xml:space="preserve">присоединения энергопринимающих</w:t>
      </w:r>
    </w:p>
    <w:p>
      <w:pPr>
        <w:pStyle w:val="0"/>
        <w:jc w:val="right"/>
      </w:pPr>
      <w:r>
        <w:rPr>
          <w:sz w:val="20"/>
        </w:rPr>
        <w:t xml:space="preserve">устройств потребителей</w:t>
      </w:r>
    </w:p>
    <w:p>
      <w:pPr>
        <w:pStyle w:val="0"/>
        <w:jc w:val="right"/>
      </w:pPr>
      <w:r>
        <w:rPr>
          <w:sz w:val="20"/>
        </w:rPr>
        <w:t xml:space="preserve">электрической энергии, объектов</w:t>
      </w:r>
    </w:p>
    <w:p>
      <w:pPr>
        <w:pStyle w:val="0"/>
        <w:jc w:val="right"/>
      </w:pPr>
      <w:r>
        <w:rPr>
          <w:sz w:val="20"/>
        </w:rPr>
        <w:t xml:space="preserve">по производству электрической</w:t>
      </w:r>
    </w:p>
    <w:p>
      <w:pPr>
        <w:pStyle w:val="0"/>
        <w:jc w:val="right"/>
      </w:pPr>
      <w:r>
        <w:rPr>
          <w:sz w:val="20"/>
        </w:rPr>
        <w:t xml:space="preserve">энергии, а также объектов</w:t>
      </w:r>
    </w:p>
    <w:p>
      <w:pPr>
        <w:pStyle w:val="0"/>
        <w:jc w:val="right"/>
      </w:pPr>
      <w:r>
        <w:rPr>
          <w:sz w:val="20"/>
        </w:rPr>
        <w:t xml:space="preserve">электросетевого хозяйства,</w:t>
      </w:r>
    </w:p>
    <w:p>
      <w:pPr>
        <w:pStyle w:val="0"/>
        <w:jc w:val="right"/>
      </w:pPr>
      <w:r>
        <w:rPr>
          <w:sz w:val="20"/>
        </w:rPr>
        <w:t xml:space="preserve">принадлежащих сетевым организациям</w:t>
      </w:r>
    </w:p>
    <w:p>
      <w:pPr>
        <w:pStyle w:val="0"/>
        <w:jc w:val="right"/>
      </w:pPr>
      <w:r>
        <w:rPr>
          <w:sz w:val="20"/>
        </w:rPr>
        <w:t xml:space="preserve">и иным лицам, к электрическим сетям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1148" w:tooltip="Постановление Правительства РФ от 30.06.2022 N 1178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color w:val="392c69"/>
              </w:rPr>
              <w:t xml:space="preserve"> Правительства РФ от 30.06.2022 N 1178)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5871" w:name="P5871"/>
    <w:bookmarkEnd w:id="5871"/>
    <w:p>
      <w:pPr>
        <w:pStyle w:val="0"/>
        <w:jc w:val="center"/>
      </w:pPr>
      <w:r>
        <w:rPr>
          <w:sz w:val="20"/>
        </w:rPr>
        <w:t xml:space="preserve">УСЛОВИЯ</w:t>
      </w:r>
    </w:p>
    <w:p>
      <w:pPr>
        <w:pStyle w:val="0"/>
        <w:jc w:val="center"/>
      </w:pPr>
      <w:r>
        <w:rPr>
          <w:sz w:val="20"/>
        </w:rPr>
        <w:t xml:space="preserve">типового договора об осуществлении технологического</w:t>
      </w:r>
    </w:p>
    <w:p>
      <w:pPr>
        <w:pStyle w:val="0"/>
        <w:jc w:val="center"/>
      </w:pPr>
      <w:r>
        <w:rPr>
          <w:sz w:val="20"/>
        </w:rPr>
        <w:t xml:space="preserve">присоединения к электрическим сетям</w:t>
      </w:r>
    </w:p>
    <w:p>
      <w:pPr>
        <w:pStyle w:val="0"/>
        <w:jc w:val="both"/>
      </w:pPr>
      <w:r>
        <w:rPr>
          <w:sz w:val="20"/>
        </w:rPr>
      </w:r>
    </w:p>
    <w:p>
      <w:pPr>
        <w:pStyle w:val="0"/>
        <w:outlineLvl w:val="2"/>
        <w:jc w:val="center"/>
      </w:pPr>
      <w:r>
        <w:rPr>
          <w:sz w:val="20"/>
        </w:rPr>
        <w:t xml:space="preserve">I. Предмет договора</w:t>
      </w:r>
    </w:p>
    <w:p>
      <w:pPr>
        <w:pStyle w:val="0"/>
        <w:jc w:val="both"/>
      </w:pPr>
      <w:r>
        <w:rPr>
          <w:sz w:val="20"/>
        </w:rPr>
      </w:r>
    </w:p>
    <w:p>
      <w:pPr>
        <w:pStyle w:val="1"/>
        <w:jc w:val="both"/>
      </w:pPr>
      <w:r>
        <w:rPr>
          <w:sz w:val="20"/>
        </w:rPr>
        <w:t xml:space="preserve">    1. Сетевая организация принимает на себя обязательства по осуществлению</w:t>
      </w:r>
    </w:p>
    <w:p>
      <w:pPr>
        <w:pStyle w:val="1"/>
        <w:jc w:val="both"/>
      </w:pPr>
      <w:r>
        <w:rPr>
          <w:sz w:val="20"/>
        </w:rPr>
        <w:t xml:space="preserve">технологического   присоединения   энергопринимающих  устройств  заявителя</w:t>
      </w:r>
    </w:p>
    <w:p>
      <w:pPr>
        <w:pStyle w:val="1"/>
        <w:jc w:val="both"/>
      </w:pPr>
      <w:r>
        <w:rPr>
          <w:sz w:val="20"/>
        </w:rPr>
        <w:t xml:space="preserve">(далее             -             технологическое             присоединение)</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энергопринимающих устройств)</w:t>
      </w:r>
    </w:p>
    <w:p>
      <w:pPr>
        <w:pStyle w:val="1"/>
        <w:jc w:val="both"/>
      </w:pPr>
      <w:r>
        <w:rPr>
          <w:sz w:val="20"/>
        </w:rPr>
        <w:t xml:space="preserve">в  том  числе  по обеспечению готовности объектов электросетевого хозяйства</w:t>
      </w:r>
    </w:p>
    <w:p>
      <w:pPr>
        <w:pStyle w:val="1"/>
        <w:jc w:val="both"/>
      </w:pPr>
      <w:r>
        <w:rPr>
          <w:sz w:val="20"/>
        </w:rPr>
        <w:t xml:space="preserve">(включая  их  проектирование, строительство, реконструкцию) к присоединению</w:t>
      </w:r>
    </w:p>
    <w:p>
      <w:pPr>
        <w:pStyle w:val="1"/>
        <w:jc w:val="both"/>
      </w:pPr>
      <w:r>
        <w:rPr>
          <w:sz w:val="20"/>
        </w:rPr>
        <w:t xml:space="preserve">энергопринимающих  устройств,  урегулированию отношений с третьими лицами в</w:t>
      </w:r>
    </w:p>
    <w:p>
      <w:pPr>
        <w:pStyle w:val="1"/>
        <w:jc w:val="both"/>
      </w:pPr>
      <w:r>
        <w:rPr>
          <w:sz w:val="20"/>
        </w:rPr>
        <w:t xml:space="preserve">случае    необходимости    строительства   (модернизации)   такими   лицами</w:t>
      </w:r>
    </w:p>
    <w:p>
      <w:pPr>
        <w:pStyle w:val="1"/>
        <w:jc w:val="both"/>
      </w:pPr>
      <w:r>
        <w:rPr>
          <w:sz w:val="20"/>
        </w:rPr>
        <w:t xml:space="preserve">принадлежащих  им  объектов  электросетевого  хозяйства  (энергопринимающих</w:t>
      </w:r>
    </w:p>
    <w:p>
      <w:pPr>
        <w:pStyle w:val="1"/>
        <w:jc w:val="both"/>
      </w:pPr>
      <w:r>
        <w:rPr>
          <w:sz w:val="20"/>
        </w:rPr>
        <w:t xml:space="preserve">устройств, объектов электроэнергетики), с учетом следующих характеристик:</w:t>
      </w:r>
    </w:p>
    <w:p>
      <w:pPr>
        <w:pStyle w:val="1"/>
        <w:jc w:val="both"/>
      </w:pPr>
      <w:r>
        <w:rPr>
          <w:sz w:val="20"/>
        </w:rPr>
        <w:t xml:space="preserve">    максимальная мощность присоединяемых энергопринимающих устройств ______</w:t>
      </w:r>
    </w:p>
    <w:p>
      <w:pPr>
        <w:pStyle w:val="1"/>
        <w:jc w:val="both"/>
      </w:pPr>
      <w:r>
        <w:rPr>
          <w:sz w:val="20"/>
        </w:rPr>
        <w:t xml:space="preserve">(кВт);</w:t>
      </w:r>
    </w:p>
    <w:p>
      <w:pPr>
        <w:pStyle w:val="1"/>
        <w:jc w:val="both"/>
      </w:pPr>
      <w:r>
        <w:rPr>
          <w:sz w:val="20"/>
        </w:rPr>
        <w:t xml:space="preserve">    категория надежности ______;</w:t>
      </w:r>
    </w:p>
    <w:p>
      <w:pPr>
        <w:pStyle w:val="1"/>
        <w:jc w:val="both"/>
      </w:pPr>
      <w:r>
        <w:rPr>
          <w:sz w:val="20"/>
        </w:rPr>
        <w:t xml:space="preserve">    класс   напряжения   электрических   сетей,  к  которым  осуществляется</w:t>
      </w:r>
    </w:p>
    <w:p>
      <w:pPr>
        <w:pStyle w:val="1"/>
        <w:jc w:val="both"/>
      </w:pPr>
      <w:r>
        <w:rPr>
          <w:sz w:val="20"/>
        </w:rPr>
        <w:t xml:space="preserve">технологическое присоединение ______ (кВ);</w:t>
      </w:r>
    </w:p>
    <w:p>
      <w:pPr>
        <w:pStyle w:val="1"/>
        <w:jc w:val="both"/>
      </w:pPr>
      <w:r>
        <w:rPr>
          <w:sz w:val="20"/>
        </w:rPr>
        <w:t xml:space="preserve">    максимальная  мощность ранее присоединенных энергопринимающих устройств</w:t>
      </w:r>
    </w:p>
    <w:p>
      <w:pPr>
        <w:pStyle w:val="1"/>
        <w:jc w:val="both"/>
      </w:pPr>
      <w:r>
        <w:rPr>
          <w:sz w:val="20"/>
        </w:rPr>
        <w:t xml:space="preserve">______ кВт.</w:t>
      </w:r>
    </w:p>
    <w:p>
      <w:pPr>
        <w:pStyle w:val="1"/>
        <w:jc w:val="both"/>
      </w:pPr>
      <w:r>
        <w:rPr>
          <w:sz w:val="20"/>
        </w:rPr>
        <w:t xml:space="preserve">    Заявитель обязуется оплатить расходы на технологическое присоединение в</w:t>
      </w:r>
    </w:p>
    <w:p>
      <w:pPr>
        <w:pStyle w:val="1"/>
        <w:jc w:val="both"/>
      </w:pPr>
      <w:r>
        <w:rPr>
          <w:sz w:val="20"/>
        </w:rPr>
        <w:t xml:space="preserve">соответствии   с   условиями  договора  об  осуществлении  технологического</w:t>
      </w:r>
    </w:p>
    <w:p>
      <w:pPr>
        <w:pStyle w:val="1"/>
        <w:jc w:val="both"/>
      </w:pPr>
      <w:r>
        <w:rPr>
          <w:sz w:val="20"/>
        </w:rPr>
        <w:t xml:space="preserve">присоединения  к электрическим сетям (далее - договор). Сетевая организация</w:t>
      </w:r>
    </w:p>
    <w:p>
      <w:pPr>
        <w:pStyle w:val="1"/>
        <w:jc w:val="both"/>
      </w:pPr>
      <w:r>
        <w:rPr>
          <w:sz w:val="20"/>
        </w:rPr>
        <w:t xml:space="preserve">и заявитель являются сторонами договора (далее - стороны).</w:t>
      </w:r>
    </w:p>
    <w:p>
      <w:pPr>
        <w:pStyle w:val="1"/>
        <w:jc w:val="both"/>
      </w:pPr>
      <w:r>
        <w:rPr>
          <w:sz w:val="20"/>
        </w:rPr>
        <w:t xml:space="preserve">    2.   Технологическое   присоединение  необходимо  для  электроснабжения</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объектов заявителя)</w:t>
      </w:r>
    </w:p>
    <w:p>
      <w:pPr>
        <w:pStyle w:val="1"/>
        <w:jc w:val="both"/>
      </w:pPr>
      <w:r>
        <w:rPr>
          <w:sz w:val="20"/>
        </w:rPr>
        <w:t xml:space="preserve">расположенных (которые будут располагаться) ______________________________.</w:t>
      </w:r>
    </w:p>
    <w:p>
      <w:pPr>
        <w:pStyle w:val="1"/>
        <w:jc w:val="both"/>
      </w:pPr>
      <w:r>
        <w:rPr>
          <w:sz w:val="20"/>
        </w:rPr>
        <w:t xml:space="preserve">                                              (место нахождения объектов</w:t>
      </w:r>
    </w:p>
    <w:p>
      <w:pPr>
        <w:pStyle w:val="1"/>
        <w:jc w:val="both"/>
      </w:pPr>
      <w:r>
        <w:rPr>
          <w:sz w:val="20"/>
        </w:rPr>
        <w:t xml:space="preserve">                                                      заявителя)</w:t>
      </w:r>
    </w:p>
    <w:p>
      <w:pPr>
        <w:pStyle w:val="1"/>
        <w:jc w:val="both"/>
      </w:pPr>
      <w:r>
        <w:rPr>
          <w:sz w:val="20"/>
        </w:rPr>
        <w:t xml:space="preserve">    3.  Точка  (точки)  присоединения  указана  в  технических условиях для</w:t>
      </w:r>
    </w:p>
    <w:p>
      <w:pPr>
        <w:pStyle w:val="1"/>
        <w:jc w:val="both"/>
      </w:pPr>
      <w:r>
        <w:rPr>
          <w:sz w:val="20"/>
        </w:rPr>
        <w:t xml:space="preserve">присоединения  к  электрическим  сетям  (далее  -  технические  условия)  и</w:t>
      </w:r>
    </w:p>
    <w:p>
      <w:pPr>
        <w:pStyle w:val="1"/>
        <w:jc w:val="both"/>
      </w:pPr>
      <w:r>
        <w:rPr>
          <w:sz w:val="20"/>
        </w:rPr>
        <w:t xml:space="preserve">располагается   на   расстоянии  ________  метров   от   границы    участка</w:t>
      </w:r>
    </w:p>
    <w:p>
      <w:pPr>
        <w:pStyle w:val="1"/>
        <w:jc w:val="both"/>
      </w:pPr>
      <w:r>
        <w:rPr>
          <w:sz w:val="20"/>
        </w:rPr>
        <w:t xml:space="preserve">заявителя,    на    котором     располагаются     (будут     располагаться)</w:t>
      </w:r>
    </w:p>
    <w:p>
      <w:pPr>
        <w:pStyle w:val="1"/>
        <w:jc w:val="both"/>
      </w:pPr>
      <w:r>
        <w:rPr>
          <w:sz w:val="20"/>
        </w:rPr>
        <w:t xml:space="preserve">присоединяемые объекты заявителя.</w:t>
      </w:r>
    </w:p>
    <w:p>
      <w:pPr>
        <w:pStyle w:val="1"/>
        <w:jc w:val="both"/>
      </w:pPr>
      <w:r>
        <w:rPr>
          <w:sz w:val="20"/>
        </w:rPr>
        <w:t xml:space="preserve">    4. Технические условия являются неотъемлемой частью договора.</w:t>
      </w:r>
    </w:p>
    <w:p>
      <w:pPr>
        <w:pStyle w:val="1"/>
        <w:jc w:val="both"/>
      </w:pPr>
      <w:r>
        <w:rPr>
          <w:sz w:val="20"/>
        </w:rPr>
        <w:t xml:space="preserve">    Срок  действия  технических  условий  составляет  ____________  со  дня</w:t>
      </w:r>
    </w:p>
    <w:p>
      <w:pPr>
        <w:pStyle w:val="1"/>
        <w:jc w:val="both"/>
      </w:pPr>
      <w:r>
        <w:rPr>
          <w:sz w:val="20"/>
        </w:rPr>
        <w:t xml:space="preserve">заключения настоящего договора.</w:t>
      </w:r>
    </w:p>
    <w:bookmarkStart w:id="5913" w:name="P5913"/>
    <w:bookmarkEnd w:id="5913"/>
    <w:p>
      <w:pPr>
        <w:pStyle w:val="1"/>
        <w:jc w:val="both"/>
      </w:pPr>
      <w:r>
        <w:rPr>
          <w:sz w:val="20"/>
        </w:rPr>
        <w:t xml:space="preserve">    5.   Срок  выполнения  мероприятий  по  технологическому  присоединению</w:t>
      </w:r>
    </w:p>
    <w:p>
      <w:pPr>
        <w:pStyle w:val="1"/>
        <w:jc w:val="both"/>
      </w:pPr>
      <w:r>
        <w:rPr>
          <w:sz w:val="20"/>
        </w:rPr>
        <w:t xml:space="preserve">составляет ________ со дня заключения договора.</w:t>
      </w:r>
    </w:p>
    <w:p>
      <w:pPr>
        <w:pStyle w:val="0"/>
        <w:jc w:val="both"/>
      </w:pPr>
      <w:r>
        <w:rPr>
          <w:sz w:val="20"/>
        </w:rPr>
      </w:r>
    </w:p>
    <w:p>
      <w:pPr>
        <w:pStyle w:val="0"/>
        <w:outlineLvl w:val="2"/>
        <w:jc w:val="center"/>
      </w:pPr>
      <w:r>
        <w:rPr>
          <w:sz w:val="20"/>
        </w:rPr>
        <w:t xml:space="preserve">II. Обязанности сторон</w:t>
      </w:r>
    </w:p>
    <w:p>
      <w:pPr>
        <w:pStyle w:val="0"/>
        <w:jc w:val="both"/>
      </w:pPr>
      <w:r>
        <w:rPr>
          <w:sz w:val="20"/>
        </w:rPr>
      </w:r>
    </w:p>
    <w:p>
      <w:pPr>
        <w:pStyle w:val="0"/>
        <w:ind w:firstLine="540"/>
        <w:jc w:val="both"/>
      </w:pPr>
      <w:r>
        <w:rPr>
          <w:sz w:val="20"/>
        </w:rPr>
        <w:t xml:space="preserve">6. Сетевая организация обязуется:</w:t>
      </w:r>
    </w:p>
    <w:p>
      <w:pPr>
        <w:pStyle w:val="0"/>
        <w:spacing w:before="200" w:line-rule="auto"/>
        <w:ind w:firstLine="540"/>
        <w:jc w:val="both"/>
      </w:pPr>
      <w:r>
        <w:rPr>
          <w:sz w:val="20"/>
        </w:rP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bookmarkStart w:id="5920" w:name="P5920"/>
    <w:bookmarkEnd w:id="5920"/>
    <w:p>
      <w:pPr>
        <w:pStyle w:val="0"/>
        <w:spacing w:before="200" w:line-rule="auto"/>
        <w:ind w:firstLine="540"/>
        <w:jc w:val="both"/>
      </w:pPr>
      <w:r>
        <w:rPr>
          <w:sz w:val="20"/>
        </w:rPr>
        <w:t xml:space="preserve">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w:t>
      </w:r>
    </w:p>
    <w:p>
      <w:pPr>
        <w:pStyle w:val="0"/>
        <w:spacing w:before="200" w:line-rule="auto"/>
        <w:ind w:firstLine="540"/>
        <w:jc w:val="both"/>
      </w:pPr>
      <w:r>
        <w:rPr>
          <w:sz w:val="20"/>
        </w:rPr>
        <w:t xml:space="preserve">не позднее _____ рабочих дней со дня проведения осмотра (обследования), указанного в </w:t>
      </w:r>
      <w:hyperlink w:history="0" w:anchor="P5920" w:tooltip="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
        <w:r>
          <w:rPr>
            <w:sz w:val="20"/>
            <w:color w:val="0000ff"/>
          </w:rPr>
          <w:t xml:space="preserve">абзаце третьем</w:t>
        </w:r>
      </w:hyperlink>
      <w:r>
        <w:rPr>
          <w:sz w:val="20"/>
        </w:rPr>
        <w:t xml:space="preserve"> настоящего пункта, с соблюдением срока, установленного </w:t>
      </w:r>
      <w:hyperlink w:history="0" w:anchor="P5913" w:tooltip="    5.   Срок  выполнения  мероприятий  по  технологическому  присоединению">
        <w:r>
          <w:rPr>
            <w:sz w:val="20"/>
            <w:color w:val="0000ff"/>
          </w:rPr>
          <w:t xml:space="preserve">пунктом 5</w:t>
        </w:r>
      </w:hyperlink>
      <w:r>
        <w:rPr>
          <w:sz w:val="20"/>
        </w:rP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pPr>
        <w:pStyle w:val="0"/>
        <w:spacing w:before="200" w:line-rule="auto"/>
        <w:ind w:firstLine="540"/>
        <w:jc w:val="both"/>
      </w:pPr>
      <w:r>
        <w:rPr>
          <w:sz w:val="20"/>
        </w:rPr>
        <w:t xml:space="preserve">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pPr>
        <w:pStyle w:val="0"/>
        <w:spacing w:before="200" w:line-rule="auto"/>
        <w:ind w:firstLine="540"/>
        <w:jc w:val="both"/>
      </w:pPr>
      <w:r>
        <w:rPr>
          <w:sz w:val="20"/>
        </w:rPr>
        <w:t xml:space="preserve">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pPr>
        <w:pStyle w:val="0"/>
        <w:spacing w:before="200" w:line-rule="auto"/>
        <w:ind w:firstLine="540"/>
        <w:jc w:val="both"/>
      </w:pPr>
      <w:r>
        <w:rPr>
          <w:sz w:val="20"/>
        </w:rPr>
        <w:t xml:space="preserve">8. Заявитель обязуется:</w:t>
      </w:r>
    </w:p>
    <w:p>
      <w:pPr>
        <w:pStyle w:val="0"/>
        <w:spacing w:before="200" w:line-rule="auto"/>
        <w:ind w:firstLine="540"/>
        <w:jc w:val="both"/>
      </w:pPr>
      <w:r>
        <w:rPr>
          <w:sz w:val="20"/>
        </w:rP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pPr>
        <w:pStyle w:val="0"/>
        <w:spacing w:before="200" w:line-rule="auto"/>
        <w:ind w:firstLine="540"/>
        <w:jc w:val="both"/>
      </w:pPr>
      <w:r>
        <w:rPr>
          <w:sz w:val="20"/>
        </w:rPr>
        <w:t xml:space="preserve">в случае осуществления технологического присоединения энергопринимающих устройств на уровне напряжения выше 0,4 кВ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pPr>
        <w:pStyle w:val="0"/>
        <w:spacing w:before="200" w:line-rule="auto"/>
        <w:ind w:firstLine="540"/>
        <w:jc w:val="both"/>
      </w:pPr>
      <w:r>
        <w:rPr>
          <w:sz w:val="20"/>
        </w:rPr>
        <w:t xml:space="preserve">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pPr>
        <w:pStyle w:val="0"/>
        <w:spacing w:before="200" w:line-rule="auto"/>
        <w:ind w:firstLine="540"/>
        <w:jc w:val="both"/>
      </w:pPr>
      <w:r>
        <w:rPr>
          <w:sz w:val="20"/>
        </w:rP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pPr>
        <w:pStyle w:val="0"/>
        <w:spacing w:before="200" w:line-rule="auto"/>
        <w:ind w:firstLine="540"/>
        <w:jc w:val="both"/>
      </w:pPr>
      <w:r>
        <w:rPr>
          <w:sz w:val="20"/>
        </w:rPr>
        <w:t xml:space="preserve">надлежащим образом исполнять указанные в </w:t>
      </w:r>
      <w:hyperlink w:history="0" w:anchor="P5933" w:tooltip="III. Плата за технологическое присоединение">
        <w:r>
          <w:rPr>
            <w:sz w:val="20"/>
            <w:color w:val="0000ff"/>
          </w:rPr>
          <w:t xml:space="preserve">разделе III</w:t>
        </w:r>
      </w:hyperlink>
      <w:r>
        <w:rPr>
          <w:sz w:val="20"/>
        </w:rPr>
        <w:t xml:space="preserve"> настоящего договора обязательства по оплате расходов на технологическое присоединение;</w:t>
      </w:r>
    </w:p>
    <w:p>
      <w:pPr>
        <w:pStyle w:val="0"/>
        <w:spacing w:before="200" w:line-rule="auto"/>
        <w:ind w:firstLine="540"/>
        <w:jc w:val="both"/>
      </w:pPr>
      <w:r>
        <w:rPr>
          <w:sz w:val="20"/>
        </w:rPr>
        <w:t xml:space="preserve">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pPr>
        <w:pStyle w:val="0"/>
        <w:spacing w:before="200" w:line-rule="auto"/>
        <w:ind w:firstLine="540"/>
        <w:jc w:val="both"/>
      </w:pPr>
      <w:r>
        <w:rPr>
          <w:sz w:val="20"/>
        </w:rPr>
        <w:t xml:space="preserve">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pPr>
        <w:pStyle w:val="0"/>
        <w:jc w:val="both"/>
      </w:pPr>
      <w:r>
        <w:rPr>
          <w:sz w:val="20"/>
        </w:rPr>
      </w:r>
    </w:p>
    <w:bookmarkStart w:id="5933" w:name="P5933"/>
    <w:bookmarkEnd w:id="5933"/>
    <w:p>
      <w:pPr>
        <w:pStyle w:val="0"/>
        <w:outlineLvl w:val="2"/>
        <w:jc w:val="center"/>
      </w:pPr>
      <w:r>
        <w:rPr>
          <w:sz w:val="20"/>
        </w:rPr>
        <w:t xml:space="preserve">III. Плата за технологическое присоединение</w:t>
      </w:r>
    </w:p>
    <w:p>
      <w:pPr>
        <w:pStyle w:val="0"/>
        <w:jc w:val="center"/>
      </w:pPr>
      <w:r>
        <w:rPr>
          <w:sz w:val="20"/>
        </w:rPr>
        <w:t xml:space="preserve">и порядок расчетов</w:t>
      </w:r>
    </w:p>
    <w:p>
      <w:pPr>
        <w:pStyle w:val="0"/>
        <w:jc w:val="both"/>
      </w:pPr>
      <w:r>
        <w:rPr>
          <w:sz w:val="20"/>
        </w:rPr>
      </w:r>
    </w:p>
    <w:p>
      <w:pPr>
        <w:pStyle w:val="1"/>
        <w:jc w:val="both"/>
      </w:pPr>
      <w:r>
        <w:rPr>
          <w:sz w:val="20"/>
        </w:rPr>
        <w:t xml:space="preserve">    10. Размер   платы   за   технологическое   присоединение  определяется</w:t>
      </w:r>
    </w:p>
    <w:p>
      <w:pPr>
        <w:pStyle w:val="1"/>
        <w:jc w:val="both"/>
      </w:pPr>
      <w:r>
        <w:rPr>
          <w:sz w:val="20"/>
        </w:rPr>
        <w:t xml:space="preserve">в соответствии с решением _________________________________________________</w:t>
      </w:r>
    </w:p>
    <w:p>
      <w:pPr>
        <w:pStyle w:val="1"/>
        <w:jc w:val="both"/>
      </w:pPr>
      <w:r>
        <w:rPr>
          <w:sz w:val="20"/>
        </w:rPr>
        <w:t xml:space="preserve">                             (наименование органа исполнительной власти</w:t>
      </w:r>
    </w:p>
    <w:p>
      <w:pPr>
        <w:pStyle w:val="1"/>
        <w:jc w:val="both"/>
      </w:pPr>
      <w:r>
        <w:rPr>
          <w:sz w:val="20"/>
        </w:rPr>
        <w:t xml:space="preserve">                          в области государственного регулирования тарифов)</w:t>
      </w:r>
    </w:p>
    <w:p>
      <w:pPr>
        <w:pStyle w:val="1"/>
        <w:jc w:val="both"/>
      </w:pPr>
      <w:r>
        <w:rPr>
          <w:sz w:val="20"/>
        </w:rPr>
        <w:t xml:space="preserve">от ______________ N ______ и составляет _________________ рублей __ копеек.</w:t>
      </w:r>
    </w:p>
    <w:p>
      <w:pPr>
        <w:pStyle w:val="0"/>
        <w:ind w:firstLine="540"/>
        <w:jc w:val="both"/>
      </w:pPr>
      <w:r>
        <w:rPr>
          <w:sz w:val="20"/>
        </w:rPr>
        <w:t xml:space="preserve">11. Внесение платы за технологическое присоединение осуществляется заявителем в порядке, предусмотренном </w:t>
      </w:r>
      <w:hyperlink w:history="0" w:anchor="P835" w:tooltip="ПРАВИЛА">
        <w:r>
          <w:rPr>
            <w:sz w:val="20"/>
            <w:color w:val="0000ff"/>
          </w:rPr>
          <w:t xml:space="preserve">Правилами</w:t>
        </w:r>
      </w:hyperlink>
      <w:r>
        <w:rPr>
          <w:sz w:val="20"/>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pStyle w:val="0"/>
        <w:spacing w:before="200" w:line-rule="auto"/>
        <w:ind w:firstLine="540"/>
        <w:jc w:val="both"/>
      </w:pPr>
      <w:r>
        <w:rPr>
          <w:sz w:val="20"/>
        </w:rPr>
        <w:t xml:space="preserve">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pPr>
        <w:pStyle w:val="0"/>
        <w:jc w:val="both"/>
      </w:pPr>
      <w:r>
        <w:rPr>
          <w:sz w:val="20"/>
        </w:rPr>
      </w:r>
    </w:p>
    <w:p>
      <w:pPr>
        <w:pStyle w:val="0"/>
        <w:outlineLvl w:val="2"/>
        <w:jc w:val="center"/>
      </w:pPr>
      <w:r>
        <w:rPr>
          <w:sz w:val="20"/>
        </w:rPr>
        <w:t xml:space="preserve">IV. Разграничение балансовой принадлежности электрических</w:t>
      </w:r>
    </w:p>
    <w:p>
      <w:pPr>
        <w:pStyle w:val="0"/>
        <w:jc w:val="center"/>
      </w:pPr>
      <w:r>
        <w:rPr>
          <w:sz w:val="20"/>
        </w:rPr>
        <w:t xml:space="preserve">сетей и эксплуатационной ответственности сторон</w:t>
      </w:r>
    </w:p>
    <w:p>
      <w:pPr>
        <w:pStyle w:val="0"/>
        <w:jc w:val="both"/>
      </w:pPr>
      <w:r>
        <w:rPr>
          <w:sz w:val="20"/>
        </w:rPr>
      </w:r>
    </w:p>
    <w:p>
      <w:pPr>
        <w:pStyle w:val="0"/>
        <w:ind w:firstLine="540"/>
        <w:jc w:val="both"/>
      </w:pPr>
      <w:r>
        <w:rPr>
          <w:sz w:val="20"/>
        </w:rPr>
        <w:t xml:space="preserve">13. Заявитель несет балансовую и эксплуатационную ответственность до точки присоединения энергопринимающих устройств заявителя.</w:t>
      </w:r>
    </w:p>
    <w:p>
      <w:pPr>
        <w:pStyle w:val="0"/>
        <w:jc w:val="both"/>
      </w:pPr>
      <w:r>
        <w:rPr>
          <w:sz w:val="20"/>
        </w:rPr>
      </w:r>
    </w:p>
    <w:p>
      <w:pPr>
        <w:pStyle w:val="0"/>
        <w:outlineLvl w:val="2"/>
        <w:jc w:val="center"/>
      </w:pPr>
      <w:r>
        <w:rPr>
          <w:sz w:val="20"/>
        </w:rPr>
        <w:t xml:space="preserve">V. Условия изменения, расторжения договора</w:t>
      </w:r>
    </w:p>
    <w:p>
      <w:pPr>
        <w:pStyle w:val="0"/>
        <w:jc w:val="center"/>
      </w:pPr>
      <w:r>
        <w:rPr>
          <w:sz w:val="20"/>
        </w:rPr>
        <w:t xml:space="preserve">и ответственность сторон</w:t>
      </w:r>
    </w:p>
    <w:p>
      <w:pPr>
        <w:pStyle w:val="0"/>
        <w:jc w:val="both"/>
      </w:pPr>
      <w:r>
        <w:rPr>
          <w:sz w:val="20"/>
        </w:rPr>
      </w:r>
    </w:p>
    <w:p>
      <w:pPr>
        <w:pStyle w:val="0"/>
        <w:ind w:firstLine="540"/>
        <w:jc w:val="both"/>
      </w:pPr>
      <w:r>
        <w:rPr>
          <w:sz w:val="20"/>
        </w:rPr>
        <w:t xml:space="preserve">14. Настоящий договор может быть изменен по письменному соглашению сторон или в судебном порядке.</w:t>
      </w:r>
    </w:p>
    <w:p>
      <w:pPr>
        <w:pStyle w:val="0"/>
        <w:spacing w:before="200" w:line-rule="auto"/>
        <w:ind w:firstLine="540"/>
        <w:jc w:val="both"/>
      </w:pPr>
      <w:r>
        <w:rPr>
          <w:sz w:val="20"/>
        </w:rPr>
        <w:t xml:space="preserve">15. Договор может быть расторгнут по требованию одной из сторон по основаниям, предусмотренным Гражданским </w:t>
      </w:r>
      <w:hyperlink w:history="0" r:id="rId1149" w:tooltip="&quot;Гражданский кодекс Российской Федерации (часть первая)&quot; от 30.11.1994 N 51-ФЗ (ред. от 25.02.2022)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16. Заявитель вправе при нарушении сетевой организацией указанных в договоре сроков технологического присоединения в одностороннем порядке расторгнуть договор.</w:t>
      </w:r>
    </w:p>
    <w:p>
      <w:pPr>
        <w:pStyle w:val="0"/>
        <w:spacing w:before="200" w:line-rule="auto"/>
        <w:ind w:firstLine="540"/>
        <w:jc w:val="both"/>
      </w:pPr>
      <w:r>
        <w:rPr>
          <w:sz w:val="20"/>
        </w:rPr>
        <w:t xml:space="preserve">Нарушение заявителем установленного договором срока осуществления мероприятий по технологическому присоединению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по договору,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bookmarkStart w:id="5956" w:name="P5956"/>
    <w:bookmarkEnd w:id="5956"/>
    <w:p>
      <w:pPr>
        <w:pStyle w:val="0"/>
        <w:spacing w:before="200" w:line-rule="auto"/>
        <w:ind w:firstLine="540"/>
        <w:jc w:val="both"/>
      </w:pPr>
      <w:r>
        <w:rPr>
          <w:sz w:val="20"/>
        </w:rPr>
        <w:t xml:space="preserve">17. Сторона,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указанного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bookmarkStart w:id="5957" w:name="P5957"/>
    <w:bookmarkEnd w:id="5957"/>
    <w:p>
      <w:pPr>
        <w:pStyle w:val="0"/>
        <w:spacing w:before="200" w:line-rule="auto"/>
        <w:ind w:firstLine="540"/>
        <w:jc w:val="both"/>
      </w:pPr>
      <w:r>
        <w:rPr>
          <w:sz w:val="20"/>
        </w:rPr>
        <w:t xml:space="preserve">Сторона,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history="0" w:anchor="P5956" w:tooltip="17. Сторон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указанного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
        <w:r>
          <w:rPr>
            <w:sz w:val="20"/>
            <w:color w:val="0000ff"/>
          </w:rPr>
          <w:t xml:space="preserve">абзацем первым</w:t>
        </w:r>
      </w:hyperlink>
      <w:r>
        <w:rPr>
          <w:sz w:val="20"/>
        </w:rPr>
        <w:t xml:space="preserve"> или </w:t>
      </w:r>
      <w:hyperlink w:history="0" w:anchor="P5957" w:tooltip="Сторон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абзацем первым или вторым настоящего пункта, в случае необоснованного уклонения либо отказа от ее уплаты.">
        <w:r>
          <w:rPr>
            <w:sz w:val="20"/>
            <w:color w:val="0000ff"/>
          </w:rPr>
          <w:t xml:space="preserve">вторым</w:t>
        </w:r>
      </w:hyperlink>
      <w:r>
        <w:rPr>
          <w:sz w:val="20"/>
        </w:rPr>
        <w:t xml:space="preserve"> настоящего пункта, в случае необоснованного уклонения либо отказа от ее уплаты.</w:t>
      </w:r>
    </w:p>
    <w:p>
      <w:pPr>
        <w:pStyle w:val="0"/>
        <w:spacing w:before="200" w:line-rule="auto"/>
        <w:ind w:firstLine="540"/>
        <w:jc w:val="both"/>
      </w:pPr>
      <w:r>
        <w:rPr>
          <w:sz w:val="20"/>
        </w:rPr>
        <w:t xml:space="preserve">18.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19.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возникших после подписания сторонами договора и оказывающих непосредственное воздействие на выполнение сторонами обязательств по договору.</w:t>
      </w:r>
    </w:p>
    <w:p>
      <w:pPr>
        <w:pStyle w:val="0"/>
        <w:jc w:val="both"/>
      </w:pPr>
      <w:r>
        <w:rPr>
          <w:sz w:val="20"/>
        </w:rPr>
      </w:r>
    </w:p>
    <w:p>
      <w:pPr>
        <w:pStyle w:val="0"/>
        <w:outlineLvl w:val="2"/>
        <w:jc w:val="center"/>
      </w:pPr>
      <w:r>
        <w:rPr>
          <w:sz w:val="20"/>
        </w:rPr>
        <w:t xml:space="preserve">VI. Порядок разрешения споров</w:t>
      </w:r>
    </w:p>
    <w:p>
      <w:pPr>
        <w:pStyle w:val="0"/>
        <w:jc w:val="both"/>
      </w:pPr>
      <w:r>
        <w:rPr>
          <w:sz w:val="20"/>
        </w:rPr>
      </w:r>
    </w:p>
    <w:p>
      <w:pPr>
        <w:pStyle w:val="0"/>
        <w:ind w:firstLine="540"/>
        <w:jc w:val="both"/>
      </w:pPr>
      <w:r>
        <w:rPr>
          <w:sz w:val="20"/>
        </w:rPr>
        <w:t xml:space="preserve">20. Споры, которые могут возникнуть при исполнении, изменении и расторжении договора, стороны разрешают в соответствии с законодательством Российской Федерации.</w:t>
      </w:r>
    </w:p>
    <w:p>
      <w:pPr>
        <w:pStyle w:val="0"/>
        <w:jc w:val="both"/>
      </w:pPr>
      <w:r>
        <w:rPr>
          <w:sz w:val="20"/>
        </w:rPr>
      </w:r>
    </w:p>
    <w:p>
      <w:pPr>
        <w:pStyle w:val="0"/>
        <w:outlineLvl w:val="2"/>
        <w:jc w:val="center"/>
      </w:pPr>
      <w:r>
        <w:rPr>
          <w:sz w:val="20"/>
        </w:rPr>
        <w:t xml:space="preserve">VII. Заключительные положения</w:t>
      </w:r>
    </w:p>
    <w:p>
      <w:pPr>
        <w:pStyle w:val="0"/>
        <w:jc w:val="both"/>
      </w:pPr>
      <w:r>
        <w:rPr>
          <w:sz w:val="20"/>
        </w:rPr>
      </w:r>
    </w:p>
    <w:p>
      <w:pPr>
        <w:pStyle w:val="0"/>
        <w:ind w:firstLine="540"/>
        <w:jc w:val="both"/>
      </w:pPr>
      <w:r>
        <w:rPr>
          <w:sz w:val="20"/>
        </w:rPr>
        <w:t xml:space="preserve">21. Договор считается заключенным со дня оплаты заявителем счета на оплату технологического присоединения по договору.</w:t>
      </w:r>
    </w:p>
    <w:p>
      <w:pPr>
        <w:pStyle w:val="0"/>
        <w:spacing w:before="200" w:line-rule="auto"/>
        <w:ind w:firstLine="540"/>
        <w:jc w:val="both"/>
      </w:pPr>
      <w:r>
        <w:rPr>
          <w:sz w:val="20"/>
        </w:rPr>
        <w:t xml:space="preserve">22. Договор составлен и подписан в двух экземплярах, по одному для каждой из сторон.</w:t>
      </w:r>
    </w:p>
    <w:p>
      <w:pPr>
        <w:pStyle w:val="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27.12.2004 N 861</w:t>
            <w:br/>
            <w:t>(ред. от 30.06.2022)</w:t>
            <w:br/>
            <w:t>"Об утверждении Правил недискриминационного дост...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11.07.2022</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РФ от 27.12.2004 N 861</w:t>
            <w:br/>
            <w:t>(ред. от 30.06.2022)</w:t>
            <w:br/>
            <w:t>"Об утверждении Правил недискриминационного дост...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11.07.2022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121489&amp;dst=100757" TargetMode = "External"/>
	<Relationship Id="rId8" Type="http://schemas.openxmlformats.org/officeDocument/2006/relationships/hyperlink" Target="https://login.consultant.ru/link/?req=doc&amp;base=LAW&amp;n=147699&amp;dst=100026" TargetMode = "External"/>
	<Relationship Id="rId9" Type="http://schemas.openxmlformats.org/officeDocument/2006/relationships/hyperlink" Target="https://login.consultant.ru/link/?req=doc&amp;base=LAW&amp;n=306350&amp;dst=100006" TargetMode = "External"/>
	<Relationship Id="rId10" Type="http://schemas.openxmlformats.org/officeDocument/2006/relationships/hyperlink" Target="https://login.consultant.ru/link/?req=doc&amp;base=LAW&amp;n=185838&amp;dst=100043" TargetMode = "External"/>
	<Relationship Id="rId11" Type="http://schemas.openxmlformats.org/officeDocument/2006/relationships/hyperlink" Target="https://login.consultant.ru/link/?req=doc&amp;base=LAW&amp;n=85029&amp;dst=100005" TargetMode = "External"/>
	<Relationship Id="rId12" Type="http://schemas.openxmlformats.org/officeDocument/2006/relationships/hyperlink" Target="https://login.consultant.ru/link/?req=doc&amp;base=LAW&amp;n=130520&amp;dst=100043" TargetMode = "External"/>
	<Relationship Id="rId13" Type="http://schemas.openxmlformats.org/officeDocument/2006/relationships/hyperlink" Target="https://login.consultant.ru/link/?req=doc&amp;base=LAW&amp;n=147703&amp;dst=100142" TargetMode = "External"/>
	<Relationship Id="rId14" Type="http://schemas.openxmlformats.org/officeDocument/2006/relationships/hyperlink" Target="https://login.consultant.ru/link/?req=doc&amp;base=LAW&amp;n=130522&amp;dst=100009" TargetMode = "External"/>
	<Relationship Id="rId15" Type="http://schemas.openxmlformats.org/officeDocument/2006/relationships/hyperlink" Target="https://login.consultant.ru/link/?req=doc&amp;base=LAW&amp;n=405154&amp;dst=100160" TargetMode = "External"/>
	<Relationship Id="rId16" Type="http://schemas.openxmlformats.org/officeDocument/2006/relationships/hyperlink" Target="https://login.consultant.ru/link/?req=doc&amp;base=LAW&amp;n=402199&amp;dst=100062" TargetMode = "External"/>
	<Relationship Id="rId17" Type="http://schemas.openxmlformats.org/officeDocument/2006/relationships/hyperlink" Target="https://login.consultant.ru/link/?req=doc&amp;base=LAW&amp;n=221672&amp;dst=100016" TargetMode = "External"/>
	<Relationship Id="rId18" Type="http://schemas.openxmlformats.org/officeDocument/2006/relationships/hyperlink" Target="https://login.consultant.ru/link/?req=doc&amp;base=LAW&amp;n=347575&amp;dst=100005" TargetMode = "External"/>
	<Relationship Id="rId19" Type="http://schemas.openxmlformats.org/officeDocument/2006/relationships/hyperlink" Target="https://login.consultant.ru/link/?req=doc&amp;base=LAW&amp;n=347570&amp;dst=100005" TargetMode = "External"/>
	<Relationship Id="rId20" Type="http://schemas.openxmlformats.org/officeDocument/2006/relationships/hyperlink" Target="https://login.consultant.ru/link/?req=doc&amp;base=LAW&amp;n=420304&amp;dst=100687" TargetMode = "External"/>
	<Relationship Id="rId21" Type="http://schemas.openxmlformats.org/officeDocument/2006/relationships/hyperlink" Target="https://login.consultant.ru/link/?req=doc&amp;base=LAW&amp;n=421276&amp;dst=101598" TargetMode = "External"/>
	<Relationship Id="rId22" Type="http://schemas.openxmlformats.org/officeDocument/2006/relationships/hyperlink" Target="https://login.consultant.ru/link/?req=doc&amp;base=LAW&amp;n=347568&amp;dst=100009" TargetMode = "External"/>
	<Relationship Id="rId23" Type="http://schemas.openxmlformats.org/officeDocument/2006/relationships/hyperlink" Target="https://login.consultant.ru/link/?req=doc&amp;base=LAW&amp;n=138223&amp;dst=100005" TargetMode = "External"/>
	<Relationship Id="rId24" Type="http://schemas.openxmlformats.org/officeDocument/2006/relationships/hyperlink" Target="https://login.consultant.ru/link/?req=doc&amp;base=LAW&amp;n=139522&amp;dst=100005" TargetMode = "External"/>
	<Relationship Id="rId25" Type="http://schemas.openxmlformats.org/officeDocument/2006/relationships/hyperlink" Target="https://login.consultant.ru/link/?req=doc&amp;base=LAW&amp;n=389696&amp;dst=100047" TargetMode = "External"/>
	<Relationship Id="rId26" Type="http://schemas.openxmlformats.org/officeDocument/2006/relationships/hyperlink" Target="https://login.consultant.ru/link/?req=doc&amp;base=LAW&amp;n=150032&amp;dst=100019" TargetMode = "External"/>
	<Relationship Id="rId27" Type="http://schemas.openxmlformats.org/officeDocument/2006/relationships/hyperlink" Target="https://login.consultant.ru/link/?req=doc&amp;base=LAW&amp;n=150237&amp;dst=100005" TargetMode = "External"/>
	<Relationship Id="rId28" Type="http://schemas.openxmlformats.org/officeDocument/2006/relationships/hyperlink" Target="https://login.consultant.ru/link/?req=doc&amp;base=LAW&amp;n=150335&amp;dst=100009" TargetMode = "External"/>
	<Relationship Id="rId29" Type="http://schemas.openxmlformats.org/officeDocument/2006/relationships/hyperlink" Target="https://login.consultant.ru/link/?req=doc&amp;base=LAW&amp;n=347571&amp;dst=100009" TargetMode = "External"/>
	<Relationship Id="rId30" Type="http://schemas.openxmlformats.org/officeDocument/2006/relationships/hyperlink" Target="https://login.consultant.ru/link/?req=doc&amp;base=LAW&amp;n=347569&amp;dst=100009" TargetMode = "External"/>
	<Relationship Id="rId31" Type="http://schemas.openxmlformats.org/officeDocument/2006/relationships/hyperlink" Target="https://login.consultant.ru/link/?req=doc&amp;base=LAW&amp;n=216721&amp;dst=100005" TargetMode = "External"/>
	<Relationship Id="rId32" Type="http://schemas.openxmlformats.org/officeDocument/2006/relationships/hyperlink" Target="https://login.consultant.ru/link/?req=doc&amp;base=LAW&amp;n=153756&amp;dst=100005" TargetMode = "External"/>
	<Relationship Id="rId33" Type="http://schemas.openxmlformats.org/officeDocument/2006/relationships/hyperlink" Target="https://login.consultant.ru/link/?req=doc&amp;base=LAW&amp;n=206324&amp;dst=100010" TargetMode = "External"/>
	<Relationship Id="rId34" Type="http://schemas.openxmlformats.org/officeDocument/2006/relationships/hyperlink" Target="https://login.consultant.ru/link/?req=doc&amp;base=LAW&amp;n=154736&amp;dst=100005" TargetMode = "External"/>
	<Relationship Id="rId35" Type="http://schemas.openxmlformats.org/officeDocument/2006/relationships/hyperlink" Target="https://login.consultant.ru/link/?req=doc&amp;base=LAW&amp;n=347574&amp;dst=100010" TargetMode = "External"/>
	<Relationship Id="rId36" Type="http://schemas.openxmlformats.org/officeDocument/2006/relationships/hyperlink" Target="https://login.consultant.ru/link/?req=doc&amp;base=LAW&amp;n=158916&amp;dst=100009" TargetMode = "External"/>
	<Relationship Id="rId37" Type="http://schemas.openxmlformats.org/officeDocument/2006/relationships/hyperlink" Target="https://login.consultant.ru/link/?req=doc&amp;base=LAW&amp;n=347566&amp;dst=100005" TargetMode = "External"/>
	<Relationship Id="rId38" Type="http://schemas.openxmlformats.org/officeDocument/2006/relationships/hyperlink" Target="https://login.consultant.ru/link/?req=doc&amp;base=LAW&amp;n=160075&amp;dst=100009" TargetMode = "External"/>
	<Relationship Id="rId39" Type="http://schemas.openxmlformats.org/officeDocument/2006/relationships/hyperlink" Target="https://login.consultant.ru/link/?req=doc&amp;base=LAW&amp;n=164293&amp;dst=100018" TargetMode = "External"/>
	<Relationship Id="rId40" Type="http://schemas.openxmlformats.org/officeDocument/2006/relationships/hyperlink" Target="https://login.consultant.ru/link/?req=doc&amp;base=LAW&amp;n=166611&amp;dst=100005" TargetMode = "External"/>
	<Relationship Id="rId41" Type="http://schemas.openxmlformats.org/officeDocument/2006/relationships/hyperlink" Target="https://login.consultant.ru/link/?req=doc&amp;base=LAW&amp;n=404424&amp;dst=100022" TargetMode = "External"/>
	<Relationship Id="rId42" Type="http://schemas.openxmlformats.org/officeDocument/2006/relationships/hyperlink" Target="https://login.consultant.ru/link/?req=doc&amp;base=LAW&amp;n=176641&amp;dst=100005" TargetMode = "External"/>
	<Relationship Id="rId43" Type="http://schemas.openxmlformats.org/officeDocument/2006/relationships/hyperlink" Target="https://login.consultant.ru/link/?req=doc&amp;base=LAW&amp;n=178054&amp;dst=100005" TargetMode = "External"/>
	<Relationship Id="rId44" Type="http://schemas.openxmlformats.org/officeDocument/2006/relationships/hyperlink" Target="https://login.consultant.ru/link/?req=doc&amp;base=LAW&amp;n=185801&amp;dst=100046" TargetMode = "External"/>
	<Relationship Id="rId45" Type="http://schemas.openxmlformats.org/officeDocument/2006/relationships/hyperlink" Target="https://login.consultant.ru/link/?req=doc&amp;base=LAW&amp;n=347572&amp;dst=100005" TargetMode = "External"/>
	<Relationship Id="rId46" Type="http://schemas.openxmlformats.org/officeDocument/2006/relationships/hyperlink" Target="https://login.consultant.ru/link/?req=doc&amp;base=LAW&amp;n=182490&amp;dst=100005" TargetMode = "External"/>
	<Relationship Id="rId47" Type="http://schemas.openxmlformats.org/officeDocument/2006/relationships/hyperlink" Target="https://login.consultant.ru/link/?req=doc&amp;base=LAW&amp;n=182491&amp;dst=100010" TargetMode = "External"/>
	<Relationship Id="rId48" Type="http://schemas.openxmlformats.org/officeDocument/2006/relationships/hyperlink" Target="https://login.consultant.ru/link/?req=doc&amp;base=LAW&amp;n=405778&amp;dst=100176" TargetMode = "External"/>
	<Relationship Id="rId49" Type="http://schemas.openxmlformats.org/officeDocument/2006/relationships/hyperlink" Target="https://login.consultant.ru/link/?req=doc&amp;base=LAW&amp;n=216719&amp;dst=100005" TargetMode = "External"/>
	<Relationship Id="rId50" Type="http://schemas.openxmlformats.org/officeDocument/2006/relationships/hyperlink" Target="https://login.consultant.ru/link/?req=doc&amp;base=LAW&amp;n=194439&amp;dst=100009" TargetMode = "External"/>
	<Relationship Id="rId51" Type="http://schemas.openxmlformats.org/officeDocument/2006/relationships/hyperlink" Target="https://login.consultant.ru/link/?req=doc&amp;base=LAW&amp;n=203224&amp;dst=100005" TargetMode = "External"/>
	<Relationship Id="rId52" Type="http://schemas.openxmlformats.org/officeDocument/2006/relationships/hyperlink" Target="https://login.consultant.ru/link/?req=doc&amp;base=LAW&amp;n=205171&amp;dst=100005" TargetMode = "External"/>
	<Relationship Id="rId53" Type="http://schemas.openxmlformats.org/officeDocument/2006/relationships/hyperlink" Target="https://login.consultant.ru/link/?req=doc&amp;base=LAW&amp;n=205587&amp;dst=100010" TargetMode = "External"/>
	<Relationship Id="rId54" Type="http://schemas.openxmlformats.org/officeDocument/2006/relationships/hyperlink" Target="https://login.consultant.ru/link/?req=doc&amp;base=LAW&amp;n=208079&amp;dst=100011" TargetMode = "External"/>
	<Relationship Id="rId55" Type="http://schemas.openxmlformats.org/officeDocument/2006/relationships/hyperlink" Target="https://login.consultant.ru/link/?req=doc&amp;base=LAW&amp;n=208548&amp;dst=100010" TargetMode = "External"/>
	<Relationship Id="rId56" Type="http://schemas.openxmlformats.org/officeDocument/2006/relationships/hyperlink" Target="https://login.consultant.ru/link/?req=doc&amp;base=LAW&amp;n=209498&amp;dst=100005" TargetMode = "External"/>
	<Relationship Id="rId57" Type="http://schemas.openxmlformats.org/officeDocument/2006/relationships/hyperlink" Target="https://login.consultant.ru/link/?req=doc&amp;base=LAW&amp;n=405841&amp;dst=100041" TargetMode = "External"/>
	<Relationship Id="rId58" Type="http://schemas.openxmlformats.org/officeDocument/2006/relationships/hyperlink" Target="https://login.consultant.ru/link/?req=doc&amp;base=LAW&amp;n=209640&amp;dst=100010" TargetMode = "External"/>
	<Relationship Id="rId59" Type="http://schemas.openxmlformats.org/officeDocument/2006/relationships/hyperlink" Target="https://login.consultant.ru/link/?req=doc&amp;base=LAW&amp;n=212667&amp;dst=100068" TargetMode = "External"/>
	<Relationship Id="rId60" Type="http://schemas.openxmlformats.org/officeDocument/2006/relationships/hyperlink" Target="https://login.consultant.ru/link/?req=doc&amp;base=LAW&amp;n=214070&amp;dst=100005" TargetMode = "External"/>
	<Relationship Id="rId61" Type="http://schemas.openxmlformats.org/officeDocument/2006/relationships/hyperlink" Target="https://login.consultant.ru/link/?req=doc&amp;base=LAW&amp;n=420971&amp;dst=100012" TargetMode = "External"/>
	<Relationship Id="rId62" Type="http://schemas.openxmlformats.org/officeDocument/2006/relationships/hyperlink" Target="https://login.consultant.ru/link/?req=doc&amp;base=LAW&amp;n=216708&amp;dst=100009" TargetMode = "External"/>
	<Relationship Id="rId63" Type="http://schemas.openxmlformats.org/officeDocument/2006/relationships/hyperlink" Target="https://login.consultant.ru/link/?req=doc&amp;base=LAW&amp;n=217515&amp;dst=100042" TargetMode = "External"/>
	<Relationship Id="rId64" Type="http://schemas.openxmlformats.org/officeDocument/2006/relationships/hyperlink" Target="https://login.consultant.ru/link/?req=doc&amp;base=LAW&amp;n=219822&amp;dst=100012" TargetMode = "External"/>
	<Relationship Id="rId65" Type="http://schemas.openxmlformats.org/officeDocument/2006/relationships/hyperlink" Target="https://login.consultant.ru/link/?req=doc&amp;base=LAW&amp;n=404430&amp;dst=100124" TargetMode = "External"/>
	<Relationship Id="rId66" Type="http://schemas.openxmlformats.org/officeDocument/2006/relationships/hyperlink" Target="https://login.consultant.ru/link/?req=doc&amp;base=LAW&amp;n=397753&amp;dst=100009" TargetMode = "External"/>
	<Relationship Id="rId67" Type="http://schemas.openxmlformats.org/officeDocument/2006/relationships/hyperlink" Target="https://login.consultant.ru/link/?req=doc&amp;base=LAW&amp;n=284311&amp;dst=100012" TargetMode = "External"/>
	<Relationship Id="rId68" Type="http://schemas.openxmlformats.org/officeDocument/2006/relationships/hyperlink" Target="https://login.consultant.ru/link/?req=doc&amp;base=LAW&amp;n=420968&amp;dst=100005" TargetMode = "External"/>
	<Relationship Id="rId69" Type="http://schemas.openxmlformats.org/officeDocument/2006/relationships/hyperlink" Target="https://login.consultant.ru/link/?req=doc&amp;base=LAW&amp;n=402209&amp;dst=100009" TargetMode = "External"/>
	<Relationship Id="rId70" Type="http://schemas.openxmlformats.org/officeDocument/2006/relationships/hyperlink" Target="https://login.consultant.ru/link/?req=doc&amp;base=LAW&amp;n=296305&amp;dst=100005" TargetMode = "External"/>
	<Relationship Id="rId71" Type="http://schemas.openxmlformats.org/officeDocument/2006/relationships/hyperlink" Target="https://login.consultant.ru/link/?req=doc&amp;base=LAW&amp;n=375470&amp;dst=100975" TargetMode = "External"/>
	<Relationship Id="rId72" Type="http://schemas.openxmlformats.org/officeDocument/2006/relationships/hyperlink" Target="https://login.consultant.ru/link/?req=doc&amp;base=LAW&amp;n=306961&amp;dst=100011" TargetMode = "External"/>
	<Relationship Id="rId73" Type="http://schemas.openxmlformats.org/officeDocument/2006/relationships/hyperlink" Target="https://login.consultant.ru/link/?req=doc&amp;base=LAW&amp;n=397757&amp;dst=100020" TargetMode = "External"/>
	<Relationship Id="rId74" Type="http://schemas.openxmlformats.org/officeDocument/2006/relationships/hyperlink" Target="https://login.consultant.ru/link/?req=doc&amp;base=LAW&amp;n=317695&amp;dst=101007" TargetMode = "External"/>
	<Relationship Id="rId75" Type="http://schemas.openxmlformats.org/officeDocument/2006/relationships/hyperlink" Target="https://login.consultant.ru/link/?req=doc&amp;base=LAW&amp;n=323210&amp;dst=100005" TargetMode = "External"/>
	<Relationship Id="rId76" Type="http://schemas.openxmlformats.org/officeDocument/2006/relationships/hyperlink" Target="https://login.consultant.ru/link/?req=doc&amp;base=LAW&amp;n=326410&amp;dst=100011" TargetMode = "External"/>
	<Relationship Id="rId77" Type="http://schemas.openxmlformats.org/officeDocument/2006/relationships/hyperlink" Target="https://login.consultant.ru/link/?req=doc&amp;base=LAW&amp;n=327594&amp;dst=100009" TargetMode = "External"/>
	<Relationship Id="rId78" Type="http://schemas.openxmlformats.org/officeDocument/2006/relationships/hyperlink" Target="https://login.consultant.ru/link/?req=doc&amp;base=LAW&amp;n=341726&amp;dst=100010" TargetMode = "External"/>
	<Relationship Id="rId79" Type="http://schemas.openxmlformats.org/officeDocument/2006/relationships/hyperlink" Target="https://login.consultant.ru/link/?req=doc&amp;base=LAW&amp;n=404426&amp;dst=100012" TargetMode = "External"/>
	<Relationship Id="rId80" Type="http://schemas.openxmlformats.org/officeDocument/2006/relationships/hyperlink" Target="https://login.consultant.ru/link/?req=doc&amp;base=LAW&amp;n=347472&amp;dst=100011" TargetMode = "External"/>
	<Relationship Id="rId81" Type="http://schemas.openxmlformats.org/officeDocument/2006/relationships/hyperlink" Target="https://login.consultant.ru/link/?req=doc&amp;base=LAW&amp;n=348358&amp;dst=100106" TargetMode = "External"/>
	<Relationship Id="rId82" Type="http://schemas.openxmlformats.org/officeDocument/2006/relationships/hyperlink" Target="https://login.consultant.ru/link/?req=doc&amp;base=LAW&amp;n=420969&amp;dst=100009" TargetMode = "External"/>
	<Relationship Id="rId83" Type="http://schemas.openxmlformats.org/officeDocument/2006/relationships/hyperlink" Target="https://login.consultant.ru/link/?req=doc&amp;base=LAW&amp;n=351023&amp;dst=100440" TargetMode = "External"/>
	<Relationship Id="rId84" Type="http://schemas.openxmlformats.org/officeDocument/2006/relationships/hyperlink" Target="https://login.consultant.ru/link/?req=doc&amp;base=LAW&amp;n=351813&amp;dst=100010" TargetMode = "External"/>
	<Relationship Id="rId85" Type="http://schemas.openxmlformats.org/officeDocument/2006/relationships/hyperlink" Target="https://login.consultant.ru/link/?req=doc&amp;base=LAW&amp;n=356090&amp;dst=100014" TargetMode = "External"/>
	<Relationship Id="rId86" Type="http://schemas.openxmlformats.org/officeDocument/2006/relationships/hyperlink" Target="https://login.consultant.ru/link/?req=doc&amp;base=LAW&amp;n=370112&amp;dst=100009" TargetMode = "External"/>
	<Relationship Id="rId87" Type="http://schemas.openxmlformats.org/officeDocument/2006/relationships/hyperlink" Target="https://login.consultant.ru/link/?req=doc&amp;base=LAW&amp;n=371976&amp;dst=100009" TargetMode = "External"/>
	<Relationship Id="rId88" Type="http://schemas.openxmlformats.org/officeDocument/2006/relationships/hyperlink" Target="https://login.consultant.ru/link/?req=doc&amp;base=LAW&amp;n=399270&amp;dst=100373" TargetMode = "External"/>
	<Relationship Id="rId89" Type="http://schemas.openxmlformats.org/officeDocument/2006/relationships/hyperlink" Target="https://login.consultant.ru/link/?req=doc&amp;base=LAW&amp;n=412480&amp;dst=100732" TargetMode = "External"/>
	<Relationship Id="rId90" Type="http://schemas.openxmlformats.org/officeDocument/2006/relationships/hyperlink" Target="https://login.consultant.ru/link/?req=doc&amp;base=LAW&amp;n=378535&amp;dst=100016" TargetMode = "External"/>
	<Relationship Id="rId91" Type="http://schemas.openxmlformats.org/officeDocument/2006/relationships/hyperlink" Target="https://login.consultant.ru/link/?req=doc&amp;base=LAW&amp;n=381278&amp;dst=100005" TargetMode = "External"/>
	<Relationship Id="rId92" Type="http://schemas.openxmlformats.org/officeDocument/2006/relationships/hyperlink" Target="https://login.consultant.ru/link/?req=doc&amp;base=LAW&amp;n=382926&amp;dst=100005" TargetMode = "External"/>
	<Relationship Id="rId93" Type="http://schemas.openxmlformats.org/officeDocument/2006/relationships/hyperlink" Target="https://login.consultant.ru/link/?req=doc&amp;base=LAW&amp;n=388976&amp;dst=100007" TargetMode = "External"/>
	<Relationship Id="rId94" Type="http://schemas.openxmlformats.org/officeDocument/2006/relationships/hyperlink" Target="https://login.consultant.ru/link/?req=doc&amp;base=LAW&amp;n=392904&amp;dst=100005" TargetMode = "External"/>
	<Relationship Id="rId95" Type="http://schemas.openxmlformats.org/officeDocument/2006/relationships/hyperlink" Target="https://login.consultant.ru/link/?req=doc&amp;base=LAW&amp;n=397618&amp;dst=100005" TargetMode = "External"/>
	<Relationship Id="rId96" Type="http://schemas.openxmlformats.org/officeDocument/2006/relationships/hyperlink" Target="https://login.consultant.ru/link/?req=doc&amp;base=LAW&amp;n=399543&amp;dst=100011" TargetMode = "External"/>
	<Relationship Id="rId97" Type="http://schemas.openxmlformats.org/officeDocument/2006/relationships/hyperlink" Target="https://login.consultant.ru/link/?req=doc&amp;base=LAW&amp;n=405734&amp;dst=100005" TargetMode = "External"/>
	<Relationship Id="rId98" Type="http://schemas.openxmlformats.org/officeDocument/2006/relationships/hyperlink" Target="https://login.consultant.ru/link/?req=doc&amp;base=LAW&amp;n=411617&amp;dst=100005" TargetMode = "External"/>
	<Relationship Id="rId99" Type="http://schemas.openxmlformats.org/officeDocument/2006/relationships/hyperlink" Target="https://login.consultant.ru/link/?req=doc&amp;base=LAW&amp;n=420866&amp;dst=100022" TargetMode = "External"/>
	<Relationship Id="rId100" Type="http://schemas.openxmlformats.org/officeDocument/2006/relationships/hyperlink" Target="https://login.consultant.ru/link/?req=doc&amp;base=LAW&amp;n=323518&amp;dst=100062" TargetMode = "External"/>
	<Relationship Id="rId101" Type="http://schemas.openxmlformats.org/officeDocument/2006/relationships/hyperlink" Target="https://login.consultant.ru/link/?req=doc&amp;base=LAW&amp;n=409675&amp;dst=100173" TargetMode = "External"/>
	<Relationship Id="rId102" Type="http://schemas.openxmlformats.org/officeDocument/2006/relationships/hyperlink" Target="https://login.consultant.ru/link/?req=doc&amp;base=LAW&amp;n=409675&amp;dst=100827" TargetMode = "External"/>
	<Relationship Id="rId103" Type="http://schemas.openxmlformats.org/officeDocument/2006/relationships/hyperlink" Target="https://login.consultant.ru/link/?req=doc&amp;base=LAW&amp;n=130520&amp;dst=100044" TargetMode = "External"/>
	<Relationship Id="rId104" Type="http://schemas.openxmlformats.org/officeDocument/2006/relationships/hyperlink" Target="https://login.consultant.ru/link/?req=doc&amp;base=LAW&amp;n=130520&amp;dst=100045" TargetMode = "External"/>
	<Relationship Id="rId105" Type="http://schemas.openxmlformats.org/officeDocument/2006/relationships/hyperlink" Target="https://login.consultant.ru/link/?req=doc&amp;base=LAW&amp;n=405778&amp;dst=100177" TargetMode = "External"/>
	<Relationship Id="rId106" Type="http://schemas.openxmlformats.org/officeDocument/2006/relationships/hyperlink" Target="https://login.consultant.ru/link/?req=doc&amp;base=LAW&amp;n=402199" TargetMode = "External"/>
	<Relationship Id="rId107" Type="http://schemas.openxmlformats.org/officeDocument/2006/relationships/hyperlink" Target="https://login.consultant.ru/link/?req=doc&amp;base=LAW&amp;n=402199&amp;dst=100062" TargetMode = "External"/>
	<Relationship Id="rId108" Type="http://schemas.openxmlformats.org/officeDocument/2006/relationships/hyperlink" Target="https://login.consultant.ru/link/?req=doc&amp;base=LAW&amp;n=421276&amp;dst=1652" TargetMode = "External"/>
	<Relationship Id="rId109" Type="http://schemas.openxmlformats.org/officeDocument/2006/relationships/hyperlink" Target="https://login.consultant.ru/link/?req=doc&amp;base=LAW&amp;n=147699&amp;dst=100027" TargetMode = "External"/>
	<Relationship Id="rId110" Type="http://schemas.openxmlformats.org/officeDocument/2006/relationships/hyperlink" Target="https://login.consultant.ru/link/?req=doc&amp;base=LAW&amp;n=306350&amp;dst=100006" TargetMode = "External"/>
	<Relationship Id="rId111" Type="http://schemas.openxmlformats.org/officeDocument/2006/relationships/hyperlink" Target="https://login.consultant.ru/link/?req=doc&amp;base=LAW&amp;n=147703&amp;dst=100142" TargetMode = "External"/>
	<Relationship Id="rId112" Type="http://schemas.openxmlformats.org/officeDocument/2006/relationships/hyperlink" Target="https://login.consultant.ru/link/?req=doc&amp;base=LAW&amp;n=130522&amp;dst=100009" TargetMode = "External"/>
	<Relationship Id="rId113" Type="http://schemas.openxmlformats.org/officeDocument/2006/relationships/hyperlink" Target="https://login.consultant.ru/link/?req=doc&amp;base=LAW&amp;n=405154&amp;dst=100160" TargetMode = "External"/>
	<Relationship Id="rId114" Type="http://schemas.openxmlformats.org/officeDocument/2006/relationships/hyperlink" Target="https://login.consultant.ru/link/?req=doc&amp;base=LAW&amp;n=221672&amp;dst=100017" TargetMode = "External"/>
	<Relationship Id="rId115" Type="http://schemas.openxmlformats.org/officeDocument/2006/relationships/hyperlink" Target="https://login.consultant.ru/link/?req=doc&amp;base=LAW&amp;n=421276&amp;dst=101599" TargetMode = "External"/>
	<Relationship Id="rId116" Type="http://schemas.openxmlformats.org/officeDocument/2006/relationships/hyperlink" Target="https://login.consultant.ru/link/?req=doc&amp;base=LAW&amp;n=389696&amp;dst=100047" TargetMode = "External"/>
	<Relationship Id="rId117" Type="http://schemas.openxmlformats.org/officeDocument/2006/relationships/hyperlink" Target="https://login.consultant.ru/link/?req=doc&amp;base=LAW&amp;n=150032&amp;dst=100020" TargetMode = "External"/>
	<Relationship Id="rId118" Type="http://schemas.openxmlformats.org/officeDocument/2006/relationships/hyperlink" Target="https://login.consultant.ru/link/?req=doc&amp;base=LAW&amp;n=150335&amp;dst=100009" TargetMode = "External"/>
	<Relationship Id="rId119" Type="http://schemas.openxmlformats.org/officeDocument/2006/relationships/hyperlink" Target="https://login.consultant.ru/link/?req=doc&amp;base=LAW&amp;n=347569&amp;dst=100010" TargetMode = "External"/>
	<Relationship Id="rId120" Type="http://schemas.openxmlformats.org/officeDocument/2006/relationships/hyperlink" Target="https://login.consultant.ru/link/?req=doc&amp;base=LAW&amp;n=206324&amp;dst=100010" TargetMode = "External"/>
	<Relationship Id="rId121" Type="http://schemas.openxmlformats.org/officeDocument/2006/relationships/hyperlink" Target="https://login.consultant.ru/link/?req=doc&amp;base=LAW&amp;n=158916&amp;dst=100010" TargetMode = "External"/>
	<Relationship Id="rId122" Type="http://schemas.openxmlformats.org/officeDocument/2006/relationships/hyperlink" Target="https://login.consultant.ru/link/?req=doc&amp;base=LAW&amp;n=347566&amp;dst=100010" TargetMode = "External"/>
	<Relationship Id="rId123" Type="http://schemas.openxmlformats.org/officeDocument/2006/relationships/hyperlink" Target="https://login.consultant.ru/link/?req=doc&amp;base=LAW&amp;n=160075&amp;dst=100009" TargetMode = "External"/>
	<Relationship Id="rId124" Type="http://schemas.openxmlformats.org/officeDocument/2006/relationships/hyperlink" Target="https://login.consultant.ru/link/?req=doc&amp;base=LAW&amp;n=166611&amp;dst=100010" TargetMode = "External"/>
	<Relationship Id="rId125" Type="http://schemas.openxmlformats.org/officeDocument/2006/relationships/hyperlink" Target="https://login.consultant.ru/link/?req=doc&amp;base=LAW&amp;n=404424&amp;dst=100022" TargetMode = "External"/>
	<Relationship Id="rId126" Type="http://schemas.openxmlformats.org/officeDocument/2006/relationships/hyperlink" Target="https://login.consultant.ru/link/?req=doc&amp;base=LAW&amp;n=185801&amp;dst=100046" TargetMode = "External"/>
	<Relationship Id="rId127" Type="http://schemas.openxmlformats.org/officeDocument/2006/relationships/hyperlink" Target="https://login.consultant.ru/link/?req=doc&amp;base=LAW&amp;n=347572&amp;dst=100009" TargetMode = "External"/>
	<Relationship Id="rId128" Type="http://schemas.openxmlformats.org/officeDocument/2006/relationships/hyperlink" Target="https://login.consultant.ru/link/?req=doc&amp;base=LAW&amp;n=182491&amp;dst=100010" TargetMode = "External"/>
	<Relationship Id="rId129" Type="http://schemas.openxmlformats.org/officeDocument/2006/relationships/hyperlink" Target="https://login.consultant.ru/link/?req=doc&amp;base=LAW&amp;n=405778&amp;dst=100178" TargetMode = "External"/>
	<Relationship Id="rId130" Type="http://schemas.openxmlformats.org/officeDocument/2006/relationships/hyperlink" Target="https://login.consultant.ru/link/?req=doc&amp;base=LAW&amp;n=205587&amp;dst=100011" TargetMode = "External"/>
	<Relationship Id="rId131" Type="http://schemas.openxmlformats.org/officeDocument/2006/relationships/hyperlink" Target="https://login.consultant.ru/link/?req=doc&amp;base=LAW&amp;n=209498&amp;dst=100005" TargetMode = "External"/>
	<Relationship Id="rId132" Type="http://schemas.openxmlformats.org/officeDocument/2006/relationships/hyperlink" Target="https://login.consultant.ru/link/?req=doc&amp;base=LAW&amp;n=405841&amp;dst=100041" TargetMode = "External"/>
	<Relationship Id="rId133" Type="http://schemas.openxmlformats.org/officeDocument/2006/relationships/hyperlink" Target="https://login.consultant.ru/link/?req=doc&amp;base=LAW&amp;n=212667&amp;dst=100068" TargetMode = "External"/>
	<Relationship Id="rId134" Type="http://schemas.openxmlformats.org/officeDocument/2006/relationships/hyperlink" Target="https://login.consultant.ru/link/?req=doc&amp;base=LAW&amp;n=214070&amp;dst=100005" TargetMode = "External"/>
	<Relationship Id="rId135" Type="http://schemas.openxmlformats.org/officeDocument/2006/relationships/hyperlink" Target="https://login.consultant.ru/link/?req=doc&amp;base=LAW&amp;n=420971&amp;dst=100013" TargetMode = "External"/>
	<Relationship Id="rId136" Type="http://schemas.openxmlformats.org/officeDocument/2006/relationships/hyperlink" Target="https://login.consultant.ru/link/?req=doc&amp;base=LAW&amp;n=217515&amp;dst=100042" TargetMode = "External"/>
	<Relationship Id="rId137" Type="http://schemas.openxmlformats.org/officeDocument/2006/relationships/hyperlink" Target="https://login.consultant.ru/link/?req=doc&amp;base=LAW&amp;n=219822&amp;dst=100012" TargetMode = "External"/>
	<Relationship Id="rId138" Type="http://schemas.openxmlformats.org/officeDocument/2006/relationships/hyperlink" Target="https://login.consultant.ru/link/?req=doc&amp;base=LAW&amp;n=397753&amp;dst=100010" TargetMode = "External"/>
	<Relationship Id="rId139" Type="http://schemas.openxmlformats.org/officeDocument/2006/relationships/hyperlink" Target="https://login.consultant.ru/link/?req=doc&amp;base=LAW&amp;n=284311&amp;dst=100012" TargetMode = "External"/>
	<Relationship Id="rId140" Type="http://schemas.openxmlformats.org/officeDocument/2006/relationships/hyperlink" Target="https://login.consultant.ru/link/?req=doc&amp;base=LAW&amp;n=375470&amp;dst=100976" TargetMode = "External"/>
	<Relationship Id="rId141" Type="http://schemas.openxmlformats.org/officeDocument/2006/relationships/hyperlink" Target="https://login.consultant.ru/link/?req=doc&amp;base=LAW&amp;n=306961&amp;dst=100012" TargetMode = "External"/>
	<Relationship Id="rId142" Type="http://schemas.openxmlformats.org/officeDocument/2006/relationships/hyperlink" Target="https://login.consultant.ru/link/?req=doc&amp;base=LAW&amp;n=397757&amp;dst=100021" TargetMode = "External"/>
	<Relationship Id="rId143" Type="http://schemas.openxmlformats.org/officeDocument/2006/relationships/hyperlink" Target="https://login.consultant.ru/link/?req=doc&amp;base=LAW&amp;n=317695&amp;dst=101007" TargetMode = "External"/>
	<Relationship Id="rId144" Type="http://schemas.openxmlformats.org/officeDocument/2006/relationships/hyperlink" Target="https://login.consultant.ru/link/?req=doc&amp;base=LAW&amp;n=327594&amp;dst=100009" TargetMode = "External"/>
	<Relationship Id="rId145" Type="http://schemas.openxmlformats.org/officeDocument/2006/relationships/hyperlink" Target="https://login.consultant.ru/link/?req=doc&amp;base=LAW&amp;n=341726&amp;dst=100011" TargetMode = "External"/>
	<Relationship Id="rId146" Type="http://schemas.openxmlformats.org/officeDocument/2006/relationships/hyperlink" Target="https://login.consultant.ru/link/?req=doc&amp;base=LAW&amp;n=404426&amp;dst=100012" TargetMode = "External"/>
	<Relationship Id="rId147" Type="http://schemas.openxmlformats.org/officeDocument/2006/relationships/hyperlink" Target="https://login.consultant.ru/link/?req=doc&amp;base=LAW&amp;n=348358&amp;dst=100106" TargetMode = "External"/>
	<Relationship Id="rId148" Type="http://schemas.openxmlformats.org/officeDocument/2006/relationships/hyperlink" Target="https://login.consultant.ru/link/?req=doc&amp;base=LAW&amp;n=351023&amp;dst=100441" TargetMode = "External"/>
	<Relationship Id="rId149" Type="http://schemas.openxmlformats.org/officeDocument/2006/relationships/hyperlink" Target="https://login.consultant.ru/link/?req=doc&amp;base=LAW&amp;n=351813&amp;dst=100010" TargetMode = "External"/>
	<Relationship Id="rId150" Type="http://schemas.openxmlformats.org/officeDocument/2006/relationships/hyperlink" Target="https://login.consultant.ru/link/?req=doc&amp;base=LAW&amp;n=356090&amp;dst=100014" TargetMode = "External"/>
	<Relationship Id="rId151" Type="http://schemas.openxmlformats.org/officeDocument/2006/relationships/hyperlink" Target="https://login.consultant.ru/link/?req=doc&amp;base=LAW&amp;n=370112&amp;dst=100009" TargetMode = "External"/>
	<Relationship Id="rId152" Type="http://schemas.openxmlformats.org/officeDocument/2006/relationships/hyperlink" Target="https://login.consultant.ru/link/?req=doc&amp;base=LAW&amp;n=371976&amp;dst=100009" TargetMode = "External"/>
	<Relationship Id="rId153" Type="http://schemas.openxmlformats.org/officeDocument/2006/relationships/hyperlink" Target="https://login.consultant.ru/link/?req=doc&amp;base=LAW&amp;n=412480&amp;dst=100733" TargetMode = "External"/>
	<Relationship Id="rId154" Type="http://schemas.openxmlformats.org/officeDocument/2006/relationships/hyperlink" Target="https://login.consultant.ru/link/?req=doc&amp;base=LAW&amp;n=381278&amp;dst=100005" TargetMode = "External"/>
	<Relationship Id="rId155" Type="http://schemas.openxmlformats.org/officeDocument/2006/relationships/hyperlink" Target="https://login.consultant.ru/link/?req=doc&amp;base=LAW&amp;n=388976&amp;dst=100007" TargetMode = "External"/>
	<Relationship Id="rId156" Type="http://schemas.openxmlformats.org/officeDocument/2006/relationships/hyperlink" Target="https://login.consultant.ru/link/?req=doc&amp;base=LAW&amp;n=399543&amp;dst=100012" TargetMode = "External"/>
	<Relationship Id="rId157" Type="http://schemas.openxmlformats.org/officeDocument/2006/relationships/hyperlink" Target="https://login.consultant.ru/link/?req=doc&amp;base=LAW&amp;n=420866&amp;dst=100023" TargetMode = "External"/>
	<Relationship Id="rId158" Type="http://schemas.openxmlformats.org/officeDocument/2006/relationships/hyperlink" Target="https://login.consultant.ru/link/?req=doc&amp;base=LAW&amp;n=348358&amp;dst=100010" TargetMode = "External"/>
	<Relationship Id="rId159" Type="http://schemas.openxmlformats.org/officeDocument/2006/relationships/hyperlink" Target="https://login.consultant.ru/link/?req=doc&amp;base=LAW&amp;n=421276&amp;dst=1652" TargetMode = "External"/>
	<Relationship Id="rId160" Type="http://schemas.openxmlformats.org/officeDocument/2006/relationships/hyperlink" Target="https://login.consultant.ru/link/?req=doc&amp;base=LAW&amp;n=348358&amp;dst=100106" TargetMode = "External"/>
	<Relationship Id="rId161" Type="http://schemas.openxmlformats.org/officeDocument/2006/relationships/hyperlink" Target="https://login.consultant.ru/link/?req=doc&amp;base=LAW&amp;n=420971&amp;dst=100015" TargetMode = "External"/>
	<Relationship Id="rId162" Type="http://schemas.openxmlformats.org/officeDocument/2006/relationships/hyperlink" Target="https://login.consultant.ru/link/?req=doc&amp;base=LAW&amp;n=420971&amp;dst=100017" TargetMode = "External"/>
	<Relationship Id="rId163" Type="http://schemas.openxmlformats.org/officeDocument/2006/relationships/hyperlink" Target="https://login.consultant.ru/link/?req=doc&amp;base=LAW&amp;n=420971&amp;dst=100019" TargetMode = "External"/>
	<Relationship Id="rId164" Type="http://schemas.openxmlformats.org/officeDocument/2006/relationships/hyperlink" Target="https://login.consultant.ru/link/?req=doc&amp;base=LAW&amp;n=306961&amp;dst=100013" TargetMode = "External"/>
	<Relationship Id="rId165" Type="http://schemas.openxmlformats.org/officeDocument/2006/relationships/hyperlink" Target="https://login.consultant.ru/link/?req=doc&amp;base=LAW&amp;n=306961&amp;dst=100015" TargetMode = "External"/>
	<Relationship Id="rId166" Type="http://schemas.openxmlformats.org/officeDocument/2006/relationships/hyperlink" Target="https://login.consultant.ru/link/?req=doc&amp;base=LAW&amp;n=420971&amp;dst=100020" TargetMode = "External"/>
	<Relationship Id="rId167" Type="http://schemas.openxmlformats.org/officeDocument/2006/relationships/hyperlink" Target="https://login.consultant.ru/link/?req=doc&amp;base=LAW&amp;n=421276&amp;dst=101603" TargetMode = "External"/>
	<Relationship Id="rId168" Type="http://schemas.openxmlformats.org/officeDocument/2006/relationships/hyperlink" Target="https://login.consultant.ru/link/?req=doc&amp;base=LAW&amp;n=421276&amp;dst=101604" TargetMode = "External"/>
	<Relationship Id="rId169" Type="http://schemas.openxmlformats.org/officeDocument/2006/relationships/hyperlink" Target="https://login.consultant.ru/link/?req=doc&amp;base=LAW&amp;n=147703&amp;dst=100143" TargetMode = "External"/>
	<Relationship Id="rId170" Type="http://schemas.openxmlformats.org/officeDocument/2006/relationships/hyperlink" Target="https://login.consultant.ru/link/?req=doc&amp;base=LAW&amp;n=421276&amp;dst=101605" TargetMode = "External"/>
	<Relationship Id="rId171" Type="http://schemas.openxmlformats.org/officeDocument/2006/relationships/hyperlink" Target="https://login.consultant.ru/link/?req=doc&amp;base=LAW&amp;n=420971&amp;dst=100022" TargetMode = "External"/>
	<Relationship Id="rId172" Type="http://schemas.openxmlformats.org/officeDocument/2006/relationships/hyperlink" Target="https://login.consultant.ru/link/?req=doc&amp;base=LAW&amp;n=420866&amp;dst=100024" TargetMode = "External"/>
	<Relationship Id="rId173" Type="http://schemas.openxmlformats.org/officeDocument/2006/relationships/hyperlink" Target="https://login.consultant.ru/link/?req=doc&amp;base=LAW&amp;n=347572&amp;dst=100009" TargetMode = "External"/>
	<Relationship Id="rId174" Type="http://schemas.openxmlformats.org/officeDocument/2006/relationships/hyperlink" Target="https://login.consultant.ru/link/?req=doc&amp;base=LAW&amp;n=421276&amp;dst=100749" TargetMode = "External"/>
	<Relationship Id="rId175" Type="http://schemas.openxmlformats.org/officeDocument/2006/relationships/hyperlink" Target="https://login.consultant.ru/link/?req=doc&amp;base=LAW&amp;n=351023&amp;dst=100442" TargetMode = "External"/>
	<Relationship Id="rId176" Type="http://schemas.openxmlformats.org/officeDocument/2006/relationships/hyperlink" Target="https://login.consultant.ru/link/?req=doc&amp;base=LAW&amp;n=418281&amp;dst=100982" TargetMode = "External"/>
	<Relationship Id="rId177" Type="http://schemas.openxmlformats.org/officeDocument/2006/relationships/hyperlink" Target="https://login.consultant.ru/link/?req=doc&amp;base=LAW&amp;n=418281&amp;dst=101430" TargetMode = "External"/>
	<Relationship Id="rId178" Type="http://schemas.openxmlformats.org/officeDocument/2006/relationships/hyperlink" Target="https://login.consultant.ru/link/?req=doc&amp;base=LAW&amp;n=405841&amp;dst=100042" TargetMode = "External"/>
	<Relationship Id="rId179" Type="http://schemas.openxmlformats.org/officeDocument/2006/relationships/hyperlink" Target="https://login.consultant.ru/link/?req=doc&amp;base=LAW&amp;n=397255&amp;dst=100010" TargetMode = "External"/>
	<Relationship Id="rId180" Type="http://schemas.openxmlformats.org/officeDocument/2006/relationships/hyperlink" Target="https://login.consultant.ru/link/?req=doc&amp;base=LAW&amp;n=150032&amp;dst=100021" TargetMode = "External"/>
	<Relationship Id="rId181" Type="http://schemas.openxmlformats.org/officeDocument/2006/relationships/hyperlink" Target="https://login.consultant.ru/link/?req=doc&amp;base=LAW&amp;n=421276&amp;dst=101607" TargetMode = "External"/>
	<Relationship Id="rId182" Type="http://schemas.openxmlformats.org/officeDocument/2006/relationships/hyperlink" Target="https://login.consultant.ru/link/?req=doc&amp;base=LAW&amp;n=421276&amp;dst=101608" TargetMode = "External"/>
	<Relationship Id="rId183" Type="http://schemas.openxmlformats.org/officeDocument/2006/relationships/hyperlink" Target="https://login.consultant.ru/link/?req=doc&amp;base=LAW&amp;n=409675&amp;dst=100062" TargetMode = "External"/>
	<Relationship Id="rId184" Type="http://schemas.openxmlformats.org/officeDocument/2006/relationships/hyperlink" Target="https://login.consultant.ru/link/?req=doc&amp;base=LAW&amp;n=147703&amp;dst=100144" TargetMode = "External"/>
	<Relationship Id="rId185" Type="http://schemas.openxmlformats.org/officeDocument/2006/relationships/hyperlink" Target="https://login.consultant.ru/link/?req=doc&amp;base=LAW&amp;n=341726&amp;dst=100012" TargetMode = "External"/>
	<Relationship Id="rId186" Type="http://schemas.openxmlformats.org/officeDocument/2006/relationships/hyperlink" Target="https://login.consultant.ru/link/?req=doc&amp;base=LAW&amp;n=341726&amp;dst=100014" TargetMode = "External"/>
	<Relationship Id="rId187" Type="http://schemas.openxmlformats.org/officeDocument/2006/relationships/hyperlink" Target="https://login.consultant.ru/link/?req=doc&amp;base=LAW&amp;n=420304&amp;dst=101426" TargetMode = "External"/>
	<Relationship Id="rId188" Type="http://schemas.openxmlformats.org/officeDocument/2006/relationships/hyperlink" Target="https://login.consultant.ru/link/?req=doc&amp;base=LAW&amp;n=420304&amp;dst=501" TargetMode = "External"/>
	<Relationship Id="rId189" Type="http://schemas.openxmlformats.org/officeDocument/2006/relationships/hyperlink" Target="https://login.consultant.ru/link/?req=doc&amp;base=LAW&amp;n=341726&amp;dst=100015" TargetMode = "External"/>
	<Relationship Id="rId190" Type="http://schemas.openxmlformats.org/officeDocument/2006/relationships/hyperlink" Target="https://login.consultant.ru/link/?req=doc&amp;base=LAW&amp;n=341726&amp;dst=100016" TargetMode = "External"/>
	<Relationship Id="rId191" Type="http://schemas.openxmlformats.org/officeDocument/2006/relationships/hyperlink" Target="https://login.consultant.ru/link/?req=doc&amp;base=LAW&amp;n=341726&amp;dst=100037" TargetMode = "External"/>
	<Relationship Id="rId192" Type="http://schemas.openxmlformats.org/officeDocument/2006/relationships/hyperlink" Target="https://login.consultant.ru/link/?req=doc&amp;base=LAW&amp;n=147703&amp;dst=100146" TargetMode = "External"/>
	<Relationship Id="rId193" Type="http://schemas.openxmlformats.org/officeDocument/2006/relationships/hyperlink" Target="https://login.consultant.ru/link/?req=doc&amp;base=LAW&amp;n=421276&amp;dst=101609" TargetMode = "External"/>
	<Relationship Id="rId194" Type="http://schemas.openxmlformats.org/officeDocument/2006/relationships/hyperlink" Target="https://login.consultant.ru/link/?req=doc&amp;base=LAW&amp;n=381278&amp;dst=100010" TargetMode = "External"/>
	<Relationship Id="rId195" Type="http://schemas.openxmlformats.org/officeDocument/2006/relationships/hyperlink" Target="https://login.consultant.ru/link/?req=doc&amp;base=LAW&amp;n=421276&amp;dst=101615" TargetMode = "External"/>
	<Relationship Id="rId196" Type="http://schemas.openxmlformats.org/officeDocument/2006/relationships/hyperlink" Target="https://login.consultant.ru/link/?req=doc&amp;base=LAW&amp;n=421276&amp;dst=101618" TargetMode = "External"/>
	<Relationship Id="rId197" Type="http://schemas.openxmlformats.org/officeDocument/2006/relationships/hyperlink" Target="https://login.consultant.ru/link/?req=doc&amp;base=LAW&amp;n=420971&amp;dst=100023" TargetMode = "External"/>
	<Relationship Id="rId198" Type="http://schemas.openxmlformats.org/officeDocument/2006/relationships/hyperlink" Target="https://login.consultant.ru/link/?req=doc&amp;base=LAW&amp;n=397753&amp;dst=100011" TargetMode = "External"/>
	<Relationship Id="rId199" Type="http://schemas.openxmlformats.org/officeDocument/2006/relationships/hyperlink" Target="https://login.consultant.ru/link/?req=doc&amp;base=LAW&amp;n=397757&amp;dst=100022" TargetMode = "External"/>
	<Relationship Id="rId200" Type="http://schemas.openxmlformats.org/officeDocument/2006/relationships/hyperlink" Target="https://login.consultant.ru/link/?req=doc&amp;base=LAW&amp;n=421276&amp;dst=101622" TargetMode = "External"/>
	<Relationship Id="rId201" Type="http://schemas.openxmlformats.org/officeDocument/2006/relationships/hyperlink" Target="https://login.consultant.ru/link/?req=doc&amp;base=LAW&amp;n=351023&amp;dst=100445" TargetMode = "External"/>
	<Relationship Id="rId202" Type="http://schemas.openxmlformats.org/officeDocument/2006/relationships/hyperlink" Target="https://login.consultant.ru/link/?req=doc&amp;base=LAW&amp;n=351023&amp;dst=100446" TargetMode = "External"/>
	<Relationship Id="rId203" Type="http://schemas.openxmlformats.org/officeDocument/2006/relationships/hyperlink" Target="https://login.consultant.ru/link/?req=doc&amp;base=LAW&amp;n=375470&amp;dst=100978" TargetMode = "External"/>
	<Relationship Id="rId204" Type="http://schemas.openxmlformats.org/officeDocument/2006/relationships/hyperlink" Target="https://login.consultant.ru/link/?req=doc&amp;base=LAW&amp;n=420866&amp;dst=100026" TargetMode = "External"/>
	<Relationship Id="rId205" Type="http://schemas.openxmlformats.org/officeDocument/2006/relationships/hyperlink" Target="https://login.consultant.ru/link/?req=doc&amp;base=LAW&amp;n=375470&amp;dst=100052" TargetMode = "External"/>
	<Relationship Id="rId206" Type="http://schemas.openxmlformats.org/officeDocument/2006/relationships/hyperlink" Target="https://login.consultant.ru/link/?req=doc&amp;base=LAW&amp;n=375470&amp;dst=100980" TargetMode = "External"/>
	<Relationship Id="rId207" Type="http://schemas.openxmlformats.org/officeDocument/2006/relationships/hyperlink" Target="https://login.consultant.ru/link/?req=doc&amp;base=LAW&amp;n=421276&amp;dst=100749" TargetMode = "External"/>
	<Relationship Id="rId208" Type="http://schemas.openxmlformats.org/officeDocument/2006/relationships/hyperlink" Target="https://login.consultant.ru/link/?req=doc&amp;base=LAW&amp;n=351023&amp;dst=100448" TargetMode = "External"/>
	<Relationship Id="rId209" Type="http://schemas.openxmlformats.org/officeDocument/2006/relationships/hyperlink" Target="https://login.consultant.ru/link/?req=doc&amp;base=LAW&amp;n=347566&amp;dst=100010" TargetMode = "External"/>
	<Relationship Id="rId210" Type="http://schemas.openxmlformats.org/officeDocument/2006/relationships/hyperlink" Target="https://login.consultant.ru/link/?req=doc&amp;base=LAW&amp;n=421276&amp;dst=101627" TargetMode = "External"/>
	<Relationship Id="rId211" Type="http://schemas.openxmlformats.org/officeDocument/2006/relationships/hyperlink" Target="https://login.consultant.ru/link/?req=doc&amp;base=LAW&amp;n=150032&amp;dst=100023" TargetMode = "External"/>
	<Relationship Id="rId212" Type="http://schemas.openxmlformats.org/officeDocument/2006/relationships/hyperlink" Target="https://login.consultant.ru/link/?req=doc&amp;base=LAW&amp;n=217515&amp;dst=100043" TargetMode = "External"/>
	<Relationship Id="rId213" Type="http://schemas.openxmlformats.org/officeDocument/2006/relationships/hyperlink" Target="https://login.consultant.ru/link/?req=doc&amp;base=LAW&amp;n=351023&amp;dst=100450" TargetMode = "External"/>
	<Relationship Id="rId214" Type="http://schemas.openxmlformats.org/officeDocument/2006/relationships/hyperlink" Target="https://login.consultant.ru/link/?req=doc&amp;base=LAW&amp;n=421276&amp;dst=101631" TargetMode = "External"/>
	<Relationship Id="rId215" Type="http://schemas.openxmlformats.org/officeDocument/2006/relationships/hyperlink" Target="https://login.consultant.ru/link/?req=doc&amp;base=LAW&amp;n=421276&amp;dst=101633" TargetMode = "External"/>
	<Relationship Id="rId216" Type="http://schemas.openxmlformats.org/officeDocument/2006/relationships/hyperlink" Target="https://login.consultant.ru/link/?req=doc&amp;base=LAW&amp;n=209498&amp;dst=100009" TargetMode = "External"/>
	<Relationship Id="rId217" Type="http://schemas.openxmlformats.org/officeDocument/2006/relationships/hyperlink" Target="https://login.consultant.ru/link/?req=doc&amp;base=LAW&amp;n=327594&amp;dst=100010" TargetMode = "External"/>
	<Relationship Id="rId218" Type="http://schemas.openxmlformats.org/officeDocument/2006/relationships/hyperlink" Target="https://login.consultant.ru/link/?req=doc&amp;base=LAW&amp;n=351023&amp;dst=100453" TargetMode = "External"/>
	<Relationship Id="rId219" Type="http://schemas.openxmlformats.org/officeDocument/2006/relationships/hyperlink" Target="https://login.consultant.ru/link/?req=doc&amp;base=LAW&amp;n=375470&amp;dst=100052" TargetMode = "External"/>
	<Relationship Id="rId220" Type="http://schemas.openxmlformats.org/officeDocument/2006/relationships/hyperlink" Target="https://login.consultant.ru/link/?req=doc&amp;base=LAW&amp;n=375470&amp;dst=100985" TargetMode = "External"/>
	<Relationship Id="rId221" Type="http://schemas.openxmlformats.org/officeDocument/2006/relationships/hyperlink" Target="https://login.consultant.ru/link/?req=doc&amp;base=LAW&amp;n=375470&amp;dst=100986" TargetMode = "External"/>
	<Relationship Id="rId222" Type="http://schemas.openxmlformats.org/officeDocument/2006/relationships/hyperlink" Target="https://login.consultant.ru/link/?req=doc&amp;base=LAW&amp;n=421276&amp;dst=101635" TargetMode = "External"/>
	<Relationship Id="rId223" Type="http://schemas.openxmlformats.org/officeDocument/2006/relationships/hyperlink" Target="https://login.consultant.ru/link/?req=doc&amp;base=LAW&amp;n=375470&amp;dst=100987" TargetMode = "External"/>
	<Relationship Id="rId224" Type="http://schemas.openxmlformats.org/officeDocument/2006/relationships/hyperlink" Target="https://login.consultant.ru/link/?req=doc&amp;base=LAW&amp;n=375470&amp;dst=100988" TargetMode = "External"/>
	<Relationship Id="rId225" Type="http://schemas.openxmlformats.org/officeDocument/2006/relationships/hyperlink" Target="https://login.consultant.ru/link/?req=doc&amp;base=LAW&amp;n=351023&amp;dst=100455" TargetMode = "External"/>
	<Relationship Id="rId226" Type="http://schemas.openxmlformats.org/officeDocument/2006/relationships/hyperlink" Target="https://login.consultant.ru/link/?req=doc&amp;base=LAW&amp;n=421276&amp;dst=101646" TargetMode = "External"/>
	<Relationship Id="rId227" Type="http://schemas.openxmlformats.org/officeDocument/2006/relationships/hyperlink" Target="https://login.consultant.ru/link/?req=doc&amp;base=LAW&amp;n=351023&amp;dst=100462" TargetMode = "External"/>
	<Relationship Id="rId228" Type="http://schemas.openxmlformats.org/officeDocument/2006/relationships/hyperlink" Target="https://login.consultant.ru/link/?req=doc&amp;base=LAW&amp;n=421276&amp;dst=101539" TargetMode = "External"/>
	<Relationship Id="rId229" Type="http://schemas.openxmlformats.org/officeDocument/2006/relationships/hyperlink" Target="https://login.consultant.ru/link/?req=doc&amp;base=LAW&amp;n=421276&amp;dst=101648" TargetMode = "External"/>
	<Relationship Id="rId230" Type="http://schemas.openxmlformats.org/officeDocument/2006/relationships/hyperlink" Target="https://login.consultant.ru/link/?req=doc&amp;base=LAW&amp;n=375470&amp;dst=100990" TargetMode = "External"/>
	<Relationship Id="rId231" Type="http://schemas.openxmlformats.org/officeDocument/2006/relationships/hyperlink" Target="https://login.consultant.ru/link/?req=doc&amp;base=LAW&amp;n=306961&amp;dst=100016" TargetMode = "External"/>
	<Relationship Id="rId232" Type="http://schemas.openxmlformats.org/officeDocument/2006/relationships/hyperlink" Target="https://login.consultant.ru/link/?req=doc&amp;base=LAW&amp;n=421276&amp;dst=101650" TargetMode = "External"/>
	<Relationship Id="rId233" Type="http://schemas.openxmlformats.org/officeDocument/2006/relationships/hyperlink" Target="https://login.consultant.ru/link/?req=doc&amp;base=LAW&amp;n=375470&amp;dst=100992" TargetMode = "External"/>
	<Relationship Id="rId234" Type="http://schemas.openxmlformats.org/officeDocument/2006/relationships/hyperlink" Target="https://login.consultant.ru/link/?req=doc&amp;base=LAW&amp;n=183610&amp;dst=100010" TargetMode = "External"/>
	<Relationship Id="rId235" Type="http://schemas.openxmlformats.org/officeDocument/2006/relationships/hyperlink" Target="https://login.consultant.ru/link/?req=doc&amp;base=LAW&amp;n=375470&amp;dst=100993" TargetMode = "External"/>
	<Relationship Id="rId236" Type="http://schemas.openxmlformats.org/officeDocument/2006/relationships/hyperlink" Target="https://login.consultant.ru/link/?req=doc&amp;base=LAW&amp;n=416136&amp;dst=100031" TargetMode = "External"/>
	<Relationship Id="rId237" Type="http://schemas.openxmlformats.org/officeDocument/2006/relationships/hyperlink" Target="https://login.consultant.ru/link/?req=doc&amp;base=LAW&amp;n=421276&amp;dst=100061" TargetMode = "External"/>
	<Relationship Id="rId238" Type="http://schemas.openxmlformats.org/officeDocument/2006/relationships/hyperlink" Target="https://login.consultant.ru/link/?req=doc&amp;base=LAW&amp;n=351023&amp;dst=100464" TargetMode = "External"/>
	<Relationship Id="rId239" Type="http://schemas.openxmlformats.org/officeDocument/2006/relationships/hyperlink" Target="https://login.consultant.ru/link/?req=doc&amp;base=LAW&amp;n=406087&amp;dst=100013" TargetMode = "External"/>
	<Relationship Id="rId240" Type="http://schemas.openxmlformats.org/officeDocument/2006/relationships/hyperlink" Target="https://login.consultant.ru/link/?req=doc&amp;base=LAW&amp;n=409675&amp;dst=100677" TargetMode = "External"/>
	<Relationship Id="rId241" Type="http://schemas.openxmlformats.org/officeDocument/2006/relationships/hyperlink" Target="https://login.consultant.ru/link/?req=doc&amp;base=LAW&amp;n=351023&amp;dst=100466" TargetMode = "External"/>
	<Relationship Id="rId242" Type="http://schemas.openxmlformats.org/officeDocument/2006/relationships/hyperlink" Target="https://login.consultant.ru/link/?req=doc&amp;base=LAW&amp;n=351023&amp;dst=100467" TargetMode = "External"/>
	<Relationship Id="rId243" Type="http://schemas.openxmlformats.org/officeDocument/2006/relationships/hyperlink" Target="https://login.consultant.ru/link/?req=doc&amp;base=LAW&amp;n=420304&amp;dst=100047" TargetMode = "External"/>
	<Relationship Id="rId244" Type="http://schemas.openxmlformats.org/officeDocument/2006/relationships/hyperlink" Target="https://login.consultant.ru/link/?req=doc&amp;base=LAW&amp;n=420304&amp;dst=100047" TargetMode = "External"/>
	<Relationship Id="rId245" Type="http://schemas.openxmlformats.org/officeDocument/2006/relationships/hyperlink" Target="https://login.consultant.ru/link/?req=doc&amp;base=LAW&amp;n=420304&amp;dst=100047" TargetMode = "External"/>
	<Relationship Id="rId246" Type="http://schemas.openxmlformats.org/officeDocument/2006/relationships/hyperlink" Target="https://login.consultant.ru/link/?req=doc&amp;base=LAW&amp;n=420304&amp;dst=100047" TargetMode = "External"/>
	<Relationship Id="rId247" Type="http://schemas.openxmlformats.org/officeDocument/2006/relationships/hyperlink" Target="https://login.consultant.ru/link/?req=doc&amp;base=LAW&amp;n=418281&amp;dst=100027" TargetMode = "External"/>
	<Relationship Id="rId248" Type="http://schemas.openxmlformats.org/officeDocument/2006/relationships/hyperlink" Target="https://login.consultant.ru/link/?req=doc&amp;base=LAW&amp;n=421276&amp;dst=100061" TargetMode = "External"/>
	<Relationship Id="rId249" Type="http://schemas.openxmlformats.org/officeDocument/2006/relationships/hyperlink" Target="https://login.consultant.ru/link/?req=doc&amp;base=LAW&amp;n=409675&amp;dst=358" TargetMode = "External"/>
	<Relationship Id="rId250" Type="http://schemas.openxmlformats.org/officeDocument/2006/relationships/hyperlink" Target="https://login.consultant.ru/link/?req=doc&amp;base=LAW&amp;n=421276&amp;dst=1795" TargetMode = "External"/>
	<Relationship Id="rId251" Type="http://schemas.openxmlformats.org/officeDocument/2006/relationships/hyperlink" Target="https://login.consultant.ru/link/?req=doc&amp;base=LAW&amp;n=416136&amp;dst=100360" TargetMode = "External"/>
	<Relationship Id="rId252" Type="http://schemas.openxmlformats.org/officeDocument/2006/relationships/hyperlink" Target="https://login.consultant.ru/link/?req=doc&amp;base=LAW&amp;n=356090&amp;dst=100014" TargetMode = "External"/>
	<Relationship Id="rId253" Type="http://schemas.openxmlformats.org/officeDocument/2006/relationships/hyperlink" Target="https://login.consultant.ru/link/?req=doc&amp;base=LAW&amp;n=166611&amp;dst=100011" TargetMode = "External"/>
	<Relationship Id="rId254" Type="http://schemas.openxmlformats.org/officeDocument/2006/relationships/hyperlink" Target="https://login.consultant.ru/link/?req=doc&amp;base=LAW&amp;n=420304&amp;dst=100047" TargetMode = "External"/>
	<Relationship Id="rId255" Type="http://schemas.openxmlformats.org/officeDocument/2006/relationships/hyperlink" Target="https://login.consultant.ru/link/?req=doc&amp;base=LAW&amp;n=420304&amp;dst=100880" TargetMode = "External"/>
	<Relationship Id="rId256" Type="http://schemas.openxmlformats.org/officeDocument/2006/relationships/hyperlink" Target="https://login.consultant.ru/link/?req=doc&amp;base=LAW&amp;n=209498&amp;dst=100010" TargetMode = "External"/>
	<Relationship Id="rId257" Type="http://schemas.openxmlformats.org/officeDocument/2006/relationships/hyperlink" Target="https://login.consultant.ru/link/?req=doc&amp;base=LAW&amp;n=205587&amp;dst=100011" TargetMode = "External"/>
	<Relationship Id="rId258" Type="http://schemas.openxmlformats.org/officeDocument/2006/relationships/hyperlink" Target="https://login.consultant.ru/link/?req=doc&amp;base=LAW&amp;n=166611&amp;dst=100027" TargetMode = "External"/>
	<Relationship Id="rId259" Type="http://schemas.openxmlformats.org/officeDocument/2006/relationships/hyperlink" Target="https://login.consultant.ru/link/?req=doc&amp;base=LAW&amp;n=420304&amp;dst=100047" TargetMode = "External"/>
	<Relationship Id="rId260" Type="http://schemas.openxmlformats.org/officeDocument/2006/relationships/hyperlink" Target="https://login.consultant.ru/link/?req=doc&amp;base=LAW&amp;n=209498&amp;dst=100011" TargetMode = "External"/>
	<Relationship Id="rId261" Type="http://schemas.openxmlformats.org/officeDocument/2006/relationships/hyperlink" Target="https://login.consultant.ru/link/?req=doc&amp;base=LAW&amp;n=420304&amp;dst=100770" TargetMode = "External"/>
	<Relationship Id="rId262" Type="http://schemas.openxmlformats.org/officeDocument/2006/relationships/hyperlink" Target="https://login.consultant.ru/link/?req=doc&amp;base=LAW&amp;n=182491&amp;dst=100011" TargetMode = "External"/>
	<Relationship Id="rId263" Type="http://schemas.openxmlformats.org/officeDocument/2006/relationships/hyperlink" Target="https://login.consultant.ru/link/?req=doc&amp;base=LAW&amp;n=421276&amp;dst=1581" TargetMode = "External"/>
	<Relationship Id="rId264" Type="http://schemas.openxmlformats.org/officeDocument/2006/relationships/hyperlink" Target="https://login.consultant.ru/link/?req=doc&amp;base=LAW&amp;n=421276&amp;dst=100061" TargetMode = "External"/>
	<Relationship Id="rId265" Type="http://schemas.openxmlformats.org/officeDocument/2006/relationships/hyperlink" Target="https://login.consultant.ru/link/?req=doc&amp;base=LAW&amp;n=327594&amp;dst=100011" TargetMode = "External"/>
	<Relationship Id="rId266" Type="http://schemas.openxmlformats.org/officeDocument/2006/relationships/hyperlink" Target="https://login.consultant.ru/link/?req=doc&amp;base=LAW&amp;n=105613&amp;dst=100010" TargetMode = "External"/>
	<Relationship Id="rId267" Type="http://schemas.openxmlformats.org/officeDocument/2006/relationships/hyperlink" Target="https://login.consultant.ru/link/?req=doc&amp;base=LAW&amp;n=421276&amp;dst=101665" TargetMode = "External"/>
	<Relationship Id="rId268" Type="http://schemas.openxmlformats.org/officeDocument/2006/relationships/hyperlink" Target="https://login.consultant.ru/link/?req=doc&amp;base=LAW&amp;n=375470&amp;dst=100996" TargetMode = "External"/>
	<Relationship Id="rId269" Type="http://schemas.openxmlformats.org/officeDocument/2006/relationships/hyperlink" Target="https://login.consultant.ru/link/?req=doc&amp;base=LAW&amp;n=375470&amp;dst=100997" TargetMode = "External"/>
	<Relationship Id="rId270" Type="http://schemas.openxmlformats.org/officeDocument/2006/relationships/hyperlink" Target="https://login.consultant.ru/link/?req=doc&amp;base=LAW&amp;n=421276&amp;dst=101666" TargetMode = "External"/>
	<Relationship Id="rId271" Type="http://schemas.openxmlformats.org/officeDocument/2006/relationships/hyperlink" Target="https://login.consultant.ru/link/?req=doc&amp;base=LAW&amp;n=375470&amp;dst=100999" TargetMode = "External"/>
	<Relationship Id="rId272" Type="http://schemas.openxmlformats.org/officeDocument/2006/relationships/hyperlink" Target="https://login.consultant.ru/link/?req=doc&amp;base=LAW&amp;n=421276&amp;dst=101668" TargetMode = "External"/>
	<Relationship Id="rId273" Type="http://schemas.openxmlformats.org/officeDocument/2006/relationships/hyperlink" Target="https://login.consultant.ru/link/?req=doc&amp;base=LAW&amp;n=421276&amp;dst=101682" TargetMode = "External"/>
	<Relationship Id="rId274" Type="http://schemas.openxmlformats.org/officeDocument/2006/relationships/hyperlink" Target="https://login.consultant.ru/link/?req=doc&amp;base=LAW&amp;n=158916&amp;dst=100011" TargetMode = "External"/>
	<Relationship Id="rId275" Type="http://schemas.openxmlformats.org/officeDocument/2006/relationships/hyperlink" Target="https://login.consultant.ru/link/?req=doc&amp;base=LAW&amp;n=409675&amp;dst=100061" TargetMode = "External"/>
	<Relationship Id="rId276" Type="http://schemas.openxmlformats.org/officeDocument/2006/relationships/hyperlink" Target="https://login.consultant.ru/link/?req=doc&amp;base=LAW&amp;n=370112&amp;dst=100009" TargetMode = "External"/>
	<Relationship Id="rId277" Type="http://schemas.openxmlformats.org/officeDocument/2006/relationships/hyperlink" Target="https://login.consultant.ru/link/?req=doc&amp;base=LAW&amp;n=421276&amp;dst=101684" TargetMode = "External"/>
	<Relationship Id="rId278" Type="http://schemas.openxmlformats.org/officeDocument/2006/relationships/hyperlink" Target="https://login.consultant.ru/link/?req=doc&amp;base=LAW&amp;n=397753&amp;dst=100012" TargetMode = "External"/>
	<Relationship Id="rId279" Type="http://schemas.openxmlformats.org/officeDocument/2006/relationships/hyperlink" Target="https://login.consultant.ru/link/?req=doc&amp;base=LAW&amp;n=397757&amp;dst=100023" TargetMode = "External"/>
	<Relationship Id="rId280" Type="http://schemas.openxmlformats.org/officeDocument/2006/relationships/hyperlink" Target="https://login.consultant.ru/link/?req=doc&amp;base=LAW&amp;n=421276&amp;dst=101686" TargetMode = "External"/>
	<Relationship Id="rId281" Type="http://schemas.openxmlformats.org/officeDocument/2006/relationships/hyperlink" Target="https://login.consultant.ru/link/?req=doc&amp;base=LAW&amp;n=421276&amp;dst=101687" TargetMode = "External"/>
	<Relationship Id="rId282" Type="http://schemas.openxmlformats.org/officeDocument/2006/relationships/hyperlink" Target="https://login.consultant.ru/link/?req=doc&amp;base=LAW&amp;n=158916&amp;dst=100013" TargetMode = "External"/>
	<Relationship Id="rId283" Type="http://schemas.openxmlformats.org/officeDocument/2006/relationships/hyperlink" Target="https://login.consultant.ru/link/?req=doc&amp;base=LAW&amp;n=421276&amp;dst=101689" TargetMode = "External"/>
	<Relationship Id="rId284" Type="http://schemas.openxmlformats.org/officeDocument/2006/relationships/hyperlink" Target="https://login.consultant.ru/link/?req=doc&amp;base=LAW&amp;n=158916&amp;dst=100015" TargetMode = "External"/>
	<Relationship Id="rId285" Type="http://schemas.openxmlformats.org/officeDocument/2006/relationships/hyperlink" Target="https://login.consultant.ru/link/?req=doc&amp;base=LAW&amp;n=409675&amp;dst=100062" TargetMode = "External"/>
	<Relationship Id="rId286" Type="http://schemas.openxmlformats.org/officeDocument/2006/relationships/hyperlink" Target="https://login.consultant.ru/link/?req=doc&amp;base=LAW&amp;n=147703&amp;dst=100147" TargetMode = "External"/>
	<Relationship Id="rId287" Type="http://schemas.openxmlformats.org/officeDocument/2006/relationships/hyperlink" Target="https://login.consultant.ru/link/?req=doc&amp;base=LAW&amp;n=158916&amp;dst=100017" TargetMode = "External"/>
	<Relationship Id="rId288" Type="http://schemas.openxmlformats.org/officeDocument/2006/relationships/hyperlink" Target="https://login.consultant.ru/link/?req=doc&amp;base=LAW&amp;n=421276&amp;dst=101691" TargetMode = "External"/>
	<Relationship Id="rId289" Type="http://schemas.openxmlformats.org/officeDocument/2006/relationships/hyperlink" Target="https://login.consultant.ru/link/?req=doc&amp;base=LAW&amp;n=421276&amp;dst=100061" TargetMode = "External"/>
	<Relationship Id="rId290" Type="http://schemas.openxmlformats.org/officeDocument/2006/relationships/hyperlink" Target="https://login.consultant.ru/link/?req=doc&amp;base=LAW&amp;n=421276&amp;dst=101692" TargetMode = "External"/>
	<Relationship Id="rId291" Type="http://schemas.openxmlformats.org/officeDocument/2006/relationships/hyperlink" Target="https://login.consultant.ru/link/?req=doc&amp;base=LAW&amp;n=421276&amp;dst=101331" TargetMode = "External"/>
	<Relationship Id="rId292" Type="http://schemas.openxmlformats.org/officeDocument/2006/relationships/hyperlink" Target="https://login.consultant.ru/link/?req=doc&amp;base=LAW&amp;n=421276&amp;dst=101331" TargetMode = "External"/>
	<Relationship Id="rId293" Type="http://schemas.openxmlformats.org/officeDocument/2006/relationships/hyperlink" Target="https://login.consultant.ru/link/?req=doc&amp;base=LAW&amp;n=217515&amp;dst=100045" TargetMode = "External"/>
	<Relationship Id="rId294" Type="http://schemas.openxmlformats.org/officeDocument/2006/relationships/hyperlink" Target="https://login.consultant.ru/link/?req=doc&amp;base=LAW&amp;n=399543&amp;dst=100013" TargetMode = "External"/>
	<Relationship Id="rId295" Type="http://schemas.openxmlformats.org/officeDocument/2006/relationships/hyperlink" Target="https://login.consultant.ru/link/?req=doc&amp;base=LAW&amp;n=421276&amp;dst=101331" TargetMode = "External"/>
	<Relationship Id="rId296" Type="http://schemas.openxmlformats.org/officeDocument/2006/relationships/hyperlink" Target="https://login.consultant.ru/link/?req=doc&amp;base=LAW&amp;n=375470&amp;dst=101000" TargetMode = "External"/>
	<Relationship Id="rId297" Type="http://schemas.openxmlformats.org/officeDocument/2006/relationships/hyperlink" Target="https://login.consultant.ru/link/?req=doc&amp;base=LAW&amp;n=421276&amp;dst=101696" TargetMode = "External"/>
	<Relationship Id="rId298" Type="http://schemas.openxmlformats.org/officeDocument/2006/relationships/hyperlink" Target="https://login.consultant.ru/link/?req=doc&amp;base=LAW&amp;n=421276&amp;dst=101539" TargetMode = "External"/>
	<Relationship Id="rId299" Type="http://schemas.openxmlformats.org/officeDocument/2006/relationships/hyperlink" Target="https://login.consultant.ru/link/?req=doc&amp;base=LAW&amp;n=306961&amp;dst=100017" TargetMode = "External"/>
	<Relationship Id="rId300" Type="http://schemas.openxmlformats.org/officeDocument/2006/relationships/hyperlink" Target="https://login.consultant.ru/link/?req=doc&amp;base=LAW&amp;n=421276&amp;dst=101539" TargetMode = "External"/>
	<Relationship Id="rId301" Type="http://schemas.openxmlformats.org/officeDocument/2006/relationships/hyperlink" Target="https://login.consultant.ru/link/?req=doc&amp;base=LAW&amp;n=306961&amp;dst=100019" TargetMode = "External"/>
	<Relationship Id="rId302" Type="http://schemas.openxmlformats.org/officeDocument/2006/relationships/hyperlink" Target="https://login.consultant.ru/link/?req=doc&amp;base=LAW&amp;n=421276&amp;dst=101697" TargetMode = "External"/>
	<Relationship Id="rId303" Type="http://schemas.openxmlformats.org/officeDocument/2006/relationships/hyperlink" Target="https://login.consultant.ru/link/?req=doc&amp;base=LAW&amp;n=306961&amp;dst=100021" TargetMode = "External"/>
	<Relationship Id="rId304" Type="http://schemas.openxmlformats.org/officeDocument/2006/relationships/hyperlink" Target="https://login.consultant.ru/link/?req=doc&amp;base=LAW&amp;n=421276&amp;dst=101703" TargetMode = "External"/>
	<Relationship Id="rId305" Type="http://schemas.openxmlformats.org/officeDocument/2006/relationships/hyperlink" Target="https://login.consultant.ru/link/?req=doc&amp;base=LAW&amp;n=311353&amp;dst=100347" TargetMode = "External"/>
	<Relationship Id="rId306" Type="http://schemas.openxmlformats.org/officeDocument/2006/relationships/hyperlink" Target="https://login.consultant.ru/link/?req=doc&amp;base=LAW&amp;n=311353&amp;dst=100010" TargetMode = "External"/>
	<Relationship Id="rId307" Type="http://schemas.openxmlformats.org/officeDocument/2006/relationships/hyperlink" Target="https://login.consultant.ru/link/?req=doc&amp;base=LAW&amp;n=306961&amp;dst=100029" TargetMode = "External"/>
	<Relationship Id="rId308" Type="http://schemas.openxmlformats.org/officeDocument/2006/relationships/hyperlink" Target="https://login.consultant.ru/link/?req=doc&amp;base=LAW&amp;n=421276&amp;dst=101331" TargetMode = "External"/>
	<Relationship Id="rId309" Type="http://schemas.openxmlformats.org/officeDocument/2006/relationships/hyperlink" Target="https://login.consultant.ru/link/?req=doc&amp;base=LAW&amp;n=421276&amp;dst=101708" TargetMode = "External"/>
	<Relationship Id="rId310" Type="http://schemas.openxmlformats.org/officeDocument/2006/relationships/hyperlink" Target="https://login.consultant.ru/link/?req=doc&amp;base=LAW&amp;n=375470&amp;dst=101005" TargetMode = "External"/>
	<Relationship Id="rId311" Type="http://schemas.openxmlformats.org/officeDocument/2006/relationships/hyperlink" Target="https://login.consultant.ru/link/?req=doc&amp;base=LAW&amp;n=375470&amp;dst=101007" TargetMode = "External"/>
	<Relationship Id="rId312" Type="http://schemas.openxmlformats.org/officeDocument/2006/relationships/hyperlink" Target="https://login.consultant.ru/link/?req=doc&amp;base=LAW&amp;n=375470&amp;dst=101008" TargetMode = "External"/>
	<Relationship Id="rId313" Type="http://schemas.openxmlformats.org/officeDocument/2006/relationships/hyperlink" Target="https://login.consultant.ru/link/?req=doc&amp;base=LAW&amp;n=375470&amp;dst=101009" TargetMode = "External"/>
	<Relationship Id="rId314" Type="http://schemas.openxmlformats.org/officeDocument/2006/relationships/hyperlink" Target="https://login.consultant.ru/link/?req=doc&amp;base=LAW&amp;n=375470&amp;dst=101010" TargetMode = "External"/>
	<Relationship Id="rId315" Type="http://schemas.openxmlformats.org/officeDocument/2006/relationships/hyperlink" Target="https://login.consultant.ru/link/?req=doc&amp;base=LAW&amp;n=421276&amp;dst=101711" TargetMode = "External"/>
	<Relationship Id="rId316" Type="http://schemas.openxmlformats.org/officeDocument/2006/relationships/hyperlink" Target="https://login.consultant.ru/link/?req=doc&amp;base=LAW&amp;n=347569&amp;dst=100011" TargetMode = "External"/>
	<Relationship Id="rId317" Type="http://schemas.openxmlformats.org/officeDocument/2006/relationships/hyperlink" Target="https://login.consultant.ru/link/?req=doc&amp;base=LAW&amp;n=130522&amp;dst=100026" TargetMode = "External"/>
	<Relationship Id="rId318" Type="http://schemas.openxmlformats.org/officeDocument/2006/relationships/hyperlink" Target="https://login.consultant.ru/link/?req=doc&amp;base=LAW&amp;n=347569&amp;dst=100013" TargetMode = "External"/>
	<Relationship Id="rId319" Type="http://schemas.openxmlformats.org/officeDocument/2006/relationships/hyperlink" Target="https://login.consultant.ru/link/?req=doc&amp;base=LAW&amp;n=389696&amp;dst=100047" TargetMode = "External"/>
	<Relationship Id="rId320" Type="http://schemas.openxmlformats.org/officeDocument/2006/relationships/hyperlink" Target="https://login.consultant.ru/link/?req=doc&amp;base=LAW&amp;n=421276&amp;dst=101717" TargetMode = "External"/>
	<Relationship Id="rId321" Type="http://schemas.openxmlformats.org/officeDocument/2006/relationships/hyperlink" Target="https://login.consultant.ru/link/?req=doc&amp;base=LAW&amp;n=404426&amp;dst=100013" TargetMode = "External"/>
	<Relationship Id="rId322" Type="http://schemas.openxmlformats.org/officeDocument/2006/relationships/hyperlink" Target="https://login.consultant.ru/link/?req=doc&amp;base=LAW&amp;n=375470&amp;dst=100052" TargetMode = "External"/>
	<Relationship Id="rId323" Type="http://schemas.openxmlformats.org/officeDocument/2006/relationships/hyperlink" Target="https://login.consultant.ru/link/?req=doc&amp;base=LAW&amp;n=375470&amp;dst=101011" TargetMode = "External"/>
	<Relationship Id="rId324" Type="http://schemas.openxmlformats.org/officeDocument/2006/relationships/hyperlink" Target="https://login.consultant.ru/link/?req=doc&amp;base=LAW&amp;n=421276&amp;dst=101719" TargetMode = "External"/>
	<Relationship Id="rId325" Type="http://schemas.openxmlformats.org/officeDocument/2006/relationships/hyperlink" Target="https://login.consultant.ru/link/?req=doc&amp;base=LAW&amp;n=421276&amp;dst=101721" TargetMode = "External"/>
	<Relationship Id="rId326" Type="http://schemas.openxmlformats.org/officeDocument/2006/relationships/hyperlink" Target="https://login.consultant.ru/link/?req=doc&amp;base=LAW&amp;n=420971&amp;dst=100024" TargetMode = "External"/>
	<Relationship Id="rId327" Type="http://schemas.openxmlformats.org/officeDocument/2006/relationships/hyperlink" Target="https://login.consultant.ru/link/?req=doc&amp;base=LAW&amp;n=166611&amp;dst=100036" TargetMode = "External"/>
	<Relationship Id="rId328" Type="http://schemas.openxmlformats.org/officeDocument/2006/relationships/hyperlink" Target="https://login.consultant.ru/link/?req=doc&amp;base=LAW&amp;n=375470&amp;dst=100052" TargetMode = "External"/>
	<Relationship Id="rId329" Type="http://schemas.openxmlformats.org/officeDocument/2006/relationships/hyperlink" Target="https://login.consultant.ru/link/?req=doc&amp;base=LAW&amp;n=412480&amp;dst=100036" TargetMode = "External"/>
	<Relationship Id="rId330" Type="http://schemas.openxmlformats.org/officeDocument/2006/relationships/hyperlink" Target="https://login.consultant.ru/link/?req=doc&amp;base=LAW&amp;n=375470&amp;dst=101013" TargetMode = "External"/>
	<Relationship Id="rId331" Type="http://schemas.openxmlformats.org/officeDocument/2006/relationships/hyperlink" Target="https://login.consultant.ru/link/?req=doc&amp;base=LAW&amp;n=412480&amp;dst=100733" TargetMode = "External"/>
	<Relationship Id="rId332" Type="http://schemas.openxmlformats.org/officeDocument/2006/relationships/hyperlink" Target="https://login.consultant.ru/link/?req=doc&amp;base=LAW&amp;n=375470&amp;dst=100052" TargetMode = "External"/>
	<Relationship Id="rId333" Type="http://schemas.openxmlformats.org/officeDocument/2006/relationships/hyperlink" Target="https://login.consultant.ru/link/?req=doc&amp;base=LAW&amp;n=375470&amp;dst=101015" TargetMode = "External"/>
	<Relationship Id="rId334" Type="http://schemas.openxmlformats.org/officeDocument/2006/relationships/hyperlink" Target="https://login.consultant.ru/link/?req=doc&amp;base=LAW&amp;n=375470&amp;dst=101017" TargetMode = "External"/>
	<Relationship Id="rId335" Type="http://schemas.openxmlformats.org/officeDocument/2006/relationships/hyperlink" Target="https://login.consultant.ru/link/?req=doc&amp;base=LAW&amp;n=375470&amp;dst=101019" TargetMode = "External"/>
	<Relationship Id="rId336" Type="http://schemas.openxmlformats.org/officeDocument/2006/relationships/hyperlink" Target="https://login.consultant.ru/link/?req=doc&amp;base=LAW&amp;n=421276&amp;dst=101331" TargetMode = "External"/>
	<Relationship Id="rId337" Type="http://schemas.openxmlformats.org/officeDocument/2006/relationships/hyperlink" Target="https://login.consultant.ru/link/?req=doc&amp;base=LAW&amp;n=421276&amp;dst=101722" TargetMode = "External"/>
	<Relationship Id="rId338" Type="http://schemas.openxmlformats.org/officeDocument/2006/relationships/hyperlink" Target="https://login.consultant.ru/link/?req=doc&amp;base=LAW&amp;n=421276&amp;dst=101724" TargetMode = "External"/>
	<Relationship Id="rId339" Type="http://schemas.openxmlformats.org/officeDocument/2006/relationships/hyperlink" Target="https://login.consultant.ru/link/?req=doc&amp;base=LAW&amp;n=375470&amp;dst=101020" TargetMode = "External"/>
	<Relationship Id="rId340" Type="http://schemas.openxmlformats.org/officeDocument/2006/relationships/hyperlink" Target="https://login.consultant.ru/link/?req=doc&amp;base=LAW&amp;n=375470&amp;dst=101021" TargetMode = "External"/>
	<Relationship Id="rId341" Type="http://schemas.openxmlformats.org/officeDocument/2006/relationships/hyperlink" Target="https://login.consultant.ru/link/?req=doc&amp;base=LAW&amp;n=404426&amp;dst=100014" TargetMode = "External"/>
	<Relationship Id="rId342" Type="http://schemas.openxmlformats.org/officeDocument/2006/relationships/hyperlink" Target="https://login.consultant.ru/link/?req=doc&amp;base=LAW&amp;n=388976&amp;dst=100007" TargetMode = "External"/>
	<Relationship Id="rId343" Type="http://schemas.openxmlformats.org/officeDocument/2006/relationships/hyperlink" Target="https://login.consultant.ru/link/?req=doc&amp;base=LAW&amp;n=160075&amp;dst=100013" TargetMode = "External"/>
	<Relationship Id="rId344" Type="http://schemas.openxmlformats.org/officeDocument/2006/relationships/hyperlink" Target="https://login.consultant.ru/link/?req=doc&amp;base=LAW&amp;n=375469&amp;dst=122" TargetMode = "External"/>
	<Relationship Id="rId345" Type="http://schemas.openxmlformats.org/officeDocument/2006/relationships/hyperlink" Target="https://login.consultant.ru/link/?req=doc&amp;base=LAW&amp;n=317695&amp;dst=101007" TargetMode = "External"/>
	<Relationship Id="rId346" Type="http://schemas.openxmlformats.org/officeDocument/2006/relationships/hyperlink" Target="https://login.consultant.ru/link/?req=doc&amp;base=LAW&amp;n=404426&amp;dst=100016" TargetMode = "External"/>
	<Relationship Id="rId347" Type="http://schemas.openxmlformats.org/officeDocument/2006/relationships/hyperlink" Target="https://login.consultant.ru/link/?req=doc&amp;base=LAW&amp;n=182491&amp;dst=100013" TargetMode = "External"/>
	<Relationship Id="rId348" Type="http://schemas.openxmlformats.org/officeDocument/2006/relationships/hyperlink" Target="https://login.consultant.ru/link/?req=doc&amp;base=LAW&amp;n=182491&amp;dst=100015" TargetMode = "External"/>
	<Relationship Id="rId349" Type="http://schemas.openxmlformats.org/officeDocument/2006/relationships/hyperlink" Target="https://login.consultant.ru/link/?req=doc&amp;base=LAW&amp;n=381278&amp;dst=100016" TargetMode = "External"/>
	<Relationship Id="rId350" Type="http://schemas.openxmlformats.org/officeDocument/2006/relationships/hyperlink" Target="https://login.consultant.ru/link/?req=doc&amp;base=LAW&amp;n=284311&amp;dst=100012" TargetMode = "External"/>
	<Relationship Id="rId351" Type="http://schemas.openxmlformats.org/officeDocument/2006/relationships/hyperlink" Target="https://login.consultant.ru/link/?req=doc&amp;base=LAW&amp;n=375470&amp;dst=101022" TargetMode = "External"/>
	<Relationship Id="rId352" Type="http://schemas.openxmlformats.org/officeDocument/2006/relationships/hyperlink" Target="https://login.consultant.ru/link/?req=doc&amp;base=LAW&amp;n=405778&amp;dst=100179" TargetMode = "External"/>
	<Relationship Id="rId353" Type="http://schemas.openxmlformats.org/officeDocument/2006/relationships/hyperlink" Target="https://login.consultant.ru/link/?req=doc&amp;base=LAW&amp;n=166611&amp;dst=100038" TargetMode = "External"/>
	<Relationship Id="rId354" Type="http://schemas.openxmlformats.org/officeDocument/2006/relationships/hyperlink" Target="https://login.consultant.ru/link/?req=doc&amp;base=LAW&amp;n=405778&amp;dst=100179" TargetMode = "External"/>
	<Relationship Id="rId355" Type="http://schemas.openxmlformats.org/officeDocument/2006/relationships/hyperlink" Target="https://login.consultant.ru/link/?req=doc&amp;base=LAW&amp;n=420304&amp;dst=100047" TargetMode = "External"/>
	<Relationship Id="rId356" Type="http://schemas.openxmlformats.org/officeDocument/2006/relationships/hyperlink" Target="https://login.consultant.ru/link/?req=doc&amp;base=LAW&amp;n=420304&amp;dst=100589" TargetMode = "External"/>
	<Relationship Id="rId357" Type="http://schemas.openxmlformats.org/officeDocument/2006/relationships/hyperlink" Target="https://login.consultant.ru/link/?req=doc&amp;base=LAW&amp;n=421276&amp;dst=101732" TargetMode = "External"/>
	<Relationship Id="rId358" Type="http://schemas.openxmlformats.org/officeDocument/2006/relationships/hyperlink" Target="https://login.consultant.ru/link/?req=doc&amp;base=LAW&amp;n=421276&amp;dst=101734" TargetMode = "External"/>
	<Relationship Id="rId359" Type="http://schemas.openxmlformats.org/officeDocument/2006/relationships/hyperlink" Target="https://login.consultant.ru/link/?req=doc&amp;base=LAW&amp;n=219822&amp;dst=100013" TargetMode = "External"/>
	<Relationship Id="rId360" Type="http://schemas.openxmlformats.org/officeDocument/2006/relationships/hyperlink" Target="https://login.consultant.ru/link/?req=doc&amp;base=LAW&amp;n=219822&amp;dst=100015" TargetMode = "External"/>
	<Relationship Id="rId361" Type="http://schemas.openxmlformats.org/officeDocument/2006/relationships/hyperlink" Target="https://login.consultant.ru/link/?req=doc&amp;base=LAW&amp;n=219822&amp;dst=100016" TargetMode = "External"/>
	<Relationship Id="rId362" Type="http://schemas.openxmlformats.org/officeDocument/2006/relationships/hyperlink" Target="https://login.consultant.ru/link/?req=doc&amp;base=LAW&amp;n=219822&amp;dst=100017" TargetMode = "External"/>
	<Relationship Id="rId363" Type="http://schemas.openxmlformats.org/officeDocument/2006/relationships/hyperlink" Target="https://login.consultant.ru/link/?req=doc&amp;base=LAW&amp;n=219822&amp;dst=100018" TargetMode = "External"/>
	<Relationship Id="rId364" Type="http://schemas.openxmlformats.org/officeDocument/2006/relationships/hyperlink" Target="https://login.consultant.ru/link/?req=doc&amp;base=LAW&amp;n=217515&amp;dst=100049" TargetMode = "External"/>
	<Relationship Id="rId365" Type="http://schemas.openxmlformats.org/officeDocument/2006/relationships/hyperlink" Target="https://login.consultant.ru/link/?req=doc&amp;base=LAW&amp;n=219822&amp;dst=100020" TargetMode = "External"/>
	<Relationship Id="rId366" Type="http://schemas.openxmlformats.org/officeDocument/2006/relationships/hyperlink" Target="https://login.consultant.ru/link/?req=doc&amp;base=LAW&amp;n=409675&amp;dst=100062" TargetMode = "External"/>
	<Relationship Id="rId367" Type="http://schemas.openxmlformats.org/officeDocument/2006/relationships/hyperlink" Target="https://login.consultant.ru/link/?req=doc&amp;base=LAW&amp;n=147703&amp;dst=100149" TargetMode = "External"/>
	<Relationship Id="rId368" Type="http://schemas.openxmlformats.org/officeDocument/2006/relationships/hyperlink" Target="https://login.consultant.ru/link/?req=doc&amp;base=LAW&amp;n=219822&amp;dst=100023" TargetMode = "External"/>
	<Relationship Id="rId369" Type="http://schemas.openxmlformats.org/officeDocument/2006/relationships/hyperlink" Target="https://login.consultant.ru/link/?req=doc&amp;base=LAW&amp;n=147703&amp;dst=100151" TargetMode = "External"/>
	<Relationship Id="rId370" Type="http://schemas.openxmlformats.org/officeDocument/2006/relationships/hyperlink" Target="https://login.consultant.ru/link/?req=doc&amp;base=LAW&amp;n=219822&amp;dst=100024" TargetMode = "External"/>
	<Relationship Id="rId371" Type="http://schemas.openxmlformats.org/officeDocument/2006/relationships/hyperlink" Target="https://login.consultant.ru/link/?req=doc&amp;base=LAW&amp;n=280799&amp;dst=100011" TargetMode = "External"/>
	<Relationship Id="rId372" Type="http://schemas.openxmlformats.org/officeDocument/2006/relationships/hyperlink" Target="https://login.consultant.ru/link/?req=doc&amp;base=LAW&amp;n=205274&amp;dst=100009" TargetMode = "External"/>
	<Relationship Id="rId373" Type="http://schemas.openxmlformats.org/officeDocument/2006/relationships/hyperlink" Target="https://login.consultant.ru/link/?req=doc&amp;base=LAW&amp;n=206324&amp;dst=100011" TargetMode = "External"/>
	<Relationship Id="rId374" Type="http://schemas.openxmlformats.org/officeDocument/2006/relationships/hyperlink" Target="https://login.consultant.ru/link/?req=doc&amp;base=LAW&amp;n=409675&amp;dst=100062" TargetMode = "External"/>
	<Relationship Id="rId375" Type="http://schemas.openxmlformats.org/officeDocument/2006/relationships/hyperlink" Target="https://login.consultant.ru/link/?req=doc&amp;base=LAW&amp;n=147703&amp;dst=100152" TargetMode = "External"/>
	<Relationship Id="rId376" Type="http://schemas.openxmlformats.org/officeDocument/2006/relationships/hyperlink" Target="https://login.consultant.ru/link/?req=doc&amp;base=LAW&amp;n=206324&amp;dst=100013" TargetMode = "External"/>
	<Relationship Id="rId377" Type="http://schemas.openxmlformats.org/officeDocument/2006/relationships/hyperlink" Target="https://login.consultant.ru/link/?req=doc&amp;base=LAW&amp;n=206324&amp;dst=100015" TargetMode = "External"/>
	<Relationship Id="rId378" Type="http://schemas.openxmlformats.org/officeDocument/2006/relationships/hyperlink" Target="https://login.consultant.ru/link/?req=doc&amp;base=LAW&amp;n=420304&amp;dst=100047" TargetMode = "External"/>
	<Relationship Id="rId379" Type="http://schemas.openxmlformats.org/officeDocument/2006/relationships/hyperlink" Target="https://login.consultant.ru/link/?req=doc&amp;base=LAW&amp;n=214070&amp;dst=100010" TargetMode = "External"/>
	<Relationship Id="rId380" Type="http://schemas.openxmlformats.org/officeDocument/2006/relationships/hyperlink" Target="https://login.consultant.ru/link/?req=doc&amp;base=LAW&amp;n=214070&amp;dst=100012" TargetMode = "External"/>
	<Relationship Id="rId381" Type="http://schemas.openxmlformats.org/officeDocument/2006/relationships/hyperlink" Target="https://login.consultant.ru/link/?req=doc&amp;base=LAW&amp;n=214070&amp;dst=100014" TargetMode = "External"/>
	<Relationship Id="rId382" Type="http://schemas.openxmlformats.org/officeDocument/2006/relationships/hyperlink" Target="https://login.consultant.ru/link/?req=doc&amp;base=LAW&amp;n=214070&amp;dst=100015" TargetMode = "External"/>
	<Relationship Id="rId383" Type="http://schemas.openxmlformats.org/officeDocument/2006/relationships/hyperlink" Target="https://login.consultant.ru/link/?req=doc&amp;base=LAW&amp;n=214070&amp;dst=100016" TargetMode = "External"/>
	<Relationship Id="rId384" Type="http://schemas.openxmlformats.org/officeDocument/2006/relationships/hyperlink" Target="https://login.consultant.ru/link/?req=doc&amp;base=LAW&amp;n=214070&amp;dst=100017" TargetMode = "External"/>
	<Relationship Id="rId385" Type="http://schemas.openxmlformats.org/officeDocument/2006/relationships/hyperlink" Target="https://login.consultant.ru/link/?req=doc&amp;base=LAW&amp;n=214070&amp;dst=100018" TargetMode = "External"/>
	<Relationship Id="rId386" Type="http://schemas.openxmlformats.org/officeDocument/2006/relationships/hyperlink" Target="https://login.consultant.ru/link/?req=doc&amp;base=LAW&amp;n=404424&amp;dst=100022" TargetMode = "External"/>
	<Relationship Id="rId387" Type="http://schemas.openxmlformats.org/officeDocument/2006/relationships/hyperlink" Target="https://login.consultant.ru/link/?req=doc&amp;base=LAW&amp;n=212667&amp;dst=100068" TargetMode = "External"/>
	<Relationship Id="rId388" Type="http://schemas.openxmlformats.org/officeDocument/2006/relationships/hyperlink" Target="https://login.consultant.ru/link/?req=doc&amp;base=LAW&amp;n=421276&amp;dst=101539" TargetMode = "External"/>
	<Relationship Id="rId389" Type="http://schemas.openxmlformats.org/officeDocument/2006/relationships/image" Target="media/image2.wmf"/>
	<Relationship Id="rId390" Type="http://schemas.openxmlformats.org/officeDocument/2006/relationships/hyperlink" Target="https://login.consultant.ru/link/?req=doc&amp;base=LAW&amp;n=409675" TargetMode = "External"/>
	<Relationship Id="rId391" Type="http://schemas.openxmlformats.org/officeDocument/2006/relationships/hyperlink" Target="https://login.consultant.ru/link/?req=doc&amp;base=LAW&amp;n=409675" TargetMode = "External"/>
	<Relationship Id="rId392" Type="http://schemas.openxmlformats.org/officeDocument/2006/relationships/hyperlink" Target="https://login.consultant.ru/link/?req=doc&amp;base=LAW&amp;n=351813&amp;dst=100010" TargetMode = "External"/>
	<Relationship Id="rId393" Type="http://schemas.openxmlformats.org/officeDocument/2006/relationships/hyperlink" Target="https://login.consultant.ru/link/?req=doc&amp;base=LAW&amp;n=389182&amp;dst=1804" TargetMode = "External"/>
	<Relationship Id="rId394" Type="http://schemas.openxmlformats.org/officeDocument/2006/relationships/hyperlink" Target="https://login.consultant.ru/link/?req=doc&amp;base=LAW&amp;n=147699&amp;dst=100213" TargetMode = "External"/>
	<Relationship Id="rId395" Type="http://schemas.openxmlformats.org/officeDocument/2006/relationships/hyperlink" Target="https://login.consultant.ru/link/?req=doc&amp;base=LAW&amp;n=185838&amp;dst=100043" TargetMode = "External"/>
	<Relationship Id="rId396" Type="http://schemas.openxmlformats.org/officeDocument/2006/relationships/hyperlink" Target="https://login.consultant.ru/link/?req=doc&amp;base=LAW&amp;n=185838&amp;dst=100044" TargetMode = "External"/>
	<Relationship Id="rId397" Type="http://schemas.openxmlformats.org/officeDocument/2006/relationships/hyperlink" Target="https://login.consultant.ru/link/?req=doc&amp;base=LAW&amp;n=185838&amp;dst=100045" TargetMode = "External"/>
	<Relationship Id="rId398" Type="http://schemas.openxmlformats.org/officeDocument/2006/relationships/hyperlink" Target="https://login.consultant.ru/link/?req=doc&amp;base=LAW&amp;n=185838&amp;dst=100046" TargetMode = "External"/>
	<Relationship Id="rId399" Type="http://schemas.openxmlformats.org/officeDocument/2006/relationships/hyperlink" Target="https://login.consultant.ru/link/?req=doc&amp;base=LAW&amp;n=185838&amp;dst=100050" TargetMode = "External"/>
	<Relationship Id="rId400" Type="http://schemas.openxmlformats.org/officeDocument/2006/relationships/hyperlink" Target="https://login.consultant.ru/link/?req=doc&amp;base=LAW&amp;n=185838&amp;dst=100051" TargetMode = "External"/>
	<Relationship Id="rId401" Type="http://schemas.openxmlformats.org/officeDocument/2006/relationships/hyperlink" Target="https://login.consultant.ru/link/?req=doc&amp;base=LAW&amp;n=185838&amp;dst=100013" TargetMode = "External"/>
	<Relationship Id="rId402" Type="http://schemas.openxmlformats.org/officeDocument/2006/relationships/hyperlink" Target="https://login.consultant.ru/link/?req=doc&amp;base=LAW&amp;n=185838&amp;dst=100052" TargetMode = "External"/>
	<Relationship Id="rId403" Type="http://schemas.openxmlformats.org/officeDocument/2006/relationships/hyperlink" Target="https://login.consultant.ru/link/?req=doc&amp;base=LAW&amp;n=185838&amp;dst=100058" TargetMode = "External"/>
	<Relationship Id="rId404" Type="http://schemas.openxmlformats.org/officeDocument/2006/relationships/hyperlink" Target="https://login.consultant.ru/link/?req=doc&amp;base=LAW&amp;n=185838&amp;dst=100059" TargetMode = "External"/>
	<Relationship Id="rId405" Type="http://schemas.openxmlformats.org/officeDocument/2006/relationships/hyperlink" Target="https://login.consultant.ru/link/?req=doc&amp;base=LAW&amp;n=185838&amp;dst=100060" TargetMode = "External"/>
	<Relationship Id="rId406" Type="http://schemas.openxmlformats.org/officeDocument/2006/relationships/hyperlink" Target="https://login.consultant.ru/link/?req=doc&amp;base=LAW&amp;n=185838&amp;dst=100061" TargetMode = "External"/>
	<Relationship Id="rId407" Type="http://schemas.openxmlformats.org/officeDocument/2006/relationships/hyperlink" Target="https://login.consultant.ru/link/?req=doc&amp;base=LAW&amp;n=185838&amp;dst=100063" TargetMode = "External"/>
	<Relationship Id="rId408" Type="http://schemas.openxmlformats.org/officeDocument/2006/relationships/hyperlink" Target="https://login.consultant.ru/link/?req=doc&amp;base=LAW&amp;n=185838&amp;dst=100014" TargetMode = "External"/>
	<Relationship Id="rId409" Type="http://schemas.openxmlformats.org/officeDocument/2006/relationships/hyperlink" Target="https://login.consultant.ru/link/?req=doc&amp;base=LAW&amp;n=185838&amp;dst=100065" TargetMode = "External"/>
	<Relationship Id="rId410" Type="http://schemas.openxmlformats.org/officeDocument/2006/relationships/hyperlink" Target="https://login.consultant.ru/link/?req=doc&amp;base=LAW&amp;n=185838&amp;dst=100067" TargetMode = "External"/>
	<Relationship Id="rId411" Type="http://schemas.openxmlformats.org/officeDocument/2006/relationships/hyperlink" Target="https://login.consultant.ru/link/?req=doc&amp;base=LAW&amp;n=185838&amp;dst=100069" TargetMode = "External"/>
	<Relationship Id="rId412" Type="http://schemas.openxmlformats.org/officeDocument/2006/relationships/hyperlink" Target="https://login.consultant.ru/link/?req=doc&amp;base=LAW&amp;n=147699&amp;dst=100254" TargetMode = "External"/>
	<Relationship Id="rId413" Type="http://schemas.openxmlformats.org/officeDocument/2006/relationships/hyperlink" Target="https://login.consultant.ru/link/?req=doc&amp;base=LAW&amp;n=221672&amp;dst=100020" TargetMode = "External"/>
	<Relationship Id="rId414" Type="http://schemas.openxmlformats.org/officeDocument/2006/relationships/hyperlink" Target="https://login.consultant.ru/link/?req=doc&amp;base=LAW&amp;n=420971&amp;dst=100025" TargetMode = "External"/>
	<Relationship Id="rId415" Type="http://schemas.openxmlformats.org/officeDocument/2006/relationships/hyperlink" Target="https://login.consultant.ru/link/?req=doc&amp;base=LAW&amp;n=404430&amp;dst=100124" TargetMode = "External"/>
	<Relationship Id="rId416" Type="http://schemas.openxmlformats.org/officeDocument/2006/relationships/hyperlink" Target="https://login.consultant.ru/link/?req=doc&amp;base=LAW&amp;n=399543&amp;dst=100015" TargetMode = "External"/>
	<Relationship Id="rId417" Type="http://schemas.openxmlformats.org/officeDocument/2006/relationships/hyperlink" Target="https://login.consultant.ru/link/?req=doc&amp;base=LAW&amp;n=404430&amp;dst=100125" TargetMode = "External"/>
	<Relationship Id="rId418" Type="http://schemas.openxmlformats.org/officeDocument/2006/relationships/hyperlink" Target="https://login.consultant.ru/link/?req=doc&amp;base=LAW&amp;n=399543&amp;dst=100015" TargetMode = "External"/>
	<Relationship Id="rId419" Type="http://schemas.openxmlformats.org/officeDocument/2006/relationships/hyperlink" Target="https://login.consultant.ru/link/?req=doc&amp;base=LAW&amp;n=221672&amp;dst=100023" TargetMode = "External"/>
	<Relationship Id="rId420" Type="http://schemas.openxmlformats.org/officeDocument/2006/relationships/hyperlink" Target="https://login.consultant.ru/link/?req=doc&amp;base=LAW&amp;n=221672&amp;dst=100024" TargetMode = "External"/>
	<Relationship Id="rId421" Type="http://schemas.openxmlformats.org/officeDocument/2006/relationships/hyperlink" Target="https://login.consultant.ru/link/?req=doc&amp;base=LAW&amp;n=404430&amp;dst=100126" TargetMode = "External"/>
	<Relationship Id="rId422" Type="http://schemas.openxmlformats.org/officeDocument/2006/relationships/hyperlink" Target="https://login.consultant.ru/link/?req=doc&amp;base=LAW&amp;n=221672&amp;dst=100025" TargetMode = "External"/>
	<Relationship Id="rId423" Type="http://schemas.openxmlformats.org/officeDocument/2006/relationships/hyperlink" Target="https://login.consultant.ru/link/?req=doc&amp;base=LAW&amp;n=421066&amp;dst=100252" TargetMode = "External"/>
	<Relationship Id="rId424" Type="http://schemas.openxmlformats.org/officeDocument/2006/relationships/hyperlink" Target="https://login.consultant.ru/link/?req=doc&amp;base=LAW&amp;n=147699&amp;dst=100304" TargetMode = "External"/>
	<Relationship Id="rId425" Type="http://schemas.openxmlformats.org/officeDocument/2006/relationships/hyperlink" Target="https://login.consultant.ru/link/?req=doc&amp;base=LAW&amp;n=85029&amp;dst=100005" TargetMode = "External"/>
	<Relationship Id="rId426" Type="http://schemas.openxmlformats.org/officeDocument/2006/relationships/hyperlink" Target="https://login.consultant.ru/link/?req=doc&amp;base=LAW&amp;n=130520&amp;dst=100047" TargetMode = "External"/>
	<Relationship Id="rId427" Type="http://schemas.openxmlformats.org/officeDocument/2006/relationships/hyperlink" Target="https://login.consultant.ru/link/?req=doc&amp;base=LAW&amp;n=347575&amp;dst=100005" TargetMode = "External"/>
	<Relationship Id="rId428" Type="http://schemas.openxmlformats.org/officeDocument/2006/relationships/hyperlink" Target="https://login.consultant.ru/link/?req=doc&amp;base=LAW&amp;n=347570&amp;dst=100008" TargetMode = "External"/>
	<Relationship Id="rId429" Type="http://schemas.openxmlformats.org/officeDocument/2006/relationships/hyperlink" Target="https://login.consultant.ru/link/?req=doc&amp;base=LAW&amp;n=420304&amp;dst=100687" TargetMode = "External"/>
	<Relationship Id="rId430" Type="http://schemas.openxmlformats.org/officeDocument/2006/relationships/hyperlink" Target="https://login.consultant.ru/link/?req=doc&amp;base=LAW&amp;n=421276&amp;dst=101735" TargetMode = "External"/>
	<Relationship Id="rId431" Type="http://schemas.openxmlformats.org/officeDocument/2006/relationships/hyperlink" Target="https://login.consultant.ru/link/?req=doc&amp;base=LAW&amp;n=347568&amp;dst=100009" TargetMode = "External"/>
	<Relationship Id="rId432" Type="http://schemas.openxmlformats.org/officeDocument/2006/relationships/hyperlink" Target="https://login.consultant.ru/link/?req=doc&amp;base=LAW&amp;n=138223&amp;dst=100008" TargetMode = "External"/>
	<Relationship Id="rId433" Type="http://schemas.openxmlformats.org/officeDocument/2006/relationships/hyperlink" Target="https://login.consultant.ru/link/?req=doc&amp;base=LAW&amp;n=139522&amp;dst=100008" TargetMode = "External"/>
	<Relationship Id="rId434" Type="http://schemas.openxmlformats.org/officeDocument/2006/relationships/hyperlink" Target="https://login.consultant.ru/link/?req=doc&amp;base=LAW&amp;n=150032&amp;dst=100025" TargetMode = "External"/>
	<Relationship Id="rId435" Type="http://schemas.openxmlformats.org/officeDocument/2006/relationships/hyperlink" Target="https://login.consultant.ru/link/?req=doc&amp;base=LAW&amp;n=150237&amp;dst=100005" TargetMode = "External"/>
	<Relationship Id="rId436" Type="http://schemas.openxmlformats.org/officeDocument/2006/relationships/hyperlink" Target="https://login.consultant.ru/link/?req=doc&amp;base=LAW&amp;n=347571&amp;dst=100009" TargetMode = "External"/>
	<Relationship Id="rId437" Type="http://schemas.openxmlformats.org/officeDocument/2006/relationships/hyperlink" Target="https://login.consultant.ru/link/?req=doc&amp;base=LAW&amp;n=347569&amp;dst=100014" TargetMode = "External"/>
	<Relationship Id="rId438" Type="http://schemas.openxmlformats.org/officeDocument/2006/relationships/hyperlink" Target="https://login.consultant.ru/link/?req=doc&amp;base=LAW&amp;n=216721&amp;dst=100008" TargetMode = "External"/>
	<Relationship Id="rId439" Type="http://schemas.openxmlformats.org/officeDocument/2006/relationships/hyperlink" Target="https://login.consultant.ru/link/?req=doc&amp;base=LAW&amp;n=153756&amp;dst=100008" TargetMode = "External"/>
	<Relationship Id="rId440" Type="http://schemas.openxmlformats.org/officeDocument/2006/relationships/hyperlink" Target="https://login.consultant.ru/link/?req=doc&amp;base=LAW&amp;n=154736&amp;dst=100005" TargetMode = "External"/>
	<Relationship Id="rId441" Type="http://schemas.openxmlformats.org/officeDocument/2006/relationships/hyperlink" Target="https://login.consultant.ru/link/?req=doc&amp;base=LAW&amp;n=347574&amp;dst=100010" TargetMode = "External"/>
	<Relationship Id="rId442" Type="http://schemas.openxmlformats.org/officeDocument/2006/relationships/hyperlink" Target="https://login.consultant.ru/link/?req=doc&amp;base=LAW&amp;n=158916&amp;dst=100019" TargetMode = "External"/>
	<Relationship Id="rId443" Type="http://schemas.openxmlformats.org/officeDocument/2006/relationships/hyperlink" Target="https://login.consultant.ru/link/?req=doc&amp;base=LAW&amp;n=347566&amp;dst=100012" TargetMode = "External"/>
	<Relationship Id="rId444" Type="http://schemas.openxmlformats.org/officeDocument/2006/relationships/hyperlink" Target="https://login.consultant.ru/link/?req=doc&amp;base=LAW&amp;n=164293&amp;dst=100018" TargetMode = "External"/>
	<Relationship Id="rId445" Type="http://schemas.openxmlformats.org/officeDocument/2006/relationships/hyperlink" Target="https://login.consultant.ru/link/?req=doc&amp;base=LAW&amp;n=166611&amp;dst=100042" TargetMode = "External"/>
	<Relationship Id="rId446" Type="http://schemas.openxmlformats.org/officeDocument/2006/relationships/hyperlink" Target="https://login.consultant.ru/link/?req=doc&amp;base=LAW&amp;n=176641&amp;dst=100005" TargetMode = "External"/>
	<Relationship Id="rId447" Type="http://schemas.openxmlformats.org/officeDocument/2006/relationships/hyperlink" Target="https://login.consultant.ru/link/?req=doc&amp;base=LAW&amp;n=178054&amp;dst=100005" TargetMode = "External"/>
	<Relationship Id="rId448" Type="http://schemas.openxmlformats.org/officeDocument/2006/relationships/hyperlink" Target="https://login.consultant.ru/link/?req=doc&amp;base=LAW&amp;n=347572&amp;dst=100011" TargetMode = "External"/>
	<Relationship Id="rId449" Type="http://schemas.openxmlformats.org/officeDocument/2006/relationships/hyperlink" Target="https://login.consultant.ru/link/?req=doc&amp;base=LAW&amp;n=182490&amp;dst=100005" TargetMode = "External"/>
	<Relationship Id="rId450" Type="http://schemas.openxmlformats.org/officeDocument/2006/relationships/hyperlink" Target="https://login.consultant.ru/link/?req=doc&amp;base=LAW&amp;n=405778&amp;dst=100181" TargetMode = "External"/>
	<Relationship Id="rId451" Type="http://schemas.openxmlformats.org/officeDocument/2006/relationships/hyperlink" Target="https://login.consultant.ru/link/?req=doc&amp;base=LAW&amp;n=216719&amp;dst=100005" TargetMode = "External"/>
	<Relationship Id="rId452" Type="http://schemas.openxmlformats.org/officeDocument/2006/relationships/hyperlink" Target="https://login.consultant.ru/link/?req=doc&amp;base=LAW&amp;n=194439&amp;dst=100009" TargetMode = "External"/>
	<Relationship Id="rId453" Type="http://schemas.openxmlformats.org/officeDocument/2006/relationships/hyperlink" Target="https://login.consultant.ru/link/?req=doc&amp;base=LAW&amp;n=203224&amp;dst=100005" TargetMode = "External"/>
	<Relationship Id="rId454" Type="http://schemas.openxmlformats.org/officeDocument/2006/relationships/hyperlink" Target="https://login.consultant.ru/link/?req=doc&amp;base=LAW&amp;n=205171&amp;dst=100005" TargetMode = "External"/>
	<Relationship Id="rId455" Type="http://schemas.openxmlformats.org/officeDocument/2006/relationships/hyperlink" Target="https://login.consultant.ru/link/?req=doc&amp;base=LAW&amp;n=205587&amp;dst=100013" TargetMode = "External"/>
	<Relationship Id="rId456" Type="http://schemas.openxmlformats.org/officeDocument/2006/relationships/hyperlink" Target="https://login.consultant.ru/link/?req=doc&amp;base=LAW&amp;n=208079&amp;dst=100011" TargetMode = "External"/>
	<Relationship Id="rId457" Type="http://schemas.openxmlformats.org/officeDocument/2006/relationships/hyperlink" Target="https://login.consultant.ru/link/?req=doc&amp;base=LAW&amp;n=208548&amp;dst=100010" TargetMode = "External"/>
	<Relationship Id="rId458" Type="http://schemas.openxmlformats.org/officeDocument/2006/relationships/hyperlink" Target="https://login.consultant.ru/link/?req=doc&amp;base=LAW&amp;n=209640&amp;dst=100010" TargetMode = "External"/>
	<Relationship Id="rId459" Type="http://schemas.openxmlformats.org/officeDocument/2006/relationships/hyperlink" Target="https://login.consultant.ru/link/?req=doc&amp;base=LAW&amp;n=420971&amp;dst=100026" TargetMode = "External"/>
	<Relationship Id="rId460" Type="http://schemas.openxmlformats.org/officeDocument/2006/relationships/hyperlink" Target="https://login.consultant.ru/link/?req=doc&amp;base=LAW&amp;n=216708&amp;dst=100009" TargetMode = "External"/>
	<Relationship Id="rId461" Type="http://schemas.openxmlformats.org/officeDocument/2006/relationships/hyperlink" Target="https://login.consultant.ru/link/?req=doc&amp;base=LAW&amp;n=397753&amp;dst=100013" TargetMode = "External"/>
	<Relationship Id="rId462" Type="http://schemas.openxmlformats.org/officeDocument/2006/relationships/hyperlink" Target="https://login.consultant.ru/link/?req=doc&amp;base=LAW&amp;n=420968&amp;dst=100005" TargetMode = "External"/>
	<Relationship Id="rId463" Type="http://schemas.openxmlformats.org/officeDocument/2006/relationships/hyperlink" Target="https://login.consultant.ru/link/?req=doc&amp;base=LAW&amp;n=402209&amp;dst=100009" TargetMode = "External"/>
	<Relationship Id="rId464" Type="http://schemas.openxmlformats.org/officeDocument/2006/relationships/hyperlink" Target="https://login.consultant.ru/link/?req=doc&amp;base=LAW&amp;n=296305&amp;dst=100005" TargetMode = "External"/>
	<Relationship Id="rId465" Type="http://schemas.openxmlformats.org/officeDocument/2006/relationships/hyperlink" Target="https://login.consultant.ru/link/?req=doc&amp;base=LAW&amp;n=375470&amp;dst=101023" TargetMode = "External"/>
	<Relationship Id="rId466" Type="http://schemas.openxmlformats.org/officeDocument/2006/relationships/hyperlink" Target="https://login.consultant.ru/link/?req=doc&amp;base=LAW&amp;n=306961&amp;dst=100036" TargetMode = "External"/>
	<Relationship Id="rId467" Type="http://schemas.openxmlformats.org/officeDocument/2006/relationships/hyperlink" Target="https://login.consultant.ru/link/?req=doc&amp;base=LAW&amp;n=397757&amp;dst=100024" TargetMode = "External"/>
	<Relationship Id="rId468" Type="http://schemas.openxmlformats.org/officeDocument/2006/relationships/hyperlink" Target="https://login.consultant.ru/link/?req=doc&amp;base=LAW&amp;n=323210&amp;dst=100005" TargetMode = "External"/>
	<Relationship Id="rId469" Type="http://schemas.openxmlformats.org/officeDocument/2006/relationships/hyperlink" Target="https://login.consultant.ru/link/?req=doc&amp;base=LAW&amp;n=326410&amp;dst=100011" TargetMode = "External"/>
	<Relationship Id="rId470" Type="http://schemas.openxmlformats.org/officeDocument/2006/relationships/hyperlink" Target="https://login.consultant.ru/link/?req=doc&amp;base=LAW&amp;n=341726&amp;dst=100042" TargetMode = "External"/>
	<Relationship Id="rId471" Type="http://schemas.openxmlformats.org/officeDocument/2006/relationships/hyperlink" Target="https://login.consultant.ru/link/?req=doc&amp;base=LAW&amp;n=347472&amp;dst=100011" TargetMode = "External"/>
	<Relationship Id="rId472" Type="http://schemas.openxmlformats.org/officeDocument/2006/relationships/hyperlink" Target="https://login.consultant.ru/link/?req=doc&amp;base=LAW&amp;n=420969&amp;dst=100009" TargetMode = "External"/>
	<Relationship Id="rId473" Type="http://schemas.openxmlformats.org/officeDocument/2006/relationships/hyperlink" Target="https://login.consultant.ru/link/?req=doc&amp;base=LAW&amp;n=351023&amp;dst=100470" TargetMode = "External"/>
	<Relationship Id="rId474" Type="http://schemas.openxmlformats.org/officeDocument/2006/relationships/hyperlink" Target="https://login.consultant.ru/link/?req=doc&amp;base=LAW&amp;n=399270&amp;dst=100373" TargetMode = "External"/>
	<Relationship Id="rId475" Type="http://schemas.openxmlformats.org/officeDocument/2006/relationships/hyperlink" Target="https://login.consultant.ru/link/?req=doc&amp;base=LAW&amp;n=412480&amp;dst=100734" TargetMode = "External"/>
	<Relationship Id="rId476" Type="http://schemas.openxmlformats.org/officeDocument/2006/relationships/hyperlink" Target="https://login.consultant.ru/link/?req=doc&amp;base=LAW&amp;n=378535&amp;dst=100016" TargetMode = "External"/>
	<Relationship Id="rId477" Type="http://schemas.openxmlformats.org/officeDocument/2006/relationships/hyperlink" Target="https://login.consultant.ru/link/?req=doc&amp;base=LAW&amp;n=382926&amp;dst=100005" TargetMode = "External"/>
	<Relationship Id="rId478" Type="http://schemas.openxmlformats.org/officeDocument/2006/relationships/hyperlink" Target="https://login.consultant.ru/link/?req=doc&amp;base=LAW&amp;n=392904&amp;dst=100005" TargetMode = "External"/>
	<Relationship Id="rId479" Type="http://schemas.openxmlformats.org/officeDocument/2006/relationships/hyperlink" Target="https://login.consultant.ru/link/?req=doc&amp;base=LAW&amp;n=397618&amp;dst=100005" TargetMode = "External"/>
	<Relationship Id="rId480" Type="http://schemas.openxmlformats.org/officeDocument/2006/relationships/hyperlink" Target="https://login.consultant.ru/link/?req=doc&amp;base=LAW&amp;n=405734&amp;dst=100005" TargetMode = "External"/>
	<Relationship Id="rId481" Type="http://schemas.openxmlformats.org/officeDocument/2006/relationships/hyperlink" Target="https://login.consultant.ru/link/?req=doc&amp;base=LAW&amp;n=411617&amp;dst=100005" TargetMode = "External"/>
	<Relationship Id="rId482" Type="http://schemas.openxmlformats.org/officeDocument/2006/relationships/hyperlink" Target="https://login.consultant.ru/link/?req=doc&amp;base=LAW&amp;n=420866&amp;dst=100027" TargetMode = "External"/>
	<Relationship Id="rId483" Type="http://schemas.openxmlformats.org/officeDocument/2006/relationships/hyperlink" Target="https://login.consultant.ru/link/?req=doc&amp;base=LAW&amp;n=130520&amp;dst=100049" TargetMode = "External"/>
	<Relationship Id="rId484" Type="http://schemas.openxmlformats.org/officeDocument/2006/relationships/hyperlink" Target="https://login.consultant.ru/link/?req=doc&amp;base=LAW&amp;n=347575&amp;dst=100014" TargetMode = "External"/>
	<Relationship Id="rId485" Type="http://schemas.openxmlformats.org/officeDocument/2006/relationships/hyperlink" Target="https://login.consultant.ru/link/?req=doc&amp;base=LAW&amp;n=421276&amp;dst=101736" TargetMode = "External"/>
	<Relationship Id="rId486" Type="http://schemas.openxmlformats.org/officeDocument/2006/relationships/hyperlink" Target="https://login.consultant.ru/link/?req=doc&amp;base=LAW&amp;n=153756&amp;dst=100009" TargetMode = "External"/>
	<Relationship Id="rId487" Type="http://schemas.openxmlformats.org/officeDocument/2006/relationships/hyperlink" Target="https://login.consultant.ru/link/?req=doc&amp;base=LAW&amp;n=347566&amp;dst=100013" TargetMode = "External"/>
	<Relationship Id="rId488" Type="http://schemas.openxmlformats.org/officeDocument/2006/relationships/hyperlink" Target="https://login.consultant.ru/link/?req=doc&amp;base=LAW&amp;n=326410&amp;dst=100012" TargetMode = "External"/>
	<Relationship Id="rId489" Type="http://schemas.openxmlformats.org/officeDocument/2006/relationships/hyperlink" Target="https://login.consultant.ru/link/?req=doc&amp;base=LAW&amp;n=378535&amp;dst=100017" TargetMode = "External"/>
	<Relationship Id="rId490" Type="http://schemas.openxmlformats.org/officeDocument/2006/relationships/hyperlink" Target="https://login.consultant.ru/link/?req=doc&amp;base=LAW&amp;n=306350&amp;dst=16" TargetMode = "External"/>
	<Relationship Id="rId491" Type="http://schemas.openxmlformats.org/officeDocument/2006/relationships/hyperlink" Target="https://login.consultant.ru/link/?req=doc&amp;base=LAW&amp;n=326410&amp;dst=100013" TargetMode = "External"/>
	<Relationship Id="rId492" Type="http://schemas.openxmlformats.org/officeDocument/2006/relationships/hyperlink" Target="https://login.consultant.ru/link/?req=doc&amp;base=LAW&amp;n=216721&amp;dst=100009" TargetMode = "External"/>
	<Relationship Id="rId493" Type="http://schemas.openxmlformats.org/officeDocument/2006/relationships/hyperlink" Target="https://login.consultant.ru/link/?req=doc&amp;base=LAW&amp;n=397757&amp;dst=100025" TargetMode = "External"/>
	<Relationship Id="rId494" Type="http://schemas.openxmlformats.org/officeDocument/2006/relationships/hyperlink" Target="https://login.consultant.ru/link/?req=doc&amp;base=LAW&amp;n=378535&amp;dst=100018" TargetMode = "External"/>
	<Relationship Id="rId495" Type="http://schemas.openxmlformats.org/officeDocument/2006/relationships/hyperlink" Target="https://login.consultant.ru/link/?req=doc&amp;base=LAW&amp;n=420866&amp;dst=100028" TargetMode = "External"/>
	<Relationship Id="rId496" Type="http://schemas.openxmlformats.org/officeDocument/2006/relationships/hyperlink" Target="https://login.consultant.ru/link/?req=doc&amp;base=LAW&amp;n=130520&amp;dst=100050" TargetMode = "External"/>
	<Relationship Id="rId497" Type="http://schemas.openxmlformats.org/officeDocument/2006/relationships/hyperlink" Target="https://login.consultant.ru/link/?req=doc&amp;base=LAW&amp;n=150032&amp;dst=100026" TargetMode = "External"/>
	<Relationship Id="rId498" Type="http://schemas.openxmlformats.org/officeDocument/2006/relationships/hyperlink" Target="https://login.consultant.ru/link/?req=doc&amp;base=LAW&amp;n=378535&amp;dst=100022" TargetMode = "External"/>
	<Relationship Id="rId499" Type="http://schemas.openxmlformats.org/officeDocument/2006/relationships/hyperlink" Target="https://login.consultant.ru/link/?req=doc&amp;base=LAW&amp;n=326410&amp;dst=100023" TargetMode = "External"/>
	<Relationship Id="rId500" Type="http://schemas.openxmlformats.org/officeDocument/2006/relationships/hyperlink" Target="https://login.consultant.ru/link/?req=doc&amp;base=LAW&amp;n=326410&amp;dst=100024" TargetMode = "External"/>
	<Relationship Id="rId501" Type="http://schemas.openxmlformats.org/officeDocument/2006/relationships/hyperlink" Target="https://login.consultant.ru/link/?req=doc&amp;base=LAW&amp;n=399270&amp;dst=100014" TargetMode = "External"/>
	<Relationship Id="rId502" Type="http://schemas.openxmlformats.org/officeDocument/2006/relationships/hyperlink" Target="https://login.consultant.ru/link/?req=doc&amp;base=LAW&amp;n=399270&amp;dst=100014" TargetMode = "External"/>
	<Relationship Id="rId503" Type="http://schemas.openxmlformats.org/officeDocument/2006/relationships/hyperlink" Target="https://login.consultant.ru/link/?req=doc&amp;base=LAW&amp;n=399270&amp;dst=100373" TargetMode = "External"/>
	<Relationship Id="rId504" Type="http://schemas.openxmlformats.org/officeDocument/2006/relationships/hyperlink" Target="https://login.consultant.ru/link/?req=doc&amp;base=LAW&amp;n=378535&amp;dst=100025" TargetMode = "External"/>
	<Relationship Id="rId505" Type="http://schemas.openxmlformats.org/officeDocument/2006/relationships/hyperlink" Target="https://login.consultant.ru/link/?req=doc&amp;base=LAW&amp;n=420866&amp;dst=100030" TargetMode = "External"/>
	<Relationship Id="rId506" Type="http://schemas.openxmlformats.org/officeDocument/2006/relationships/hyperlink" Target="https://login.consultant.ru/link/?req=doc&amp;base=LAW&amp;n=347472&amp;dst=100012" TargetMode = "External"/>
	<Relationship Id="rId507" Type="http://schemas.openxmlformats.org/officeDocument/2006/relationships/hyperlink" Target="https://login.consultant.ru/link/?req=doc&amp;base=LAW&amp;n=378535&amp;dst=100027" TargetMode = "External"/>
	<Relationship Id="rId508" Type="http://schemas.openxmlformats.org/officeDocument/2006/relationships/hyperlink" Target="https://login.consultant.ru/link/?req=doc&amp;base=LAW&amp;n=347472&amp;dst=100014" TargetMode = "External"/>
	<Relationship Id="rId509" Type="http://schemas.openxmlformats.org/officeDocument/2006/relationships/hyperlink" Target="https://login.consultant.ru/link/?req=doc&amp;base=LAW&amp;n=378535&amp;dst=100028" TargetMode = "External"/>
	<Relationship Id="rId510" Type="http://schemas.openxmlformats.org/officeDocument/2006/relationships/hyperlink" Target="https://login.consultant.ru/link/?req=doc&amp;base=LAW&amp;n=347472&amp;dst=100016" TargetMode = "External"/>
	<Relationship Id="rId511" Type="http://schemas.openxmlformats.org/officeDocument/2006/relationships/hyperlink" Target="https://login.consultant.ru/link/?req=doc&amp;base=LAW&amp;n=378535&amp;dst=100031" TargetMode = "External"/>
	<Relationship Id="rId512" Type="http://schemas.openxmlformats.org/officeDocument/2006/relationships/hyperlink" Target="https://login.consultant.ru/link/?req=doc&amp;base=LAW&amp;n=420866&amp;dst=100031" TargetMode = "External"/>
	<Relationship Id="rId513" Type="http://schemas.openxmlformats.org/officeDocument/2006/relationships/hyperlink" Target="https://login.consultant.ru/link/?req=doc&amp;base=LAW&amp;n=420971&amp;dst=100027" TargetMode = "External"/>
	<Relationship Id="rId514" Type="http://schemas.openxmlformats.org/officeDocument/2006/relationships/hyperlink" Target="https://login.consultant.ru/link/?req=doc&amp;base=LAW&amp;n=347472&amp;dst=100017" TargetMode = "External"/>
	<Relationship Id="rId515" Type="http://schemas.openxmlformats.org/officeDocument/2006/relationships/hyperlink" Target="https://login.consultant.ru/link/?req=doc&amp;base=LAW&amp;n=378535&amp;dst=100034" TargetMode = "External"/>
	<Relationship Id="rId516" Type="http://schemas.openxmlformats.org/officeDocument/2006/relationships/hyperlink" Target="https://login.consultant.ru/link/?req=doc&amp;base=LAW&amp;n=347572&amp;dst=100013" TargetMode = "External"/>
	<Relationship Id="rId517" Type="http://schemas.openxmlformats.org/officeDocument/2006/relationships/hyperlink" Target="https://login.consultant.ru/link/?req=doc&amp;base=LAW&amp;n=420969&amp;dst=100010" TargetMode = "External"/>
	<Relationship Id="rId518" Type="http://schemas.openxmlformats.org/officeDocument/2006/relationships/hyperlink" Target="https://login.consultant.ru/link/?req=doc&amp;base=LAW&amp;n=411617&amp;dst=100009" TargetMode = "External"/>
	<Relationship Id="rId519" Type="http://schemas.openxmlformats.org/officeDocument/2006/relationships/hyperlink" Target="https://login.consultant.ru/link/?req=doc&amp;base=LAW&amp;n=420866&amp;dst=100033" TargetMode = "External"/>
	<Relationship Id="rId520" Type="http://schemas.openxmlformats.org/officeDocument/2006/relationships/hyperlink" Target="https://login.consultant.ru/link/?req=doc&amp;base=LAW&amp;n=420866&amp;dst=100034" TargetMode = "External"/>
	<Relationship Id="rId521" Type="http://schemas.openxmlformats.org/officeDocument/2006/relationships/hyperlink" Target="https://login.consultant.ru/link/?req=doc&amp;base=LAW&amp;n=208548&amp;dst=100012" TargetMode = "External"/>
	<Relationship Id="rId522" Type="http://schemas.openxmlformats.org/officeDocument/2006/relationships/hyperlink" Target="https://login.consultant.ru/link/?req=doc&amp;base=LAW&amp;n=420866&amp;dst=100036" TargetMode = "External"/>
	<Relationship Id="rId523" Type="http://schemas.openxmlformats.org/officeDocument/2006/relationships/hyperlink" Target="https://login.consultant.ru/link/?req=doc&amp;base=LAW&amp;n=208548&amp;dst=100013" TargetMode = "External"/>
	<Relationship Id="rId524" Type="http://schemas.openxmlformats.org/officeDocument/2006/relationships/hyperlink" Target="https://login.consultant.ru/link/?req=doc&amp;base=LAW&amp;n=420866&amp;dst=100037" TargetMode = "External"/>
	<Relationship Id="rId525" Type="http://schemas.openxmlformats.org/officeDocument/2006/relationships/hyperlink" Target="https://login.consultant.ru/link/?req=doc&amp;base=LAW&amp;n=347571&amp;dst=100010" TargetMode = "External"/>
	<Relationship Id="rId526" Type="http://schemas.openxmlformats.org/officeDocument/2006/relationships/hyperlink" Target="https://login.consultant.ru/link/?req=doc&amp;base=LAW&amp;n=347571&amp;dst=100013" TargetMode = "External"/>
	<Relationship Id="rId527" Type="http://schemas.openxmlformats.org/officeDocument/2006/relationships/hyperlink" Target="https://login.consultant.ru/link/?req=doc&amp;base=LAW&amp;n=203224&amp;dst=100012" TargetMode = "External"/>
	<Relationship Id="rId528" Type="http://schemas.openxmlformats.org/officeDocument/2006/relationships/hyperlink" Target="https://login.consultant.ru/link/?req=doc&amp;base=EXP&amp;n=664221&amp;dst=100006" TargetMode = "External"/>
	<Relationship Id="rId529" Type="http://schemas.openxmlformats.org/officeDocument/2006/relationships/hyperlink" Target="https://login.consultant.ru/link/?req=doc&amp;base=LAW&amp;n=203224&amp;dst=100014" TargetMode = "External"/>
	<Relationship Id="rId530" Type="http://schemas.openxmlformats.org/officeDocument/2006/relationships/hyperlink" Target="https://login.consultant.ru/link/?req=doc&amp;base=EXP&amp;n=664221&amp;dst=100006" TargetMode = "External"/>
	<Relationship Id="rId531" Type="http://schemas.openxmlformats.org/officeDocument/2006/relationships/hyperlink" Target="https://login.consultant.ru/link/?req=doc&amp;base=LAW&amp;n=203224&amp;dst=100015" TargetMode = "External"/>
	<Relationship Id="rId532" Type="http://schemas.openxmlformats.org/officeDocument/2006/relationships/hyperlink" Target="https://login.consultant.ru/link/?req=doc&amp;base=LAW&amp;n=216719&amp;dst=100014" TargetMode = "External"/>
	<Relationship Id="rId533" Type="http://schemas.openxmlformats.org/officeDocument/2006/relationships/hyperlink" Target="https://login.consultant.ru/link/?req=doc&amp;base=LAW&amp;n=347566&amp;dst=100018" TargetMode = "External"/>
	<Relationship Id="rId534" Type="http://schemas.openxmlformats.org/officeDocument/2006/relationships/hyperlink" Target="https://login.consultant.ru/link/?req=doc&amp;base=LAW&amp;n=420969&amp;dst=100012" TargetMode = "External"/>
	<Relationship Id="rId535" Type="http://schemas.openxmlformats.org/officeDocument/2006/relationships/hyperlink" Target="https://login.consultant.ru/link/?req=doc&amp;base=LAW&amp;n=411617&amp;dst=100011" TargetMode = "External"/>
	<Relationship Id="rId536" Type="http://schemas.openxmlformats.org/officeDocument/2006/relationships/hyperlink" Target="https://login.consultant.ru/link/?req=doc&amp;base=LAW&amp;n=347574&amp;dst=100013" TargetMode = "External"/>
	<Relationship Id="rId537" Type="http://schemas.openxmlformats.org/officeDocument/2006/relationships/hyperlink" Target="https://login.consultant.ru/link/?req=doc&amp;base=LAW&amp;n=347574&amp;dst=100014" TargetMode = "External"/>
	<Relationship Id="rId538" Type="http://schemas.openxmlformats.org/officeDocument/2006/relationships/hyperlink" Target="https://login.consultant.ru/link/?req=doc&amp;base=LAW&amp;n=347574&amp;dst=100015" TargetMode = "External"/>
	<Relationship Id="rId539" Type="http://schemas.openxmlformats.org/officeDocument/2006/relationships/hyperlink" Target="https://login.consultant.ru/link/?req=doc&amp;base=LAW&amp;n=347574&amp;dst=100016" TargetMode = "External"/>
	<Relationship Id="rId540" Type="http://schemas.openxmlformats.org/officeDocument/2006/relationships/hyperlink" Target="https://login.consultant.ru/link/?req=doc&amp;base=LAW&amp;n=420969&amp;dst=100014" TargetMode = "External"/>
	<Relationship Id="rId541" Type="http://schemas.openxmlformats.org/officeDocument/2006/relationships/hyperlink" Target="https://login.consultant.ru/link/?req=doc&amp;base=LAW&amp;n=411617&amp;dst=100012" TargetMode = "External"/>
	<Relationship Id="rId542" Type="http://schemas.openxmlformats.org/officeDocument/2006/relationships/hyperlink" Target="https://login.consultant.ru/link/?req=doc&amp;base=LAW&amp;n=347566&amp;dst=100019" TargetMode = "External"/>
	<Relationship Id="rId543" Type="http://schemas.openxmlformats.org/officeDocument/2006/relationships/hyperlink" Target="https://login.consultant.ru/link/?req=doc&amp;base=LAW&amp;n=411617&amp;dst=100013" TargetMode = "External"/>
	<Relationship Id="rId544" Type="http://schemas.openxmlformats.org/officeDocument/2006/relationships/hyperlink" Target="https://login.consultant.ru/link/?req=doc&amp;base=LAW&amp;n=411617&amp;dst=100015" TargetMode = "External"/>
	<Relationship Id="rId545" Type="http://schemas.openxmlformats.org/officeDocument/2006/relationships/hyperlink" Target="https://login.consultant.ru/link/?req=doc&amp;base=LAW&amp;n=411617&amp;dst=100016" TargetMode = "External"/>
	<Relationship Id="rId546" Type="http://schemas.openxmlformats.org/officeDocument/2006/relationships/hyperlink" Target="https://login.consultant.ru/link/?req=doc&amp;base=LAW&amp;n=411617&amp;dst=100017" TargetMode = "External"/>
	<Relationship Id="rId547" Type="http://schemas.openxmlformats.org/officeDocument/2006/relationships/hyperlink" Target="https://login.consultant.ru/link/?req=doc&amp;base=LAW&amp;n=411617&amp;dst=100018" TargetMode = "External"/>
	<Relationship Id="rId548" Type="http://schemas.openxmlformats.org/officeDocument/2006/relationships/hyperlink" Target="https://login.consultant.ru/link/?req=doc&amp;base=LAW&amp;n=411617&amp;dst=100019" TargetMode = "External"/>
	<Relationship Id="rId549" Type="http://schemas.openxmlformats.org/officeDocument/2006/relationships/hyperlink" Target="https://login.consultant.ru/link/?req=doc&amp;base=LAW&amp;n=411617&amp;dst=100020" TargetMode = "External"/>
	<Relationship Id="rId550" Type="http://schemas.openxmlformats.org/officeDocument/2006/relationships/hyperlink" Target="https://login.consultant.ru/link/?req=doc&amp;base=LAW&amp;n=347571&amp;dst=100019" TargetMode = "External"/>
	<Relationship Id="rId551" Type="http://schemas.openxmlformats.org/officeDocument/2006/relationships/hyperlink" Target="https://login.consultant.ru/link/?req=doc&amp;base=LAW&amp;n=405734&amp;dst=100010" TargetMode = "External"/>
	<Relationship Id="rId552" Type="http://schemas.openxmlformats.org/officeDocument/2006/relationships/hyperlink" Target="https://login.consultant.ru/link/?req=doc&amp;base=LAW&amp;n=216721&amp;dst=100015" TargetMode = "External"/>
	<Relationship Id="rId553" Type="http://schemas.openxmlformats.org/officeDocument/2006/relationships/hyperlink" Target="https://login.consultant.ru/link/?req=doc&amp;base=LAW&amp;n=397618&amp;dst=100010" TargetMode = "External"/>
	<Relationship Id="rId554" Type="http://schemas.openxmlformats.org/officeDocument/2006/relationships/hyperlink" Target="https://login.consultant.ru/link/?req=doc&amp;base=LAW&amp;n=378535&amp;dst=100035" TargetMode = "External"/>
	<Relationship Id="rId555" Type="http://schemas.openxmlformats.org/officeDocument/2006/relationships/hyperlink" Target="https://login.consultant.ru/link/?req=doc&amp;base=LAW&amp;n=416268" TargetMode = "External"/>
	<Relationship Id="rId556" Type="http://schemas.openxmlformats.org/officeDocument/2006/relationships/hyperlink" Target="https://login.consultant.ru/link/?req=doc&amp;base=LAW&amp;n=405734&amp;dst=100011" TargetMode = "External"/>
	<Relationship Id="rId557" Type="http://schemas.openxmlformats.org/officeDocument/2006/relationships/hyperlink" Target="https://login.consultant.ru/link/?req=doc&amp;base=LAW&amp;n=416268&amp;dst=3607" TargetMode = "External"/>
	<Relationship Id="rId558" Type="http://schemas.openxmlformats.org/officeDocument/2006/relationships/hyperlink" Target="https://login.consultant.ru/link/?req=doc&amp;base=LAW&amp;n=416268&amp;dst=3608" TargetMode = "External"/>
	<Relationship Id="rId559" Type="http://schemas.openxmlformats.org/officeDocument/2006/relationships/hyperlink" Target="https://login.consultant.ru/link/?req=doc&amp;base=LAW&amp;n=416268&amp;dst=3291" TargetMode = "External"/>
	<Relationship Id="rId560" Type="http://schemas.openxmlformats.org/officeDocument/2006/relationships/hyperlink" Target="https://login.consultant.ru/link/?req=doc&amp;base=LAW&amp;n=405734&amp;dst=100015" TargetMode = "External"/>
	<Relationship Id="rId561" Type="http://schemas.openxmlformats.org/officeDocument/2006/relationships/hyperlink" Target="https://login.consultant.ru/link/?req=doc&amp;base=LAW&amp;n=421276&amp;dst=100061" TargetMode = "External"/>
	<Relationship Id="rId562" Type="http://schemas.openxmlformats.org/officeDocument/2006/relationships/hyperlink" Target="https://login.consultant.ru/link/?req=doc&amp;base=LAW&amp;n=420866&amp;dst=100039" TargetMode = "External"/>
	<Relationship Id="rId563" Type="http://schemas.openxmlformats.org/officeDocument/2006/relationships/hyperlink" Target="https://login.consultant.ru/link/?req=doc&amp;base=LAW&amp;n=130520&amp;dst=100068" TargetMode = "External"/>
	<Relationship Id="rId564" Type="http://schemas.openxmlformats.org/officeDocument/2006/relationships/hyperlink" Target="https://login.consultant.ru/link/?req=doc&amp;base=LAW&amp;n=420866&amp;dst=100045" TargetMode = "External"/>
	<Relationship Id="rId565" Type="http://schemas.openxmlformats.org/officeDocument/2006/relationships/hyperlink" Target="https://login.consultant.ru/link/?req=doc&amp;base=LAW&amp;n=420866&amp;dst=100047" TargetMode = "External"/>
	<Relationship Id="rId566" Type="http://schemas.openxmlformats.org/officeDocument/2006/relationships/hyperlink" Target="https://login.consultant.ru/link/?req=doc&amp;base=LAW&amp;n=421276&amp;dst=101741" TargetMode = "External"/>
	<Relationship Id="rId567" Type="http://schemas.openxmlformats.org/officeDocument/2006/relationships/hyperlink" Target="https://login.consultant.ru/link/?req=doc&amp;base=LAW&amp;n=347572&amp;dst=100014" TargetMode = "External"/>
	<Relationship Id="rId568" Type="http://schemas.openxmlformats.org/officeDocument/2006/relationships/hyperlink" Target="https://login.consultant.ru/link/?req=doc&amp;base=LAW&amp;n=421276&amp;dst=101742" TargetMode = "External"/>
	<Relationship Id="rId569" Type="http://schemas.openxmlformats.org/officeDocument/2006/relationships/hyperlink" Target="https://login.consultant.ru/link/?req=doc&amp;base=LAW&amp;n=405734&amp;dst=100019" TargetMode = "External"/>
	<Relationship Id="rId570" Type="http://schemas.openxmlformats.org/officeDocument/2006/relationships/hyperlink" Target="https://login.consultant.ru/link/?req=doc&amp;base=LAW&amp;n=405734&amp;dst=100021" TargetMode = "External"/>
	<Relationship Id="rId571" Type="http://schemas.openxmlformats.org/officeDocument/2006/relationships/hyperlink" Target="https://login.consultant.ru/link/?req=doc&amp;base=LAW&amp;n=421276&amp;dst=101744" TargetMode = "External"/>
	<Relationship Id="rId572" Type="http://schemas.openxmlformats.org/officeDocument/2006/relationships/hyperlink" Target="https://login.consultant.ru/link/?req=doc&amp;base=LAW&amp;n=347566&amp;dst=100020" TargetMode = "External"/>
	<Relationship Id="rId573" Type="http://schemas.openxmlformats.org/officeDocument/2006/relationships/hyperlink" Target="https://login.consultant.ru/link/?req=doc&amp;base=LAW&amp;n=194439&amp;dst=100011" TargetMode = "External"/>
	<Relationship Id="rId574" Type="http://schemas.openxmlformats.org/officeDocument/2006/relationships/hyperlink" Target="https://login.consultant.ru/link/?req=doc&amp;base=LAW&amp;n=216708&amp;dst=100011" TargetMode = "External"/>
	<Relationship Id="rId575" Type="http://schemas.openxmlformats.org/officeDocument/2006/relationships/hyperlink" Target="https://login.consultant.ru/link/?req=doc&amp;base=LAW&amp;n=216708&amp;dst=100013" TargetMode = "External"/>
	<Relationship Id="rId576" Type="http://schemas.openxmlformats.org/officeDocument/2006/relationships/hyperlink" Target="https://login.consultant.ru/link/?req=doc&amp;base=LAW&amp;n=208079&amp;dst=100012" TargetMode = "External"/>
	<Relationship Id="rId577" Type="http://schemas.openxmlformats.org/officeDocument/2006/relationships/hyperlink" Target="https://login.consultant.ru/link/?req=doc&amp;base=LAW&amp;n=412480&amp;dst=100735" TargetMode = "External"/>
	<Relationship Id="rId578" Type="http://schemas.openxmlformats.org/officeDocument/2006/relationships/hyperlink" Target="https://login.consultant.ru/link/?req=doc&amp;base=LAW&amp;n=216708&amp;dst=100014" TargetMode = "External"/>
	<Relationship Id="rId579" Type="http://schemas.openxmlformats.org/officeDocument/2006/relationships/hyperlink" Target="https://login.consultant.ru/link/?req=doc&amp;base=LAW&amp;n=421276&amp;dst=100061" TargetMode = "External"/>
	<Relationship Id="rId580" Type="http://schemas.openxmlformats.org/officeDocument/2006/relationships/hyperlink" Target="https://login.consultant.ru/link/?req=doc&amp;base=LAW&amp;n=216708&amp;dst=100016" TargetMode = "External"/>
	<Relationship Id="rId581" Type="http://schemas.openxmlformats.org/officeDocument/2006/relationships/hyperlink" Target="https://login.consultant.ru/link/?req=doc&amp;base=LAW&amp;n=389193" TargetMode = "External"/>
	<Relationship Id="rId582" Type="http://schemas.openxmlformats.org/officeDocument/2006/relationships/hyperlink" Target="https://login.consultant.ru/link/?req=doc&amp;base=LAW&amp;n=420866&amp;dst=100049" TargetMode = "External"/>
	<Relationship Id="rId583" Type="http://schemas.openxmlformats.org/officeDocument/2006/relationships/hyperlink" Target="https://login.consultant.ru/link/?req=doc&amp;base=LAW&amp;n=216708&amp;dst=100017" TargetMode = "External"/>
	<Relationship Id="rId584" Type="http://schemas.openxmlformats.org/officeDocument/2006/relationships/hyperlink" Target="https://login.consultant.ru/link/?req=doc&amp;base=LAW&amp;n=130520&amp;dst=100071" TargetMode = "External"/>
	<Relationship Id="rId585" Type="http://schemas.openxmlformats.org/officeDocument/2006/relationships/hyperlink" Target="https://login.consultant.ru/link/?req=doc&amp;base=LAW&amp;n=375470&amp;dst=101027" TargetMode = "External"/>
	<Relationship Id="rId586" Type="http://schemas.openxmlformats.org/officeDocument/2006/relationships/hyperlink" Target="https://login.consultant.ru/link/?req=doc&amp;base=LAW&amp;n=405734&amp;dst=100023" TargetMode = "External"/>
	<Relationship Id="rId587" Type="http://schemas.openxmlformats.org/officeDocument/2006/relationships/hyperlink" Target="https://login.consultant.ru/link/?req=doc&amp;base=LAW&amp;n=216708&amp;dst=100019" TargetMode = "External"/>
	<Relationship Id="rId588" Type="http://schemas.openxmlformats.org/officeDocument/2006/relationships/hyperlink" Target="https://login.consultant.ru/link/?req=doc&amp;base=LAW&amp;n=389193" TargetMode = "External"/>
	<Relationship Id="rId589" Type="http://schemas.openxmlformats.org/officeDocument/2006/relationships/hyperlink" Target="https://login.consultant.ru/link/?req=doc&amp;base=LAW&amp;n=420866&amp;dst=100052" TargetMode = "External"/>
	<Relationship Id="rId590" Type="http://schemas.openxmlformats.org/officeDocument/2006/relationships/hyperlink" Target="https://login.consultant.ru/link/?req=doc&amp;base=LAW&amp;n=347575&amp;dst=100019" TargetMode = "External"/>
	<Relationship Id="rId591" Type="http://schemas.openxmlformats.org/officeDocument/2006/relationships/hyperlink" Target="https://login.consultant.ru/link/?req=doc&amp;base=LAW&amp;n=216721&amp;dst=100021" TargetMode = "External"/>
	<Relationship Id="rId592" Type="http://schemas.openxmlformats.org/officeDocument/2006/relationships/hyperlink" Target="https://login.consultant.ru/link/?req=doc&amp;base=LAW&amp;n=405734&amp;dst=100028" TargetMode = "External"/>
	<Relationship Id="rId593" Type="http://schemas.openxmlformats.org/officeDocument/2006/relationships/hyperlink" Target="https://login.consultant.ru/link/?req=doc&amp;base=LAW&amp;n=397618&amp;dst=100013" TargetMode = "External"/>
	<Relationship Id="rId594" Type="http://schemas.openxmlformats.org/officeDocument/2006/relationships/hyperlink" Target="https://login.consultant.ru/link/?req=doc&amp;base=LAW&amp;n=420866&amp;dst=100054" TargetMode = "External"/>
	<Relationship Id="rId595" Type="http://schemas.openxmlformats.org/officeDocument/2006/relationships/hyperlink" Target="https://login.consultant.ru/link/?req=doc&amp;base=LAW&amp;n=421276&amp;dst=100221" TargetMode = "External"/>
	<Relationship Id="rId596" Type="http://schemas.openxmlformats.org/officeDocument/2006/relationships/hyperlink" Target="https://login.consultant.ru/link/?req=doc&amp;base=LAW&amp;n=216708&amp;dst=100021" TargetMode = "External"/>
	<Relationship Id="rId597" Type="http://schemas.openxmlformats.org/officeDocument/2006/relationships/hyperlink" Target="https://login.consultant.ru/link/?req=doc&amp;base=LAW&amp;n=420969&amp;dst=100022" TargetMode = "External"/>
	<Relationship Id="rId598" Type="http://schemas.openxmlformats.org/officeDocument/2006/relationships/hyperlink" Target="https://login.consultant.ru/link/?req=doc&amp;base=LAW&amp;n=375470&amp;dst=101028" TargetMode = "External"/>
	<Relationship Id="rId599" Type="http://schemas.openxmlformats.org/officeDocument/2006/relationships/hyperlink" Target="https://login.consultant.ru/link/?req=doc&amp;base=LAW&amp;n=420866&amp;dst=100054" TargetMode = "External"/>
	<Relationship Id="rId600" Type="http://schemas.openxmlformats.org/officeDocument/2006/relationships/hyperlink" Target="https://login.consultant.ru/link/?req=doc&amp;base=LAW&amp;n=412480&amp;dst=100737" TargetMode = "External"/>
	<Relationship Id="rId601" Type="http://schemas.openxmlformats.org/officeDocument/2006/relationships/hyperlink" Target="https://login.consultant.ru/link/?req=doc&amp;base=LAW&amp;n=405734&amp;dst=100029" TargetMode = "External"/>
	<Relationship Id="rId602" Type="http://schemas.openxmlformats.org/officeDocument/2006/relationships/hyperlink" Target="https://login.consultant.ru/link/?req=doc&amp;base=LAW&amp;n=416268&amp;dst=3192" TargetMode = "External"/>
	<Relationship Id="rId603" Type="http://schemas.openxmlformats.org/officeDocument/2006/relationships/hyperlink" Target="https://login.consultant.ru/link/?req=doc&amp;base=LAW&amp;n=405734&amp;dst=100031" TargetMode = "External"/>
	<Relationship Id="rId604" Type="http://schemas.openxmlformats.org/officeDocument/2006/relationships/hyperlink" Target="https://login.consultant.ru/link/?req=doc&amp;base=LAW&amp;n=405734&amp;dst=100032" TargetMode = "External"/>
	<Relationship Id="rId605" Type="http://schemas.openxmlformats.org/officeDocument/2006/relationships/hyperlink" Target="https://login.consultant.ru/link/?req=doc&amp;base=LAW&amp;n=405734&amp;dst=100033" TargetMode = "External"/>
	<Relationship Id="rId606" Type="http://schemas.openxmlformats.org/officeDocument/2006/relationships/hyperlink" Target="https://login.consultant.ru/link/?req=doc&amp;base=LAW&amp;n=405734&amp;dst=100034" TargetMode = "External"/>
	<Relationship Id="rId607" Type="http://schemas.openxmlformats.org/officeDocument/2006/relationships/hyperlink" Target="https://login.consultant.ru/link/?req=doc&amp;base=LAW&amp;n=402209&amp;dst=100010" TargetMode = "External"/>
	<Relationship Id="rId608" Type="http://schemas.openxmlformats.org/officeDocument/2006/relationships/hyperlink" Target="https://login.consultant.ru/link/?req=doc&amp;base=LAW&amp;n=130520&amp;dst=100076" TargetMode = "External"/>
	<Relationship Id="rId609" Type="http://schemas.openxmlformats.org/officeDocument/2006/relationships/hyperlink" Target="https://login.consultant.ru/link/?req=doc&amp;base=LAW&amp;n=421276&amp;dst=101746" TargetMode = "External"/>
	<Relationship Id="rId610" Type="http://schemas.openxmlformats.org/officeDocument/2006/relationships/hyperlink" Target="https://login.consultant.ru/link/?req=doc&amp;base=LAW&amp;n=347569&amp;dst=100019" TargetMode = "External"/>
	<Relationship Id="rId611" Type="http://schemas.openxmlformats.org/officeDocument/2006/relationships/hyperlink" Target="https://login.consultant.ru/link/?req=doc&amp;base=LAW&amp;n=158916&amp;dst=100024" TargetMode = "External"/>
	<Relationship Id="rId612" Type="http://schemas.openxmlformats.org/officeDocument/2006/relationships/hyperlink" Target="https://login.consultant.ru/link/?req=doc&amp;base=LAW&amp;n=421276&amp;dst=101747" TargetMode = "External"/>
	<Relationship Id="rId613" Type="http://schemas.openxmlformats.org/officeDocument/2006/relationships/hyperlink" Target="https://login.consultant.ru/link/?req=doc&amp;base=LAW&amp;n=421276&amp;dst=101749" TargetMode = "External"/>
	<Relationship Id="rId614" Type="http://schemas.openxmlformats.org/officeDocument/2006/relationships/hyperlink" Target="https://login.consultant.ru/link/?req=doc&amp;base=LAW&amp;n=347568&amp;dst=100010" TargetMode = "External"/>
	<Relationship Id="rId615" Type="http://schemas.openxmlformats.org/officeDocument/2006/relationships/hyperlink" Target="https://login.consultant.ru/link/?req=doc&amp;base=LAW&amp;n=205171&amp;dst=100009" TargetMode = "External"/>
	<Relationship Id="rId616" Type="http://schemas.openxmlformats.org/officeDocument/2006/relationships/hyperlink" Target="https://login.consultant.ru/link/?req=doc&amp;base=LAW&amp;n=158916&amp;dst=100026" TargetMode = "External"/>
	<Relationship Id="rId617" Type="http://schemas.openxmlformats.org/officeDocument/2006/relationships/hyperlink" Target="https://login.consultant.ru/link/?req=doc&amp;base=LAW&amp;n=421276&amp;dst=101750" TargetMode = "External"/>
	<Relationship Id="rId618" Type="http://schemas.openxmlformats.org/officeDocument/2006/relationships/hyperlink" Target="https://login.consultant.ru/link/?req=doc&amp;base=LAW&amp;n=347568&amp;dst=100010" TargetMode = "External"/>
	<Relationship Id="rId619" Type="http://schemas.openxmlformats.org/officeDocument/2006/relationships/hyperlink" Target="https://login.consultant.ru/link/?req=doc&amp;base=LAW&amp;n=164293&amp;dst=100018" TargetMode = "External"/>
	<Relationship Id="rId620" Type="http://schemas.openxmlformats.org/officeDocument/2006/relationships/hyperlink" Target="https://login.consultant.ru/link/?req=doc&amp;base=LAW&amp;n=420866&amp;dst=100055" TargetMode = "External"/>
	<Relationship Id="rId621" Type="http://schemas.openxmlformats.org/officeDocument/2006/relationships/hyperlink" Target="https://login.consultant.ru/link/?req=doc&amp;base=LAW&amp;n=130520&amp;dst=100078" TargetMode = "External"/>
	<Relationship Id="rId622" Type="http://schemas.openxmlformats.org/officeDocument/2006/relationships/hyperlink" Target="https://login.consultant.ru/link/?req=doc&amp;base=LAW&amp;n=420866&amp;dst=100056" TargetMode = "External"/>
	<Relationship Id="rId623" Type="http://schemas.openxmlformats.org/officeDocument/2006/relationships/hyperlink" Target="https://login.consultant.ru/link/?req=doc&amp;base=LAW&amp;n=347572&amp;dst=100016" TargetMode = "External"/>
	<Relationship Id="rId624" Type="http://schemas.openxmlformats.org/officeDocument/2006/relationships/hyperlink" Target="https://login.consultant.ru/link/?req=doc&amp;base=LAW&amp;n=347569&amp;dst=100020" TargetMode = "External"/>
	<Relationship Id="rId625" Type="http://schemas.openxmlformats.org/officeDocument/2006/relationships/hyperlink" Target="https://login.consultant.ru/link/?req=doc&amp;base=LAW&amp;n=412480&amp;dst=100036" TargetMode = "External"/>
	<Relationship Id="rId626" Type="http://schemas.openxmlformats.org/officeDocument/2006/relationships/hyperlink" Target="https://login.consultant.ru/link/?req=doc&amp;base=LAW&amp;n=412480&amp;dst=100740" TargetMode = "External"/>
	<Relationship Id="rId627" Type="http://schemas.openxmlformats.org/officeDocument/2006/relationships/hyperlink" Target="https://login.consultant.ru/link/?req=doc&amp;base=LAW&amp;n=412480&amp;dst=100036" TargetMode = "External"/>
	<Relationship Id="rId628" Type="http://schemas.openxmlformats.org/officeDocument/2006/relationships/hyperlink" Target="https://login.consultant.ru/link/?req=doc&amp;base=LAW&amp;n=412480&amp;dst=100741" TargetMode = "External"/>
	<Relationship Id="rId629" Type="http://schemas.openxmlformats.org/officeDocument/2006/relationships/hyperlink" Target="https://login.consultant.ru/link/?req=doc&amp;base=LAW&amp;n=412480&amp;dst=100743" TargetMode = "External"/>
	<Relationship Id="rId630" Type="http://schemas.openxmlformats.org/officeDocument/2006/relationships/hyperlink" Target="https://login.consultant.ru/link/?req=doc&amp;base=LAW&amp;n=326410&amp;dst=100026" TargetMode = "External"/>
	<Relationship Id="rId631" Type="http://schemas.openxmlformats.org/officeDocument/2006/relationships/hyperlink" Target="https://login.consultant.ru/link/?req=doc&amp;base=LAW&amp;n=378535&amp;dst=100037" TargetMode = "External"/>
	<Relationship Id="rId632" Type="http://schemas.openxmlformats.org/officeDocument/2006/relationships/hyperlink" Target="https://login.consultant.ru/link/?req=doc&amp;base=LAW&amp;n=378535&amp;dst=100044" TargetMode = "External"/>
	<Relationship Id="rId633" Type="http://schemas.openxmlformats.org/officeDocument/2006/relationships/hyperlink" Target="https://login.consultant.ru/link/?req=doc&amp;base=LAW&amp;n=420866&amp;dst=100059" TargetMode = "External"/>
	<Relationship Id="rId634" Type="http://schemas.openxmlformats.org/officeDocument/2006/relationships/hyperlink" Target="https://login.consultant.ru/link/?req=doc&amp;base=LAW&amp;n=378535&amp;dst=100050" TargetMode = "External"/>
	<Relationship Id="rId635" Type="http://schemas.openxmlformats.org/officeDocument/2006/relationships/hyperlink" Target="https://login.consultant.ru/link/?req=doc&amp;base=LAW&amp;n=420866&amp;dst=100061" TargetMode = "External"/>
	<Relationship Id="rId636" Type="http://schemas.openxmlformats.org/officeDocument/2006/relationships/hyperlink" Target="https://login.consultant.ru/link/?req=doc&amp;base=LAW&amp;n=378535&amp;dst=100057" TargetMode = "External"/>
	<Relationship Id="rId637" Type="http://schemas.openxmlformats.org/officeDocument/2006/relationships/hyperlink" Target="https://login.consultant.ru/link/?req=doc&amp;base=LAW&amp;n=378535&amp;dst=100064" TargetMode = "External"/>
	<Relationship Id="rId638" Type="http://schemas.openxmlformats.org/officeDocument/2006/relationships/hyperlink" Target="https://login.consultant.ru/link/?req=doc&amp;base=LAW&amp;n=420866&amp;dst=100063" TargetMode = "External"/>
	<Relationship Id="rId639" Type="http://schemas.openxmlformats.org/officeDocument/2006/relationships/hyperlink" Target="https://login.consultant.ru/link/?req=doc&amp;base=LAW&amp;n=421276&amp;dst=101755" TargetMode = "External"/>
	<Relationship Id="rId640" Type="http://schemas.openxmlformats.org/officeDocument/2006/relationships/hyperlink" Target="https://login.consultant.ru/link/?req=doc&amp;base=LAW&amp;n=420866&amp;dst=100066" TargetMode = "External"/>
	<Relationship Id="rId641" Type="http://schemas.openxmlformats.org/officeDocument/2006/relationships/hyperlink" Target="https://login.consultant.ru/link/?req=doc&amp;base=LAW&amp;n=158916&amp;dst=100028" TargetMode = "External"/>
	<Relationship Id="rId642" Type="http://schemas.openxmlformats.org/officeDocument/2006/relationships/hyperlink" Target="https://login.consultant.ru/link/?req=doc&amp;base=LAW&amp;n=421276&amp;dst=101756" TargetMode = "External"/>
	<Relationship Id="rId643" Type="http://schemas.openxmlformats.org/officeDocument/2006/relationships/hyperlink" Target="https://login.consultant.ru/link/?req=doc&amp;base=LAW&amp;n=130520&amp;dst=100091" TargetMode = "External"/>
	<Relationship Id="rId644" Type="http://schemas.openxmlformats.org/officeDocument/2006/relationships/hyperlink" Target="https://login.consultant.ru/link/?req=doc&amp;base=LAW&amp;n=182490&amp;dst=100010" TargetMode = "External"/>
	<Relationship Id="rId645" Type="http://schemas.openxmlformats.org/officeDocument/2006/relationships/hyperlink" Target="https://login.consultant.ru/link/?req=doc&amp;base=LAW&amp;n=182490&amp;dst=100011" TargetMode = "External"/>
	<Relationship Id="rId646" Type="http://schemas.openxmlformats.org/officeDocument/2006/relationships/hyperlink" Target="https://login.consultant.ru/link/?req=doc&amp;base=LAW&amp;n=375470&amp;dst=101030" TargetMode = "External"/>
	<Relationship Id="rId647" Type="http://schemas.openxmlformats.org/officeDocument/2006/relationships/hyperlink" Target="https://login.consultant.ru/link/?req=doc&amp;base=LAW&amp;n=306961&amp;dst=100037" TargetMode = "External"/>
	<Relationship Id="rId648" Type="http://schemas.openxmlformats.org/officeDocument/2006/relationships/hyperlink" Target="https://login.consultant.ru/link/?req=doc&amp;base=LAW&amp;n=421276&amp;dst=101757" TargetMode = "External"/>
	<Relationship Id="rId649" Type="http://schemas.openxmlformats.org/officeDocument/2006/relationships/hyperlink" Target="https://login.consultant.ru/link/?req=doc&amp;base=LAW&amp;n=421276&amp;dst=101539" TargetMode = "External"/>
	<Relationship Id="rId650" Type="http://schemas.openxmlformats.org/officeDocument/2006/relationships/hyperlink" Target="https://login.consultant.ru/link/?req=doc&amp;base=LAW&amp;n=311353&amp;dst=100010" TargetMode = "External"/>
	<Relationship Id="rId651" Type="http://schemas.openxmlformats.org/officeDocument/2006/relationships/hyperlink" Target="https://login.consultant.ru/link/?req=doc&amp;base=LAW&amp;n=306961&amp;dst=100038" TargetMode = "External"/>
	<Relationship Id="rId652" Type="http://schemas.openxmlformats.org/officeDocument/2006/relationships/hyperlink" Target="https://login.consultant.ru/link/?req=doc&amp;base=LAW&amp;n=347472&amp;dst=100020" TargetMode = "External"/>
	<Relationship Id="rId653" Type="http://schemas.openxmlformats.org/officeDocument/2006/relationships/hyperlink" Target="https://login.consultant.ru/link/?req=doc&amp;base=LAW&amp;n=420968&amp;dst=100011" TargetMode = "External"/>
	<Relationship Id="rId654" Type="http://schemas.openxmlformats.org/officeDocument/2006/relationships/hyperlink" Target="https://login.consultant.ru/link/?req=doc&amp;base=LAW&amp;n=420969&amp;dst=100026" TargetMode = "External"/>
	<Relationship Id="rId655" Type="http://schemas.openxmlformats.org/officeDocument/2006/relationships/hyperlink" Target="https://login.consultant.ru/link/?req=doc&amp;base=LAW&amp;n=347571&amp;dst=100028" TargetMode = "External"/>
	<Relationship Id="rId656" Type="http://schemas.openxmlformats.org/officeDocument/2006/relationships/hyperlink" Target="https://login.consultant.ru/link/?req=doc&amp;base=LAW&amp;n=420968&amp;dst=100013" TargetMode = "External"/>
	<Relationship Id="rId657" Type="http://schemas.openxmlformats.org/officeDocument/2006/relationships/hyperlink" Target="https://login.consultant.ru/link/?req=doc&amp;base=LAW&amp;n=347472&amp;dst=100021" TargetMode = "External"/>
	<Relationship Id="rId658" Type="http://schemas.openxmlformats.org/officeDocument/2006/relationships/hyperlink" Target="https://login.consultant.ru/link/?req=doc&amp;base=LAW&amp;n=420969&amp;dst=100026" TargetMode = "External"/>
	<Relationship Id="rId659" Type="http://schemas.openxmlformats.org/officeDocument/2006/relationships/hyperlink" Target="https://login.consultant.ru/link/?req=doc&amp;base=LAW&amp;n=347566&amp;dst=100024" TargetMode = "External"/>
	<Relationship Id="rId660" Type="http://schemas.openxmlformats.org/officeDocument/2006/relationships/hyperlink" Target="https://login.consultant.ru/link/?req=doc&amp;base=LAW&amp;n=420969&amp;dst=100026" TargetMode = "External"/>
	<Relationship Id="rId661" Type="http://schemas.openxmlformats.org/officeDocument/2006/relationships/hyperlink" Target="https://login.consultant.ru/link/?req=doc&amp;base=LAW&amp;n=411617&amp;dst=100022" TargetMode = "External"/>
	<Relationship Id="rId662" Type="http://schemas.openxmlformats.org/officeDocument/2006/relationships/hyperlink" Target="https://login.consultant.ru/link/?req=doc&amp;base=LAW&amp;n=421276&amp;dst=100061" TargetMode = "External"/>
	<Relationship Id="rId663" Type="http://schemas.openxmlformats.org/officeDocument/2006/relationships/hyperlink" Target="https://login.consultant.ru/link/?req=doc&amp;base=LAW&amp;n=420969&amp;dst=100027" TargetMode = "External"/>
	<Relationship Id="rId664" Type="http://schemas.openxmlformats.org/officeDocument/2006/relationships/hyperlink" Target="https://login.consultant.ru/link/?req=doc&amp;base=LAW&amp;n=158916&amp;dst=100031" TargetMode = "External"/>
	<Relationship Id="rId665" Type="http://schemas.openxmlformats.org/officeDocument/2006/relationships/hyperlink" Target="https://login.consultant.ru/link/?req=doc&amp;base=LAW&amp;n=347472&amp;dst=100022" TargetMode = "External"/>
	<Relationship Id="rId666" Type="http://schemas.openxmlformats.org/officeDocument/2006/relationships/hyperlink" Target="https://login.consultant.ru/link/?req=doc&amp;base=LAW&amp;n=347570&amp;dst=100013" TargetMode = "External"/>
	<Relationship Id="rId667" Type="http://schemas.openxmlformats.org/officeDocument/2006/relationships/hyperlink" Target="https://login.consultant.ru/link/?req=doc&amp;base=LAW&amp;n=421276&amp;dst=101774" TargetMode = "External"/>
	<Relationship Id="rId668" Type="http://schemas.openxmlformats.org/officeDocument/2006/relationships/hyperlink" Target="https://login.consultant.ru/link/?req=doc&amp;base=LAW&amp;n=347568&amp;dst=100015" TargetMode = "External"/>
	<Relationship Id="rId669" Type="http://schemas.openxmlformats.org/officeDocument/2006/relationships/hyperlink" Target="https://login.consultant.ru/link/?req=doc&amp;base=LAW&amp;n=347572&amp;dst=100022" TargetMode = "External"/>
	<Relationship Id="rId670" Type="http://schemas.openxmlformats.org/officeDocument/2006/relationships/hyperlink" Target="https://login.consultant.ru/link/?req=doc&amp;base=LAW&amp;n=138223&amp;dst=100009" TargetMode = "External"/>
	<Relationship Id="rId671" Type="http://schemas.openxmlformats.org/officeDocument/2006/relationships/hyperlink" Target="https://login.consultant.ru/link/?req=doc&amp;base=LAW&amp;n=347572&amp;dst=100023" TargetMode = "External"/>
	<Relationship Id="rId672" Type="http://schemas.openxmlformats.org/officeDocument/2006/relationships/hyperlink" Target="https://login.consultant.ru/link/?req=doc&amp;base=LAW&amp;n=216719&amp;dst=100023" TargetMode = "External"/>
	<Relationship Id="rId673" Type="http://schemas.openxmlformats.org/officeDocument/2006/relationships/hyperlink" Target="https://login.consultant.ru/link/?req=doc&amp;base=LAW&amp;n=378535&amp;dst=100072" TargetMode = "External"/>
	<Relationship Id="rId674" Type="http://schemas.openxmlformats.org/officeDocument/2006/relationships/hyperlink" Target="https://login.consultant.ru/link/?req=doc&amp;base=LAW&amp;n=347575&amp;dst=100023" TargetMode = "External"/>
	<Relationship Id="rId675" Type="http://schemas.openxmlformats.org/officeDocument/2006/relationships/hyperlink" Target="https://login.consultant.ru/link/?req=doc&amp;base=LAW&amp;n=421276&amp;dst=101775" TargetMode = "External"/>
	<Relationship Id="rId676" Type="http://schemas.openxmlformats.org/officeDocument/2006/relationships/hyperlink" Target="https://login.consultant.ru/link/?req=doc&amp;base=LAW&amp;n=347571&amp;dst=100029" TargetMode = "External"/>
	<Relationship Id="rId677" Type="http://schemas.openxmlformats.org/officeDocument/2006/relationships/hyperlink" Target="https://login.consultant.ru/link/?req=doc&amp;base=LAW&amp;n=420969&amp;dst=100029" TargetMode = "External"/>
	<Relationship Id="rId678" Type="http://schemas.openxmlformats.org/officeDocument/2006/relationships/hyperlink" Target="https://login.consultant.ru/link/?req=doc&amp;base=LAW&amp;n=347575&amp;dst=100024" TargetMode = "External"/>
	<Relationship Id="rId679" Type="http://schemas.openxmlformats.org/officeDocument/2006/relationships/hyperlink" Target="https://login.consultant.ru/link/?req=doc&amp;base=LAW&amp;n=420968&amp;dst=100014" TargetMode = "External"/>
	<Relationship Id="rId680" Type="http://schemas.openxmlformats.org/officeDocument/2006/relationships/hyperlink" Target="https://login.consultant.ru/link/?req=doc&amp;base=LAW&amp;n=420969&amp;dst=100030" TargetMode = "External"/>
	<Relationship Id="rId681" Type="http://schemas.openxmlformats.org/officeDocument/2006/relationships/hyperlink" Target="https://login.consultant.ru/link/?req=doc&amp;base=LAW&amp;n=347575&amp;dst=100026" TargetMode = "External"/>
	<Relationship Id="rId682" Type="http://schemas.openxmlformats.org/officeDocument/2006/relationships/hyperlink" Target="https://login.consultant.ru/link/?req=doc&amp;base=LAW&amp;n=420968&amp;dst=100016" TargetMode = "External"/>
	<Relationship Id="rId683" Type="http://schemas.openxmlformats.org/officeDocument/2006/relationships/hyperlink" Target="https://login.consultant.ru/link/?req=doc&amp;base=LAW&amp;n=347575&amp;dst=100027" TargetMode = "External"/>
	<Relationship Id="rId684" Type="http://schemas.openxmlformats.org/officeDocument/2006/relationships/hyperlink" Target="https://login.consultant.ru/link/?req=doc&amp;base=LAW&amp;n=420968&amp;dst=100016" TargetMode = "External"/>
	<Relationship Id="rId685" Type="http://schemas.openxmlformats.org/officeDocument/2006/relationships/hyperlink" Target="https://login.consultant.ru/link/?req=doc&amp;base=LAW&amp;n=420969&amp;dst=100031" TargetMode = "External"/>
	<Relationship Id="rId686" Type="http://schemas.openxmlformats.org/officeDocument/2006/relationships/hyperlink" Target="https://login.consultant.ru/link/?req=doc&amp;base=LAW&amp;n=347575&amp;dst=100028" TargetMode = "External"/>
	<Relationship Id="rId687" Type="http://schemas.openxmlformats.org/officeDocument/2006/relationships/hyperlink" Target="https://login.consultant.ru/link/?req=doc&amp;base=LAW&amp;n=420968&amp;dst=100017" TargetMode = "External"/>
	<Relationship Id="rId688" Type="http://schemas.openxmlformats.org/officeDocument/2006/relationships/hyperlink" Target="https://login.consultant.ru/link/?req=doc&amp;base=LAW&amp;n=420969&amp;dst=100031" TargetMode = "External"/>
	<Relationship Id="rId689" Type="http://schemas.openxmlformats.org/officeDocument/2006/relationships/hyperlink" Target="https://login.consultant.ru/link/?req=doc&amp;base=LAW&amp;n=420968&amp;dst=100018" TargetMode = "External"/>
	<Relationship Id="rId690" Type="http://schemas.openxmlformats.org/officeDocument/2006/relationships/hyperlink" Target="https://login.consultant.ru/link/?req=doc&amp;base=LAW&amp;n=205587&amp;dst=100044" TargetMode = "External"/>
	<Relationship Id="rId691" Type="http://schemas.openxmlformats.org/officeDocument/2006/relationships/hyperlink" Target="https://login.consultant.ru/link/?req=doc&amp;base=LAW&amp;n=158916&amp;dst=100013" TargetMode = "External"/>
	<Relationship Id="rId692" Type="http://schemas.openxmlformats.org/officeDocument/2006/relationships/hyperlink" Target="https://login.consultant.ru/link/?req=doc&amp;base=LAW&amp;n=420968&amp;dst=100020" TargetMode = "External"/>
	<Relationship Id="rId693" Type="http://schemas.openxmlformats.org/officeDocument/2006/relationships/hyperlink" Target="https://login.consultant.ru/link/?req=doc&amp;base=LAW&amp;n=378535&amp;dst=100073" TargetMode = "External"/>
	<Relationship Id="rId694" Type="http://schemas.openxmlformats.org/officeDocument/2006/relationships/hyperlink" Target="https://login.consultant.ru/link/?req=doc&amp;base=LAW&amp;n=158916&amp;dst=100035" TargetMode = "External"/>
	<Relationship Id="rId695" Type="http://schemas.openxmlformats.org/officeDocument/2006/relationships/hyperlink" Target="https://login.consultant.ru/link/?req=doc&amp;base=LAW&amp;n=130520&amp;dst=100096" TargetMode = "External"/>
	<Relationship Id="rId696" Type="http://schemas.openxmlformats.org/officeDocument/2006/relationships/hyperlink" Target="https://login.consultant.ru/link/?req=doc&amp;base=LAW&amp;n=216708&amp;dst=100023" TargetMode = "External"/>
	<Relationship Id="rId697" Type="http://schemas.openxmlformats.org/officeDocument/2006/relationships/hyperlink" Target="https://login.consultant.ru/link/?req=doc&amp;base=LAW&amp;n=420969&amp;dst=100033" TargetMode = "External"/>
	<Relationship Id="rId698" Type="http://schemas.openxmlformats.org/officeDocument/2006/relationships/hyperlink" Target="https://login.consultant.ru/link/?req=doc&amp;base=LAW&amp;n=420866&amp;dst=100069" TargetMode = "External"/>
	<Relationship Id="rId699" Type="http://schemas.openxmlformats.org/officeDocument/2006/relationships/hyperlink" Target="https://login.consultant.ru/link/?req=doc&amp;base=LAW&amp;n=420866&amp;dst=100070" TargetMode = "External"/>
	<Relationship Id="rId700" Type="http://schemas.openxmlformats.org/officeDocument/2006/relationships/hyperlink" Target="https://login.consultant.ru/link/?req=doc&amp;base=LAW&amp;n=158916&amp;dst=100036" TargetMode = "External"/>
	<Relationship Id="rId701" Type="http://schemas.openxmlformats.org/officeDocument/2006/relationships/hyperlink" Target="https://login.consultant.ru/link/?req=doc&amp;base=LAW&amp;n=382926&amp;dst=100006" TargetMode = "External"/>
	<Relationship Id="rId702" Type="http://schemas.openxmlformats.org/officeDocument/2006/relationships/hyperlink" Target="https://login.consultant.ru/link/?req=doc&amp;base=LAW&amp;n=382926&amp;dst=100008" TargetMode = "External"/>
	<Relationship Id="rId703" Type="http://schemas.openxmlformats.org/officeDocument/2006/relationships/hyperlink" Target="https://login.consultant.ru/link/?req=doc&amp;base=LAW&amp;n=382926&amp;dst=100009" TargetMode = "External"/>
	<Relationship Id="rId704" Type="http://schemas.openxmlformats.org/officeDocument/2006/relationships/hyperlink" Target="https://login.consultant.ru/link/?req=doc&amp;base=LAW&amp;n=382926&amp;dst=100010" TargetMode = "External"/>
	<Relationship Id="rId705" Type="http://schemas.openxmlformats.org/officeDocument/2006/relationships/hyperlink" Target="https://login.consultant.ru/link/?req=doc&amp;base=LAW&amp;n=382926&amp;dst=100011" TargetMode = "External"/>
	<Relationship Id="rId706" Type="http://schemas.openxmlformats.org/officeDocument/2006/relationships/hyperlink" Target="https://login.consultant.ru/link/?req=doc&amp;base=LAW&amp;n=382926&amp;dst=100012" TargetMode = "External"/>
	<Relationship Id="rId707" Type="http://schemas.openxmlformats.org/officeDocument/2006/relationships/hyperlink" Target="https://login.consultant.ru/link/?req=doc&amp;base=LAW&amp;n=378535&amp;dst=100076" TargetMode = "External"/>
	<Relationship Id="rId708" Type="http://schemas.openxmlformats.org/officeDocument/2006/relationships/hyperlink" Target="https://login.consultant.ru/link/?req=doc&amp;base=LAW&amp;n=382926&amp;dst=100013" TargetMode = "External"/>
	<Relationship Id="rId709" Type="http://schemas.openxmlformats.org/officeDocument/2006/relationships/hyperlink" Target="https://login.consultant.ru/link/?req=doc&amp;base=LAW&amp;n=378535&amp;dst=100077" TargetMode = "External"/>
	<Relationship Id="rId710" Type="http://schemas.openxmlformats.org/officeDocument/2006/relationships/hyperlink" Target="https://login.consultant.ru/link/?req=doc&amp;base=LAW&amp;n=296305&amp;dst=100010" TargetMode = "External"/>
	<Relationship Id="rId711" Type="http://schemas.openxmlformats.org/officeDocument/2006/relationships/hyperlink" Target="https://login.consultant.ru/link/?req=doc&amp;base=LAW&amp;n=296305&amp;dst=100012" TargetMode = "External"/>
	<Relationship Id="rId712" Type="http://schemas.openxmlformats.org/officeDocument/2006/relationships/hyperlink" Target="https://login.consultant.ru/link/?req=doc&amp;base=LAW&amp;n=378535&amp;dst=100078" TargetMode = "External"/>
	<Relationship Id="rId713" Type="http://schemas.openxmlformats.org/officeDocument/2006/relationships/hyperlink" Target="https://login.consultant.ru/link/?req=doc&amp;base=LAW&amp;n=296305&amp;dst=100013" TargetMode = "External"/>
	<Relationship Id="rId714" Type="http://schemas.openxmlformats.org/officeDocument/2006/relationships/hyperlink" Target="https://login.consultant.ru/link/?req=doc&amp;base=LAW&amp;n=326410&amp;dst=100035" TargetMode = "External"/>
	<Relationship Id="rId715" Type="http://schemas.openxmlformats.org/officeDocument/2006/relationships/hyperlink" Target="https://login.consultant.ru/link/?req=doc&amp;base=LAW&amp;n=405734&amp;dst=100036" TargetMode = "External"/>
	<Relationship Id="rId716" Type="http://schemas.openxmlformats.org/officeDocument/2006/relationships/hyperlink" Target="https://login.consultant.ru/link/?req=doc&amp;base=LAW&amp;n=405734&amp;dst=100038" TargetMode = "External"/>
	<Relationship Id="rId717" Type="http://schemas.openxmlformats.org/officeDocument/2006/relationships/hyperlink" Target="https://login.consultant.ru/link/?req=doc&amp;base=LAW&amp;n=347569&amp;dst=100030" TargetMode = "External"/>
	<Relationship Id="rId718" Type="http://schemas.openxmlformats.org/officeDocument/2006/relationships/hyperlink" Target="https://login.consultant.ru/link/?req=doc&amp;base=LAW&amp;n=420866&amp;dst=100072" TargetMode = "External"/>
	<Relationship Id="rId719" Type="http://schemas.openxmlformats.org/officeDocument/2006/relationships/hyperlink" Target="https://login.consultant.ru/link/?req=doc&amp;base=LAW&amp;n=205587&amp;dst=100020" TargetMode = "External"/>
	<Relationship Id="rId720" Type="http://schemas.openxmlformats.org/officeDocument/2006/relationships/hyperlink" Target="https://login.consultant.ru/link/?req=doc&amp;base=LAW&amp;n=205587&amp;dst=100022" TargetMode = "External"/>
	<Relationship Id="rId721" Type="http://schemas.openxmlformats.org/officeDocument/2006/relationships/hyperlink" Target="https://login.consultant.ru/link/?req=doc&amp;base=LAW&amp;n=405655&amp;dst=100015" TargetMode = "External"/>
	<Relationship Id="rId722" Type="http://schemas.openxmlformats.org/officeDocument/2006/relationships/hyperlink" Target="https://login.consultant.ru/link/?req=doc&amp;base=LAW&amp;n=347575&amp;dst=100031" TargetMode = "External"/>
	<Relationship Id="rId723" Type="http://schemas.openxmlformats.org/officeDocument/2006/relationships/hyperlink" Target="https://login.consultant.ru/link/?req=doc&amp;base=LAW&amp;n=405734&amp;dst=100039" TargetMode = "External"/>
	<Relationship Id="rId724" Type="http://schemas.openxmlformats.org/officeDocument/2006/relationships/hyperlink" Target="https://login.consultant.ru/link/?req=doc&amp;base=LAW&amp;n=405734&amp;dst=100040" TargetMode = "External"/>
	<Relationship Id="rId725" Type="http://schemas.openxmlformats.org/officeDocument/2006/relationships/hyperlink" Target="https://login.consultant.ru/link/?req=doc&amp;base=LAW&amp;n=405734&amp;dst=100042" TargetMode = "External"/>
	<Relationship Id="rId726" Type="http://schemas.openxmlformats.org/officeDocument/2006/relationships/hyperlink" Target="https://login.consultant.ru/link/?req=doc&amp;base=LAW&amp;n=421276&amp;dst=101780" TargetMode = "External"/>
	<Relationship Id="rId727" Type="http://schemas.openxmlformats.org/officeDocument/2006/relationships/hyperlink" Target="https://login.consultant.ru/link/?req=doc&amp;base=LAW&amp;n=347575&amp;dst=100032" TargetMode = "External"/>
	<Relationship Id="rId728" Type="http://schemas.openxmlformats.org/officeDocument/2006/relationships/hyperlink" Target="https://login.consultant.ru/link/?req=doc&amp;base=LAW&amp;n=420969&amp;dst=100037" TargetMode = "External"/>
	<Relationship Id="rId729" Type="http://schemas.openxmlformats.org/officeDocument/2006/relationships/hyperlink" Target="https://login.consultant.ru/link/?req=doc&amp;base=LAW&amp;n=405734&amp;dst=100044" TargetMode = "External"/>
	<Relationship Id="rId730" Type="http://schemas.openxmlformats.org/officeDocument/2006/relationships/hyperlink" Target="https://login.consultant.ru/link/?req=doc&amp;base=LAW&amp;n=392904&amp;dst=100009" TargetMode = "External"/>
	<Relationship Id="rId731" Type="http://schemas.openxmlformats.org/officeDocument/2006/relationships/hyperlink" Target="https://login.consultant.ru/link/?req=doc&amp;base=LAW&amp;n=405734&amp;dst=100045" TargetMode = "External"/>
	<Relationship Id="rId732" Type="http://schemas.openxmlformats.org/officeDocument/2006/relationships/hyperlink" Target="https://login.consultant.ru/link/?req=doc&amp;base=LAW&amp;n=392904&amp;dst=100012" TargetMode = "External"/>
	<Relationship Id="rId733" Type="http://schemas.openxmlformats.org/officeDocument/2006/relationships/hyperlink" Target="https://login.consultant.ru/link/?req=doc&amp;base=LAW&amp;n=416268" TargetMode = "External"/>
	<Relationship Id="rId734" Type="http://schemas.openxmlformats.org/officeDocument/2006/relationships/hyperlink" Target="https://login.consultant.ru/link/?req=doc&amp;base=LAW&amp;n=392904&amp;dst=100014" TargetMode = "External"/>
	<Relationship Id="rId735" Type="http://schemas.openxmlformats.org/officeDocument/2006/relationships/hyperlink" Target="https://login.consultant.ru/link/?req=doc&amp;base=LAW&amp;n=216721&amp;dst=100023" TargetMode = "External"/>
	<Relationship Id="rId736" Type="http://schemas.openxmlformats.org/officeDocument/2006/relationships/hyperlink" Target="https://login.consultant.ru/link/?req=doc&amp;base=LAW&amp;n=420971&amp;dst=100035" TargetMode = "External"/>
	<Relationship Id="rId737" Type="http://schemas.openxmlformats.org/officeDocument/2006/relationships/hyperlink" Target="https://login.consultant.ru/link/?req=doc&amp;base=LAW&amp;n=216721&amp;dst=100025" TargetMode = "External"/>
	<Relationship Id="rId738" Type="http://schemas.openxmlformats.org/officeDocument/2006/relationships/hyperlink" Target="https://login.consultant.ru/link/?req=doc&amp;base=LAW&amp;n=420969&amp;dst=100038" TargetMode = "External"/>
	<Relationship Id="rId739" Type="http://schemas.openxmlformats.org/officeDocument/2006/relationships/hyperlink" Target="https://login.consultant.ru/link/?req=doc&amp;base=LAW&amp;n=378535&amp;dst=100084" TargetMode = "External"/>
	<Relationship Id="rId740" Type="http://schemas.openxmlformats.org/officeDocument/2006/relationships/hyperlink" Target="https://login.consultant.ru/link/?req=doc&amp;base=LAW&amp;n=130520&amp;dst=100120" TargetMode = "External"/>
	<Relationship Id="rId741" Type="http://schemas.openxmlformats.org/officeDocument/2006/relationships/hyperlink" Target="https://login.consultant.ru/link/?req=doc&amp;base=LAW&amp;n=421276&amp;dst=101781" TargetMode = "External"/>
	<Relationship Id="rId742" Type="http://schemas.openxmlformats.org/officeDocument/2006/relationships/hyperlink" Target="https://login.consultant.ru/link/?req=doc&amp;base=LAW&amp;n=347568&amp;dst=100016" TargetMode = "External"/>
	<Relationship Id="rId743" Type="http://schemas.openxmlformats.org/officeDocument/2006/relationships/hyperlink" Target="https://login.consultant.ru/link/?req=doc&amp;base=LAW&amp;n=378535&amp;dst=100087" TargetMode = "External"/>
	<Relationship Id="rId744" Type="http://schemas.openxmlformats.org/officeDocument/2006/relationships/hyperlink" Target="https://login.consultant.ru/link/?req=doc&amp;base=LAW&amp;n=420866&amp;dst=100074" TargetMode = "External"/>
	<Relationship Id="rId745" Type="http://schemas.openxmlformats.org/officeDocument/2006/relationships/hyperlink" Target="https://login.consultant.ru/link/?req=doc&amp;base=LAW&amp;n=347566&amp;dst=100027" TargetMode = "External"/>
	<Relationship Id="rId746" Type="http://schemas.openxmlformats.org/officeDocument/2006/relationships/hyperlink" Target="https://login.consultant.ru/link/?req=doc&amp;base=LAW&amp;n=347566&amp;dst=100029" TargetMode = "External"/>
	<Relationship Id="rId747" Type="http://schemas.openxmlformats.org/officeDocument/2006/relationships/hyperlink" Target="https://login.consultant.ru/link/?req=doc&amp;base=LAW&amp;n=130520&amp;dst=100123" TargetMode = "External"/>
	<Relationship Id="rId748" Type="http://schemas.openxmlformats.org/officeDocument/2006/relationships/hyperlink" Target="https://login.consultant.ru/link/?req=doc&amp;base=LAW&amp;n=420969&amp;dst=100040" TargetMode = "External"/>
	<Relationship Id="rId749" Type="http://schemas.openxmlformats.org/officeDocument/2006/relationships/hyperlink" Target="https://login.consultant.ru/link/?req=doc&amp;base=LAW&amp;n=378535&amp;dst=100088" TargetMode = "External"/>
	<Relationship Id="rId750" Type="http://schemas.openxmlformats.org/officeDocument/2006/relationships/hyperlink" Target="https://login.consultant.ru/link/?req=doc&amp;base=LAW&amp;n=421276&amp;dst=101782" TargetMode = "External"/>
	<Relationship Id="rId751" Type="http://schemas.openxmlformats.org/officeDocument/2006/relationships/hyperlink" Target="https://login.consultant.ru/link/?req=doc&amp;base=LAW&amp;n=347566&amp;dst=100030" TargetMode = "External"/>
	<Relationship Id="rId752" Type="http://schemas.openxmlformats.org/officeDocument/2006/relationships/hyperlink" Target="https://login.consultant.ru/link/?req=doc&amp;base=LAW&amp;n=347566&amp;dst=100032" TargetMode = "External"/>
	<Relationship Id="rId753" Type="http://schemas.openxmlformats.org/officeDocument/2006/relationships/hyperlink" Target="https://login.consultant.ru/link/?req=doc&amp;base=LAW&amp;n=347575&amp;dst=100033" TargetMode = "External"/>
	<Relationship Id="rId754" Type="http://schemas.openxmlformats.org/officeDocument/2006/relationships/hyperlink" Target="https://login.consultant.ru/link/?req=doc&amp;base=LAW&amp;n=205587&amp;dst=100023" TargetMode = "External"/>
	<Relationship Id="rId755" Type="http://schemas.openxmlformats.org/officeDocument/2006/relationships/hyperlink" Target="https://login.consultant.ru/link/?req=doc&amp;base=LAW&amp;n=205587&amp;dst=100025" TargetMode = "External"/>
	<Relationship Id="rId756" Type="http://schemas.openxmlformats.org/officeDocument/2006/relationships/hyperlink" Target="https://login.consultant.ru/link/?req=doc&amp;base=LAW&amp;n=405734&amp;dst=100046" TargetMode = "External"/>
	<Relationship Id="rId757" Type="http://schemas.openxmlformats.org/officeDocument/2006/relationships/hyperlink" Target="https://login.consultant.ru/link/?req=doc&amp;base=LAW&amp;n=372860" TargetMode = "External"/>
	<Relationship Id="rId758" Type="http://schemas.openxmlformats.org/officeDocument/2006/relationships/hyperlink" Target="https://login.consultant.ru/link/?req=doc&amp;base=LAW&amp;n=412725&amp;dst=28" TargetMode = "External"/>
	<Relationship Id="rId759" Type="http://schemas.openxmlformats.org/officeDocument/2006/relationships/hyperlink" Target="https://login.consultant.ru/link/?req=doc&amp;base=LAW&amp;n=412725&amp;dst=58" TargetMode = "External"/>
	<Relationship Id="rId760" Type="http://schemas.openxmlformats.org/officeDocument/2006/relationships/hyperlink" Target="https://login.consultant.ru/link/?req=doc&amp;base=LAW&amp;n=412725&amp;dst=100513" TargetMode = "External"/>
	<Relationship Id="rId761" Type="http://schemas.openxmlformats.org/officeDocument/2006/relationships/hyperlink" Target="https://login.consultant.ru/link/?req=doc&amp;base=LAW&amp;n=412725&amp;dst=114" TargetMode = "External"/>
	<Relationship Id="rId762" Type="http://schemas.openxmlformats.org/officeDocument/2006/relationships/hyperlink" Target="https://login.consultant.ru/link/?req=doc&amp;base=LAW&amp;n=394335&amp;dst=271" TargetMode = "External"/>
	<Relationship Id="rId763" Type="http://schemas.openxmlformats.org/officeDocument/2006/relationships/hyperlink" Target="https://login.consultant.ru/link/?req=doc&amp;base=LAW&amp;n=402619&amp;dst=19" TargetMode = "External"/>
	<Relationship Id="rId764" Type="http://schemas.openxmlformats.org/officeDocument/2006/relationships/hyperlink" Target="https://login.consultant.ru/link/?req=doc&amp;base=LAW&amp;n=402617&amp;dst=5" TargetMode = "External"/>
	<Relationship Id="rId765" Type="http://schemas.openxmlformats.org/officeDocument/2006/relationships/hyperlink" Target="https://login.consultant.ru/link/?req=doc&amp;base=LAW&amp;n=388556&amp;dst=105904" TargetMode = "External"/>
	<Relationship Id="rId766" Type="http://schemas.openxmlformats.org/officeDocument/2006/relationships/hyperlink" Target="https://login.consultant.ru/link/?req=doc&amp;base=LAW&amp;n=402792&amp;dst=100008" TargetMode = "External"/>
	<Relationship Id="rId767" Type="http://schemas.openxmlformats.org/officeDocument/2006/relationships/hyperlink" Target="https://login.consultant.ru/link/?req=doc&amp;base=LAW&amp;n=181977&amp;dst=100005" TargetMode = "External"/>
	<Relationship Id="rId768" Type="http://schemas.openxmlformats.org/officeDocument/2006/relationships/hyperlink" Target="https://login.consultant.ru/link/?req=doc&amp;base=LAW&amp;n=181977&amp;dst=4" TargetMode = "External"/>
	<Relationship Id="rId769" Type="http://schemas.openxmlformats.org/officeDocument/2006/relationships/hyperlink" Target="https://login.consultant.ru/link/?req=doc&amp;base=LAW&amp;n=41141" TargetMode = "External"/>
	<Relationship Id="rId770" Type="http://schemas.openxmlformats.org/officeDocument/2006/relationships/hyperlink" Target="https://login.consultant.ru/link/?req=doc&amp;base=LAW&amp;n=420866&amp;dst=100075" TargetMode = "External"/>
	<Relationship Id="rId771" Type="http://schemas.openxmlformats.org/officeDocument/2006/relationships/hyperlink" Target="https://login.consultant.ru/link/?req=doc&amp;base=LAW&amp;n=405734&amp;dst=100054" TargetMode = "External"/>
	<Relationship Id="rId772" Type="http://schemas.openxmlformats.org/officeDocument/2006/relationships/hyperlink" Target="https://login.consultant.ru/link/?req=doc&amp;base=LAW&amp;n=130520&amp;dst=100136" TargetMode = "External"/>
	<Relationship Id="rId773" Type="http://schemas.openxmlformats.org/officeDocument/2006/relationships/hyperlink" Target="https://login.consultant.ru/link/?req=doc&amp;base=LAW&amp;n=347575&amp;dst=100044" TargetMode = "External"/>
	<Relationship Id="rId774" Type="http://schemas.openxmlformats.org/officeDocument/2006/relationships/hyperlink" Target="https://login.consultant.ru/link/?req=doc&amp;base=LAW&amp;n=130520&amp;dst=100137" TargetMode = "External"/>
	<Relationship Id="rId775" Type="http://schemas.openxmlformats.org/officeDocument/2006/relationships/hyperlink" Target="https://login.consultant.ru/link/?req=doc&amp;base=LAW&amp;n=375470&amp;dst=100052" TargetMode = "External"/>
	<Relationship Id="rId776" Type="http://schemas.openxmlformats.org/officeDocument/2006/relationships/hyperlink" Target="https://login.consultant.ru/link/?req=doc&amp;base=LAW&amp;n=375470&amp;dst=101032" TargetMode = "External"/>
	<Relationship Id="rId777" Type="http://schemas.openxmlformats.org/officeDocument/2006/relationships/hyperlink" Target="https://login.consultant.ru/link/?req=doc&amp;base=LAW&amp;n=347472&amp;dst=100026" TargetMode = "External"/>
	<Relationship Id="rId778" Type="http://schemas.openxmlformats.org/officeDocument/2006/relationships/hyperlink" Target="https://login.consultant.ru/link/?req=doc&amp;base=LAW&amp;n=378535&amp;dst=100113" TargetMode = "External"/>
	<Relationship Id="rId779" Type="http://schemas.openxmlformats.org/officeDocument/2006/relationships/hyperlink" Target="https://login.consultant.ru/link/?req=doc&amp;base=LAW&amp;n=420971&amp;dst=100037" TargetMode = "External"/>
	<Relationship Id="rId780" Type="http://schemas.openxmlformats.org/officeDocument/2006/relationships/hyperlink" Target="https://login.consultant.ru/link/?req=doc&amp;base=LAW&amp;n=347472&amp;dst=100027" TargetMode = "External"/>
	<Relationship Id="rId781" Type="http://schemas.openxmlformats.org/officeDocument/2006/relationships/hyperlink" Target="https://login.consultant.ru/link/?req=doc&amp;base=LAW&amp;n=378535&amp;dst=100114" TargetMode = "External"/>
	<Relationship Id="rId782" Type="http://schemas.openxmlformats.org/officeDocument/2006/relationships/hyperlink" Target="https://login.consultant.ru/link/?req=doc&amp;base=LAW&amp;n=375470&amp;dst=100052" TargetMode = "External"/>
	<Relationship Id="rId783" Type="http://schemas.openxmlformats.org/officeDocument/2006/relationships/hyperlink" Target="https://login.consultant.ru/link/?req=doc&amp;base=LAW&amp;n=375470&amp;dst=101034" TargetMode = "External"/>
	<Relationship Id="rId784" Type="http://schemas.openxmlformats.org/officeDocument/2006/relationships/hyperlink" Target="https://login.consultant.ru/link/?req=doc&amp;base=LAW&amp;n=412480&amp;dst=100745" TargetMode = "External"/>
	<Relationship Id="rId785" Type="http://schemas.openxmlformats.org/officeDocument/2006/relationships/hyperlink" Target="https://login.consultant.ru/link/?req=doc&amp;base=LAW&amp;n=420971&amp;dst=100039" TargetMode = "External"/>
	<Relationship Id="rId786" Type="http://schemas.openxmlformats.org/officeDocument/2006/relationships/hyperlink" Target="https://login.consultant.ru/link/?req=doc&amp;base=LAW&amp;n=420971&amp;dst=100040" TargetMode = "External"/>
	<Relationship Id="rId787" Type="http://schemas.openxmlformats.org/officeDocument/2006/relationships/hyperlink" Target="https://login.consultant.ru/link/?req=doc&amp;base=LAW&amp;n=420866&amp;dst=100111" TargetMode = "External"/>
	<Relationship Id="rId788" Type="http://schemas.openxmlformats.org/officeDocument/2006/relationships/hyperlink" Target="https://login.consultant.ru/link/?req=doc&amp;base=LAW&amp;n=216719&amp;dst=100037" TargetMode = "External"/>
	<Relationship Id="rId789" Type="http://schemas.openxmlformats.org/officeDocument/2006/relationships/hyperlink" Target="https://login.consultant.ru/link/?req=doc&amp;base=LAW&amp;n=216721&amp;dst=100039" TargetMode = "External"/>
	<Relationship Id="rId790" Type="http://schemas.openxmlformats.org/officeDocument/2006/relationships/hyperlink" Target="https://login.consultant.ru/link/?req=doc&amp;base=LAW&amp;n=139522&amp;dst=100017" TargetMode = "External"/>
	<Relationship Id="rId791" Type="http://schemas.openxmlformats.org/officeDocument/2006/relationships/hyperlink" Target="https://login.consultant.ru/link/?req=doc&amp;base=LAW&amp;n=420971&amp;dst=100006" TargetMode = "External"/>
	<Relationship Id="rId792" Type="http://schemas.openxmlformats.org/officeDocument/2006/relationships/hyperlink" Target="https://login.consultant.ru/link/?req=doc&amp;base=LAW&amp;n=216719&amp;dst=100040" TargetMode = "External"/>
	<Relationship Id="rId793" Type="http://schemas.openxmlformats.org/officeDocument/2006/relationships/hyperlink" Target="https://login.consultant.ru/link/?req=doc&amp;base=LAW&amp;n=216719&amp;dst=100041" TargetMode = "External"/>
	<Relationship Id="rId794" Type="http://schemas.openxmlformats.org/officeDocument/2006/relationships/hyperlink" Target="https://login.consultant.ru/link/?req=doc&amp;base=LAW&amp;n=205171&amp;dst=100013" TargetMode = "External"/>
	<Relationship Id="rId795" Type="http://schemas.openxmlformats.org/officeDocument/2006/relationships/hyperlink" Target="https://login.consultant.ru/link/?req=doc&amp;base=LAW&amp;n=420866&amp;dst=100114" TargetMode = "External"/>
	<Relationship Id="rId796" Type="http://schemas.openxmlformats.org/officeDocument/2006/relationships/hyperlink" Target="https://login.consultant.ru/link/?req=doc&amp;base=LAW&amp;n=420971&amp;dst=100042" TargetMode = "External"/>
	<Relationship Id="rId797" Type="http://schemas.openxmlformats.org/officeDocument/2006/relationships/hyperlink" Target="https://login.consultant.ru/link/?req=doc&amp;base=LAW&amp;n=416268&amp;dst=101036" TargetMode = "External"/>
	<Relationship Id="rId798" Type="http://schemas.openxmlformats.org/officeDocument/2006/relationships/hyperlink" Target="https://login.consultant.ru/link/?req=doc&amp;base=LAW&amp;n=347566&amp;dst=100038" TargetMode = "External"/>
	<Relationship Id="rId799" Type="http://schemas.openxmlformats.org/officeDocument/2006/relationships/hyperlink" Target="https://login.consultant.ru/link/?req=doc&amp;base=LAW&amp;n=216719&amp;dst=100043" TargetMode = "External"/>
	<Relationship Id="rId800" Type="http://schemas.openxmlformats.org/officeDocument/2006/relationships/hyperlink" Target="https://login.consultant.ru/link/?req=doc&amp;base=LAW&amp;n=216719&amp;dst=100076" TargetMode = "External"/>
	<Relationship Id="rId801" Type="http://schemas.openxmlformats.org/officeDocument/2006/relationships/hyperlink" Target="https://login.consultant.ru/link/?req=doc&amp;base=LAW&amp;n=139522&amp;dst=100023" TargetMode = "External"/>
	<Relationship Id="rId802" Type="http://schemas.openxmlformats.org/officeDocument/2006/relationships/hyperlink" Target="https://login.consultant.ru/link/?req=doc&amp;base=LAW&amp;n=420971&amp;dst=100044" TargetMode = "External"/>
	<Relationship Id="rId803" Type="http://schemas.openxmlformats.org/officeDocument/2006/relationships/hyperlink" Target="https://login.consultant.ru/link/?req=doc&amp;base=LAW&amp;n=420866&amp;dst=100117" TargetMode = "External"/>
	<Relationship Id="rId804" Type="http://schemas.openxmlformats.org/officeDocument/2006/relationships/hyperlink" Target="https://login.consultant.ru/link/?req=doc&amp;base=LAW&amp;n=420971&amp;dst=100045" TargetMode = "External"/>
	<Relationship Id="rId805" Type="http://schemas.openxmlformats.org/officeDocument/2006/relationships/hyperlink" Target="https://login.consultant.ru/link/?req=doc&amp;base=LAW&amp;n=216719&amp;dst=100046" TargetMode = "External"/>
	<Relationship Id="rId806" Type="http://schemas.openxmlformats.org/officeDocument/2006/relationships/hyperlink" Target="https://login.consultant.ru/link/?req=doc&amp;base=LAW&amp;n=216719&amp;dst=100049" TargetMode = "External"/>
	<Relationship Id="rId807" Type="http://schemas.openxmlformats.org/officeDocument/2006/relationships/hyperlink" Target="https://login.consultant.ru/link/?req=doc&amp;base=LAW&amp;n=347566&amp;dst=100040" TargetMode = "External"/>
	<Relationship Id="rId808" Type="http://schemas.openxmlformats.org/officeDocument/2006/relationships/hyperlink" Target="https://login.consultant.ru/link/?req=doc&amp;base=LAW&amp;n=150237&amp;dst=100010" TargetMode = "External"/>
	<Relationship Id="rId809" Type="http://schemas.openxmlformats.org/officeDocument/2006/relationships/hyperlink" Target="https://login.consultant.ru/link/?req=doc&amp;base=LAW&amp;n=420971&amp;dst=100047" TargetMode = "External"/>
	<Relationship Id="rId810" Type="http://schemas.openxmlformats.org/officeDocument/2006/relationships/hyperlink" Target="https://login.consultant.ru/link/?req=doc&amp;base=LAW&amp;n=378535&amp;dst=100115" TargetMode = "External"/>
	<Relationship Id="rId811" Type="http://schemas.openxmlformats.org/officeDocument/2006/relationships/hyperlink" Target="https://login.consultant.ru/link/?req=doc&amp;base=LAW&amp;n=420866&amp;dst=100119" TargetMode = "External"/>
	<Relationship Id="rId812" Type="http://schemas.openxmlformats.org/officeDocument/2006/relationships/hyperlink" Target="https://login.consultant.ru/link/?req=doc&amp;base=LAW&amp;n=420866&amp;dst=100120" TargetMode = "External"/>
	<Relationship Id="rId813" Type="http://schemas.openxmlformats.org/officeDocument/2006/relationships/hyperlink" Target="https://login.consultant.ru/link/?req=doc&amp;base=LAW&amp;n=405734&amp;dst=100065" TargetMode = "External"/>
	<Relationship Id="rId814" Type="http://schemas.openxmlformats.org/officeDocument/2006/relationships/hyperlink" Target="https://login.consultant.ru/link/?req=doc&amp;base=LAW&amp;n=347566&amp;dst=100041" TargetMode = "External"/>
	<Relationship Id="rId815" Type="http://schemas.openxmlformats.org/officeDocument/2006/relationships/hyperlink" Target="https://login.consultant.ru/link/?req=doc&amp;base=LAW&amp;n=420971&amp;dst=100050" TargetMode = "External"/>
	<Relationship Id="rId816" Type="http://schemas.openxmlformats.org/officeDocument/2006/relationships/hyperlink" Target="https://login.consultant.ru/link/?req=doc&amp;base=LAW&amp;n=216708&amp;dst=100027" TargetMode = "External"/>
	<Relationship Id="rId817" Type="http://schemas.openxmlformats.org/officeDocument/2006/relationships/hyperlink" Target="https://login.consultant.ru/link/?req=doc&amp;base=LAW&amp;n=420969&amp;dst=100048" TargetMode = "External"/>
	<Relationship Id="rId818" Type="http://schemas.openxmlformats.org/officeDocument/2006/relationships/hyperlink" Target="https://login.consultant.ru/link/?req=doc&amp;base=LAW&amp;n=216708&amp;dst=100028" TargetMode = "External"/>
	<Relationship Id="rId819" Type="http://schemas.openxmlformats.org/officeDocument/2006/relationships/hyperlink" Target="https://login.consultant.ru/link/?req=doc&amp;base=LAW&amp;n=420971&amp;dst=100051" TargetMode = "External"/>
	<Relationship Id="rId820" Type="http://schemas.openxmlformats.org/officeDocument/2006/relationships/hyperlink" Target="https://login.consultant.ru/link/?req=doc&amp;base=LAW&amp;n=216708&amp;dst=100030" TargetMode = "External"/>
	<Relationship Id="rId821" Type="http://schemas.openxmlformats.org/officeDocument/2006/relationships/hyperlink" Target="https://login.consultant.ru/link/?req=doc&amp;base=LAW&amp;n=420971&amp;dst=100052" TargetMode = "External"/>
	<Relationship Id="rId822" Type="http://schemas.openxmlformats.org/officeDocument/2006/relationships/hyperlink" Target="https://login.consultant.ru/link/?req=doc&amp;base=LAW&amp;n=420969&amp;dst=100049" TargetMode = "External"/>
	<Relationship Id="rId823" Type="http://schemas.openxmlformats.org/officeDocument/2006/relationships/hyperlink" Target="https://login.consultant.ru/link/?req=doc&amp;base=LAW&amp;n=421276&amp;dst=100061" TargetMode = "External"/>
	<Relationship Id="rId824" Type="http://schemas.openxmlformats.org/officeDocument/2006/relationships/hyperlink" Target="https://login.consultant.ru/link/?req=doc&amp;base=LAW&amp;n=420969&amp;dst=100050" TargetMode = "External"/>
	<Relationship Id="rId825" Type="http://schemas.openxmlformats.org/officeDocument/2006/relationships/hyperlink" Target="https://login.consultant.ru/link/?req=doc&amp;base=LAW&amp;n=421276&amp;dst=102605" TargetMode = "External"/>
	<Relationship Id="rId826" Type="http://schemas.openxmlformats.org/officeDocument/2006/relationships/hyperlink" Target="https://login.consultant.ru/link/?req=doc&amp;base=LAW&amp;n=421276&amp;dst=100427" TargetMode = "External"/>
	<Relationship Id="rId827" Type="http://schemas.openxmlformats.org/officeDocument/2006/relationships/hyperlink" Target="https://login.consultant.ru/link/?req=doc&amp;base=LAW&amp;n=420969&amp;dst=100052" TargetMode = "External"/>
	<Relationship Id="rId828" Type="http://schemas.openxmlformats.org/officeDocument/2006/relationships/hyperlink" Target="https://login.consultant.ru/link/?req=doc&amp;base=LAW&amp;n=420969&amp;dst=100053" TargetMode = "External"/>
	<Relationship Id="rId829" Type="http://schemas.openxmlformats.org/officeDocument/2006/relationships/hyperlink" Target="https://login.consultant.ru/link/?req=doc&amp;base=LAW&amp;n=420969&amp;dst=100054" TargetMode = "External"/>
	<Relationship Id="rId830" Type="http://schemas.openxmlformats.org/officeDocument/2006/relationships/hyperlink" Target="https://login.consultant.ru/link/?req=doc&amp;base=LAW&amp;n=420969&amp;dst=100055" TargetMode = "External"/>
	<Relationship Id="rId831" Type="http://schemas.openxmlformats.org/officeDocument/2006/relationships/hyperlink" Target="https://login.consultant.ru/link/?req=doc&amp;base=LAW&amp;n=378535&amp;dst=100116" TargetMode = "External"/>
	<Relationship Id="rId832" Type="http://schemas.openxmlformats.org/officeDocument/2006/relationships/hyperlink" Target="https://login.consultant.ru/link/?req=doc&amp;base=LAW&amp;n=420866&amp;dst=100122" TargetMode = "External"/>
	<Relationship Id="rId833" Type="http://schemas.openxmlformats.org/officeDocument/2006/relationships/hyperlink" Target="https://login.consultant.ru/link/?req=doc&amp;base=LAW&amp;n=194439&amp;dst=100018" TargetMode = "External"/>
	<Relationship Id="rId834" Type="http://schemas.openxmlformats.org/officeDocument/2006/relationships/hyperlink" Target="https://login.consultant.ru/link/?req=doc&amp;base=LAW&amp;n=347575&amp;dst=100045" TargetMode = "External"/>
	<Relationship Id="rId835" Type="http://schemas.openxmlformats.org/officeDocument/2006/relationships/hyperlink" Target="https://login.consultant.ru/link/?req=doc&amp;base=LAW&amp;n=421276&amp;dst=101785" TargetMode = "External"/>
	<Relationship Id="rId836" Type="http://schemas.openxmlformats.org/officeDocument/2006/relationships/hyperlink" Target="https://login.consultant.ru/link/?req=doc&amp;base=LAW&amp;n=347569&amp;dst=100044" TargetMode = "External"/>
	<Relationship Id="rId837" Type="http://schemas.openxmlformats.org/officeDocument/2006/relationships/hyperlink" Target="https://login.consultant.ru/link/?req=doc&amp;base=LAW&amp;n=347566&amp;dst=100051" TargetMode = "External"/>
	<Relationship Id="rId838" Type="http://schemas.openxmlformats.org/officeDocument/2006/relationships/hyperlink" Target="https://login.consultant.ru/link/?req=doc&amp;base=LAW&amp;n=130520&amp;dst=100143" TargetMode = "External"/>
	<Relationship Id="rId839" Type="http://schemas.openxmlformats.org/officeDocument/2006/relationships/hyperlink" Target="https://login.consultant.ru/link/?req=doc&amp;base=LAW&amp;n=216719&amp;dst=100051" TargetMode = "External"/>
	<Relationship Id="rId840" Type="http://schemas.openxmlformats.org/officeDocument/2006/relationships/hyperlink" Target="https://login.consultant.ru/link/?req=doc&amp;base=LAW&amp;n=347571&amp;dst=100031" TargetMode = "External"/>
	<Relationship Id="rId841" Type="http://schemas.openxmlformats.org/officeDocument/2006/relationships/hyperlink" Target="https://login.consultant.ru/link/?req=doc&amp;base=LAW&amp;n=347571&amp;dst=100032" TargetMode = "External"/>
	<Relationship Id="rId842" Type="http://schemas.openxmlformats.org/officeDocument/2006/relationships/hyperlink" Target="https://login.consultant.ru/link/?req=doc&amp;base=LAW&amp;n=326410&amp;dst=100036" TargetMode = "External"/>
	<Relationship Id="rId843" Type="http://schemas.openxmlformats.org/officeDocument/2006/relationships/hyperlink" Target="https://login.consultant.ru/link/?req=doc&amp;base=LAW&amp;n=326410&amp;dst=100038" TargetMode = "External"/>
	<Relationship Id="rId844" Type="http://schemas.openxmlformats.org/officeDocument/2006/relationships/hyperlink" Target="https://login.consultant.ru/link/?req=doc&amp;base=LAW&amp;n=347575&amp;dst=100047" TargetMode = "External"/>
	<Relationship Id="rId845" Type="http://schemas.openxmlformats.org/officeDocument/2006/relationships/hyperlink" Target="https://login.consultant.ru/link/?req=doc&amp;base=LAW&amp;n=405734&amp;dst=100067" TargetMode = "External"/>
	<Relationship Id="rId846" Type="http://schemas.openxmlformats.org/officeDocument/2006/relationships/hyperlink" Target="https://login.consultant.ru/link/?req=doc&amp;base=LAW&amp;n=326410&amp;dst=100039" TargetMode = "External"/>
	<Relationship Id="rId847" Type="http://schemas.openxmlformats.org/officeDocument/2006/relationships/hyperlink" Target="https://login.consultant.ru/link/?req=doc&amp;base=LAW&amp;n=405734&amp;dst=100069" TargetMode = "External"/>
	<Relationship Id="rId848" Type="http://schemas.openxmlformats.org/officeDocument/2006/relationships/hyperlink" Target="https://login.consultant.ru/link/?req=doc&amp;base=LAW&amp;n=347566&amp;dst=100052" TargetMode = "External"/>
	<Relationship Id="rId849" Type="http://schemas.openxmlformats.org/officeDocument/2006/relationships/hyperlink" Target="https://login.consultant.ru/link/?req=doc&amp;base=LAW&amp;n=130520&amp;dst=100147" TargetMode = "External"/>
	<Relationship Id="rId850" Type="http://schemas.openxmlformats.org/officeDocument/2006/relationships/hyperlink" Target="https://login.consultant.ru/link/?req=doc&amp;base=LAW&amp;n=378535&amp;dst=100119" TargetMode = "External"/>
	<Relationship Id="rId851" Type="http://schemas.openxmlformats.org/officeDocument/2006/relationships/hyperlink" Target="https://login.consultant.ru/link/?req=doc&amp;base=LAW&amp;n=421276&amp;dst=101790" TargetMode = "External"/>
	<Relationship Id="rId852" Type="http://schemas.openxmlformats.org/officeDocument/2006/relationships/hyperlink" Target="https://login.consultant.ru/link/?req=doc&amp;base=LAW&amp;n=421276&amp;dst=101792" TargetMode = "External"/>
	<Relationship Id="rId853" Type="http://schemas.openxmlformats.org/officeDocument/2006/relationships/hyperlink" Target="https://login.consultant.ru/link/?req=doc&amp;base=LAW&amp;n=326410&amp;dst=100044" TargetMode = "External"/>
	<Relationship Id="rId854" Type="http://schemas.openxmlformats.org/officeDocument/2006/relationships/hyperlink" Target="https://login.consultant.ru/link/?req=doc&amp;base=LAW&amp;n=326410&amp;dst=100046" TargetMode = "External"/>
	<Relationship Id="rId855" Type="http://schemas.openxmlformats.org/officeDocument/2006/relationships/hyperlink" Target="https://login.consultant.ru/link/?req=doc&amp;base=LAW&amp;n=351023&amp;dst=100471" TargetMode = "External"/>
	<Relationship Id="rId856" Type="http://schemas.openxmlformats.org/officeDocument/2006/relationships/hyperlink" Target="https://login.consultant.ru/link/?req=doc&amp;base=LAW&amp;n=326410&amp;dst=100047" TargetMode = "External"/>
	<Relationship Id="rId857" Type="http://schemas.openxmlformats.org/officeDocument/2006/relationships/hyperlink" Target="https://login.consultant.ru/link/?req=doc&amp;base=LAW&amp;n=326410&amp;dst=100048" TargetMode = "External"/>
	<Relationship Id="rId858" Type="http://schemas.openxmlformats.org/officeDocument/2006/relationships/hyperlink" Target="https://login.consultant.ru/link/?req=doc&amp;base=LAW&amp;n=347569&amp;dst=100045" TargetMode = "External"/>
	<Relationship Id="rId859" Type="http://schemas.openxmlformats.org/officeDocument/2006/relationships/hyperlink" Target="https://login.consultant.ru/link/?req=doc&amp;base=LAW&amp;n=182490&amp;dst=100012" TargetMode = "External"/>
	<Relationship Id="rId860" Type="http://schemas.openxmlformats.org/officeDocument/2006/relationships/hyperlink" Target="https://login.consultant.ru/link/?req=doc&amp;base=LAW&amp;n=306961&amp;dst=100049" TargetMode = "External"/>
	<Relationship Id="rId861" Type="http://schemas.openxmlformats.org/officeDocument/2006/relationships/hyperlink" Target="https://login.consultant.ru/link/?req=doc&amp;base=LAW&amp;n=375470&amp;dst=100052" TargetMode = "External"/>
	<Relationship Id="rId862" Type="http://schemas.openxmlformats.org/officeDocument/2006/relationships/hyperlink" Target="https://login.consultant.ru/link/?req=doc&amp;base=LAW&amp;n=326410&amp;dst=100049" TargetMode = "External"/>
	<Relationship Id="rId863" Type="http://schemas.openxmlformats.org/officeDocument/2006/relationships/hyperlink" Target="https://login.consultant.ru/link/?req=doc&amp;base=LAW&amp;n=412480&amp;dst=100152" TargetMode = "External"/>
	<Relationship Id="rId864" Type="http://schemas.openxmlformats.org/officeDocument/2006/relationships/hyperlink" Target="https://login.consultant.ru/link/?req=doc&amp;base=LAW&amp;n=412480&amp;dst=100221" TargetMode = "External"/>
	<Relationship Id="rId865" Type="http://schemas.openxmlformats.org/officeDocument/2006/relationships/hyperlink" Target="https://login.consultant.ru/link/?req=doc&amp;base=LAW&amp;n=412480&amp;dst=100747" TargetMode = "External"/>
	<Relationship Id="rId866" Type="http://schemas.openxmlformats.org/officeDocument/2006/relationships/hyperlink" Target="https://login.consultant.ru/link/?req=doc&amp;base=LAW&amp;n=378535&amp;dst=100120" TargetMode = "External"/>
	<Relationship Id="rId867" Type="http://schemas.openxmlformats.org/officeDocument/2006/relationships/hyperlink" Target="https://login.consultant.ru/link/?req=doc&amp;base=LAW&amp;n=378535&amp;dst=100122" TargetMode = "External"/>
	<Relationship Id="rId868" Type="http://schemas.openxmlformats.org/officeDocument/2006/relationships/hyperlink" Target="https://login.consultant.ru/link/?req=doc&amp;base=LAW&amp;n=378535&amp;dst=100123" TargetMode = "External"/>
	<Relationship Id="rId869" Type="http://schemas.openxmlformats.org/officeDocument/2006/relationships/hyperlink" Target="https://login.consultant.ru/link/?req=doc&amp;base=LAW&amp;n=378535&amp;dst=100124" TargetMode = "External"/>
	<Relationship Id="rId870" Type="http://schemas.openxmlformats.org/officeDocument/2006/relationships/hyperlink" Target="https://login.consultant.ru/link/?req=doc&amp;base=LAW&amp;n=420969&amp;dst=100057" TargetMode = "External"/>
	<Relationship Id="rId871" Type="http://schemas.openxmlformats.org/officeDocument/2006/relationships/hyperlink" Target="https://login.consultant.ru/link/?req=doc&amp;base=LAW&amp;n=420866&amp;dst=100123" TargetMode = "External"/>
	<Relationship Id="rId872" Type="http://schemas.openxmlformats.org/officeDocument/2006/relationships/hyperlink" Target="https://login.consultant.ru/link/?req=doc&amp;base=LAW&amp;n=421276&amp;dst=101797" TargetMode = "External"/>
	<Relationship Id="rId873" Type="http://schemas.openxmlformats.org/officeDocument/2006/relationships/hyperlink" Target="https://login.consultant.ru/link/?req=doc&amp;base=LAW&amp;n=351023&amp;dst=100472" TargetMode = "External"/>
	<Relationship Id="rId874" Type="http://schemas.openxmlformats.org/officeDocument/2006/relationships/hyperlink" Target="https://login.consultant.ru/link/?req=doc&amp;base=LAW&amp;n=420969&amp;dst=100059" TargetMode = "External"/>
	<Relationship Id="rId875" Type="http://schemas.openxmlformats.org/officeDocument/2006/relationships/hyperlink" Target="https://login.consultant.ru/link/?req=doc&amp;base=LAW&amp;n=130520&amp;dst=100149" TargetMode = "External"/>
	<Relationship Id="rId876" Type="http://schemas.openxmlformats.org/officeDocument/2006/relationships/hyperlink" Target="https://login.consultant.ru/link/?req=doc&amp;base=LAW&amp;n=397757&amp;dst=100037" TargetMode = "External"/>
	<Relationship Id="rId877" Type="http://schemas.openxmlformats.org/officeDocument/2006/relationships/hyperlink" Target="https://login.consultant.ru/link/?req=doc&amp;base=LAW&amp;n=375470&amp;dst=100052" TargetMode = "External"/>
	<Relationship Id="rId878" Type="http://schemas.openxmlformats.org/officeDocument/2006/relationships/hyperlink" Target="https://login.consultant.ru/link/?req=doc&amp;base=LAW&amp;n=375470&amp;dst=101044" TargetMode = "External"/>
	<Relationship Id="rId879" Type="http://schemas.openxmlformats.org/officeDocument/2006/relationships/hyperlink" Target="https://login.consultant.ru/link/?req=doc&amp;base=LAW&amp;n=378535&amp;dst=100125" TargetMode = "External"/>
	<Relationship Id="rId880" Type="http://schemas.openxmlformats.org/officeDocument/2006/relationships/hyperlink" Target="https://login.consultant.ru/link/?req=doc&amp;base=LAW&amp;n=326410&amp;dst=100051" TargetMode = "External"/>
	<Relationship Id="rId881" Type="http://schemas.openxmlformats.org/officeDocument/2006/relationships/hyperlink" Target="https://login.consultant.ru/link/?req=doc&amp;base=LAW&amp;n=371976&amp;dst=100010" TargetMode = "External"/>
	<Relationship Id="rId882" Type="http://schemas.openxmlformats.org/officeDocument/2006/relationships/hyperlink" Target="https://login.consultant.ru/link/?req=doc&amp;base=LAW&amp;n=351023&amp;dst=100473" TargetMode = "External"/>
	<Relationship Id="rId883" Type="http://schemas.openxmlformats.org/officeDocument/2006/relationships/hyperlink" Target="https://login.consultant.ru/link/?req=doc&amp;base=LAW&amp;n=378535&amp;dst=100126" TargetMode = "External"/>
	<Relationship Id="rId884" Type="http://schemas.openxmlformats.org/officeDocument/2006/relationships/hyperlink" Target="https://login.consultant.ru/link/?req=doc&amp;base=LAW&amp;n=378535&amp;dst=100133" TargetMode = "External"/>
	<Relationship Id="rId885" Type="http://schemas.openxmlformats.org/officeDocument/2006/relationships/hyperlink" Target="https://login.consultant.ru/link/?req=doc&amp;base=LAW&amp;n=130520&amp;dst=100157" TargetMode = "External"/>
	<Relationship Id="rId886" Type="http://schemas.openxmlformats.org/officeDocument/2006/relationships/hyperlink" Target="https://login.consultant.ru/link/?req=doc&amp;base=LAW&amp;n=421276&amp;dst=101800" TargetMode = "External"/>
	<Relationship Id="rId887" Type="http://schemas.openxmlformats.org/officeDocument/2006/relationships/hyperlink" Target="https://login.consultant.ru/link/?req=doc&amp;base=LAW&amp;n=347569&amp;dst=100047" TargetMode = "External"/>
	<Relationship Id="rId888" Type="http://schemas.openxmlformats.org/officeDocument/2006/relationships/hyperlink" Target="https://login.consultant.ru/link/?req=doc&amp;base=LAW&amp;n=351023&amp;dst=100476" TargetMode = "External"/>
	<Relationship Id="rId889" Type="http://schemas.openxmlformats.org/officeDocument/2006/relationships/hyperlink" Target="https://login.consultant.ru/link/?req=doc&amp;base=LAW&amp;n=378535&amp;dst=100140" TargetMode = "External"/>
	<Relationship Id="rId890" Type="http://schemas.openxmlformats.org/officeDocument/2006/relationships/hyperlink" Target="https://login.consultant.ru/link/?req=doc&amp;base=LAW&amp;n=347566&amp;dst=100054" TargetMode = "External"/>
	<Relationship Id="rId891" Type="http://schemas.openxmlformats.org/officeDocument/2006/relationships/hyperlink" Target="https://login.consultant.ru/link/?req=doc&amp;base=LAW&amp;n=347575&amp;dst=100052" TargetMode = "External"/>
	<Relationship Id="rId892" Type="http://schemas.openxmlformats.org/officeDocument/2006/relationships/hyperlink" Target="https://login.consultant.ru/link/?req=doc&amp;base=LAW&amp;n=375470&amp;dst=101047" TargetMode = "External"/>
	<Relationship Id="rId893" Type="http://schemas.openxmlformats.org/officeDocument/2006/relationships/hyperlink" Target="https://login.consultant.ru/link/?req=doc&amp;base=LAW&amp;n=421276&amp;dst=101810" TargetMode = "External"/>
	<Relationship Id="rId894" Type="http://schemas.openxmlformats.org/officeDocument/2006/relationships/hyperlink" Target="https://login.consultant.ru/link/?req=doc&amp;base=LAW&amp;n=347571&amp;dst=100038" TargetMode = "External"/>
	<Relationship Id="rId895" Type="http://schemas.openxmlformats.org/officeDocument/2006/relationships/hyperlink" Target="https://login.consultant.ru/link/?req=doc&amp;base=LAW&amp;n=383158&amp;dst=100010" TargetMode = "External"/>
	<Relationship Id="rId896" Type="http://schemas.openxmlformats.org/officeDocument/2006/relationships/hyperlink" Target="https://login.consultant.ru/link/?req=doc&amp;base=LAW&amp;n=375470&amp;dst=101048" TargetMode = "External"/>
	<Relationship Id="rId897" Type="http://schemas.openxmlformats.org/officeDocument/2006/relationships/hyperlink" Target="https://login.consultant.ru/link/?req=doc&amp;base=LAW&amp;n=347571&amp;dst=100039" TargetMode = "External"/>
	<Relationship Id="rId898" Type="http://schemas.openxmlformats.org/officeDocument/2006/relationships/hyperlink" Target="https://login.consultant.ru/link/?req=doc&amp;base=LAW&amp;n=375470&amp;dst=101050" TargetMode = "External"/>
	<Relationship Id="rId899" Type="http://schemas.openxmlformats.org/officeDocument/2006/relationships/hyperlink" Target="https://login.consultant.ru/link/?req=doc&amp;base=LAW&amp;n=347575&amp;dst=100055" TargetMode = "External"/>
	<Relationship Id="rId900" Type="http://schemas.openxmlformats.org/officeDocument/2006/relationships/hyperlink" Target="https://login.consultant.ru/link/?req=doc&amp;base=LAW&amp;n=347571&amp;dst=100041" TargetMode = "External"/>
	<Relationship Id="rId901" Type="http://schemas.openxmlformats.org/officeDocument/2006/relationships/hyperlink" Target="https://login.consultant.ru/link/?req=doc&amp;base=LAW&amp;n=178054&amp;dst=100009" TargetMode = "External"/>
	<Relationship Id="rId902" Type="http://schemas.openxmlformats.org/officeDocument/2006/relationships/hyperlink" Target="https://login.consultant.ru/link/?req=doc&amp;base=LAW&amp;n=323210&amp;dst=100009" TargetMode = "External"/>
	<Relationship Id="rId903" Type="http://schemas.openxmlformats.org/officeDocument/2006/relationships/hyperlink" Target="https://login.consultant.ru/link/?req=doc&amp;base=LAW&amp;n=347575&amp;dst=100057" TargetMode = "External"/>
	<Relationship Id="rId904" Type="http://schemas.openxmlformats.org/officeDocument/2006/relationships/hyperlink" Target="https://login.consultant.ru/link/?req=doc&amp;base=LAW&amp;n=405778&amp;dst=100181" TargetMode = "External"/>
	<Relationship Id="rId905" Type="http://schemas.openxmlformats.org/officeDocument/2006/relationships/hyperlink" Target="https://login.consultant.ru/link/?req=doc&amp;base=LAW&amp;n=12453&amp;dst=100163" TargetMode = "External"/>
	<Relationship Id="rId906" Type="http://schemas.openxmlformats.org/officeDocument/2006/relationships/hyperlink" Target="https://login.consultant.ru/link/?req=doc&amp;base=LAW&amp;n=323210&amp;dst=100010" TargetMode = "External"/>
	<Relationship Id="rId907" Type="http://schemas.openxmlformats.org/officeDocument/2006/relationships/hyperlink" Target="https://login.consultant.ru/link/?req=doc&amp;base=LAW&amp;n=323210&amp;dst=100015" TargetMode = "External"/>
	<Relationship Id="rId908" Type="http://schemas.openxmlformats.org/officeDocument/2006/relationships/hyperlink" Target="https://login.consultant.ru/link/?req=doc&amp;base=LAW&amp;n=405734&amp;dst=100070" TargetMode = "External"/>
	<Relationship Id="rId909" Type="http://schemas.openxmlformats.org/officeDocument/2006/relationships/hyperlink" Target="https://login.consultant.ru/link/?req=doc&amp;base=LAW&amp;n=323210&amp;dst=100042" TargetMode = "External"/>
	<Relationship Id="rId910" Type="http://schemas.openxmlformats.org/officeDocument/2006/relationships/hyperlink" Target="https://login.consultant.ru/link/?req=doc&amp;base=LAW&amp;n=347575&amp;dst=100064" TargetMode = "External"/>
	<Relationship Id="rId911" Type="http://schemas.openxmlformats.org/officeDocument/2006/relationships/hyperlink" Target="https://login.consultant.ru/link/?req=doc&amp;base=LAW&amp;n=421276&amp;dst=101811" TargetMode = "External"/>
	<Relationship Id="rId912" Type="http://schemas.openxmlformats.org/officeDocument/2006/relationships/hyperlink" Target="https://login.consultant.ru/link/?req=doc&amp;base=LAW&amp;n=150237&amp;dst=100013" TargetMode = "External"/>
	<Relationship Id="rId913" Type="http://schemas.openxmlformats.org/officeDocument/2006/relationships/hyperlink" Target="https://login.consultant.ru/link/?req=doc&amp;base=LAW&amp;n=347575&amp;dst=100065" TargetMode = "External"/>
	<Relationship Id="rId914" Type="http://schemas.openxmlformats.org/officeDocument/2006/relationships/hyperlink" Target="https://login.consultant.ru/link/?req=doc&amp;base=LAW&amp;n=323210&amp;dst=100045" TargetMode = "External"/>
	<Relationship Id="rId915" Type="http://schemas.openxmlformats.org/officeDocument/2006/relationships/hyperlink" Target="https://login.consultant.ru/link/?req=doc&amp;base=LAW&amp;n=323210&amp;dst=100047" TargetMode = "External"/>
	<Relationship Id="rId916" Type="http://schemas.openxmlformats.org/officeDocument/2006/relationships/hyperlink" Target="https://login.consultant.ru/link/?req=doc&amp;base=LAW&amp;n=405734&amp;dst=100071" TargetMode = "External"/>
	<Relationship Id="rId917" Type="http://schemas.openxmlformats.org/officeDocument/2006/relationships/hyperlink" Target="https://login.consultant.ru/link/?req=doc&amp;base=LAW&amp;n=323210&amp;dst=100048" TargetMode = "External"/>
	<Relationship Id="rId918" Type="http://schemas.openxmlformats.org/officeDocument/2006/relationships/hyperlink" Target="https://login.consultant.ru/link/?req=doc&amp;base=LAW&amp;n=323210&amp;dst=100050" TargetMode = "External"/>
	<Relationship Id="rId919" Type="http://schemas.openxmlformats.org/officeDocument/2006/relationships/hyperlink" Target="https://login.consultant.ru/link/?req=doc&amp;base=LAW&amp;n=347575&amp;dst=100068" TargetMode = "External"/>
	<Relationship Id="rId920" Type="http://schemas.openxmlformats.org/officeDocument/2006/relationships/hyperlink" Target="https://login.consultant.ru/link/?req=doc&amp;base=LAW&amp;n=326410&amp;dst=100060" TargetMode = "External"/>
	<Relationship Id="rId921" Type="http://schemas.openxmlformats.org/officeDocument/2006/relationships/hyperlink" Target="https://login.consultant.ru/link/?req=doc&amp;base=LAW&amp;n=209640&amp;dst=100010" TargetMode = "External"/>
	<Relationship Id="rId922" Type="http://schemas.openxmlformats.org/officeDocument/2006/relationships/hyperlink" Target="https://login.consultant.ru/link/?req=doc&amp;base=LAW&amp;n=347575&amp;dst=100073" TargetMode = "External"/>
	<Relationship Id="rId923" Type="http://schemas.openxmlformats.org/officeDocument/2006/relationships/hyperlink" Target="https://login.consultant.ru/link/?req=doc&amp;base=LAW&amp;n=139522&amp;dst=100030" TargetMode = "External"/>
	<Relationship Id="rId924" Type="http://schemas.openxmlformats.org/officeDocument/2006/relationships/hyperlink" Target="https://login.consultant.ru/link/?req=doc&amp;base=LAW&amp;n=375470&amp;dst=101051" TargetMode = "External"/>
	<Relationship Id="rId925" Type="http://schemas.openxmlformats.org/officeDocument/2006/relationships/hyperlink" Target="https://login.consultant.ru/link/?req=doc&amp;base=LAW&amp;n=347575&amp;dst=100076" TargetMode = "External"/>
	<Relationship Id="rId926" Type="http://schemas.openxmlformats.org/officeDocument/2006/relationships/hyperlink" Target="https://login.consultant.ru/link/?req=doc&amp;base=LAW&amp;n=139522&amp;dst=100031" TargetMode = "External"/>
	<Relationship Id="rId927" Type="http://schemas.openxmlformats.org/officeDocument/2006/relationships/hyperlink" Target="https://login.consultant.ru/link/?req=doc&amp;base=LAW&amp;n=378535&amp;dst=100141" TargetMode = "External"/>
	<Relationship Id="rId928" Type="http://schemas.openxmlformats.org/officeDocument/2006/relationships/hyperlink" Target="https://login.consultant.ru/link/?req=doc&amp;base=LAW&amp;n=216719&amp;dst=100052" TargetMode = "External"/>
	<Relationship Id="rId929" Type="http://schemas.openxmlformats.org/officeDocument/2006/relationships/hyperlink" Target="https://login.consultant.ru/link/?req=doc&amp;base=LAW&amp;n=130520&amp;dst=100169" TargetMode = "External"/>
	<Relationship Id="rId930" Type="http://schemas.openxmlformats.org/officeDocument/2006/relationships/hyperlink" Target="https://login.consultant.ru/link/?req=doc&amp;base=LAW&amp;n=205171&amp;dst=100014" TargetMode = "External"/>
	<Relationship Id="rId931" Type="http://schemas.openxmlformats.org/officeDocument/2006/relationships/hyperlink" Target="https://login.consultant.ru/link/?req=doc&amp;base=LAW&amp;n=216719&amp;dst=100055" TargetMode = "External"/>
	<Relationship Id="rId932" Type="http://schemas.openxmlformats.org/officeDocument/2006/relationships/hyperlink" Target="https://login.consultant.ru/link/?req=doc&amp;base=LAW&amp;n=216719&amp;dst=100056" TargetMode = "External"/>
	<Relationship Id="rId933" Type="http://schemas.openxmlformats.org/officeDocument/2006/relationships/hyperlink" Target="https://login.consultant.ru/link/?req=doc&amp;base=LAW&amp;n=216719&amp;dst=100056" TargetMode = "External"/>
	<Relationship Id="rId934" Type="http://schemas.openxmlformats.org/officeDocument/2006/relationships/hyperlink" Target="https://login.consultant.ru/link/?req=doc&amp;base=LAW&amp;n=216719&amp;dst=100056" TargetMode = "External"/>
	<Relationship Id="rId935" Type="http://schemas.openxmlformats.org/officeDocument/2006/relationships/hyperlink" Target="https://login.consultant.ru/link/?req=doc&amp;base=LAW&amp;n=347572&amp;dst=100025" TargetMode = "External"/>
	<Relationship Id="rId936" Type="http://schemas.openxmlformats.org/officeDocument/2006/relationships/hyperlink" Target="https://login.consultant.ru/link/?req=doc&amp;base=LAW&amp;n=153756&amp;dst=100013" TargetMode = "External"/>
	<Relationship Id="rId937" Type="http://schemas.openxmlformats.org/officeDocument/2006/relationships/hyperlink" Target="https://login.consultant.ru/link/?req=doc&amp;base=LAW&amp;n=411617&amp;dst=100023" TargetMode = "External"/>
	<Relationship Id="rId938" Type="http://schemas.openxmlformats.org/officeDocument/2006/relationships/hyperlink" Target="https://login.consultant.ru/link/?req=doc&amp;base=LAW&amp;n=417362&amp;dst=100010" TargetMode = "External"/>
	<Relationship Id="rId939" Type="http://schemas.openxmlformats.org/officeDocument/2006/relationships/hyperlink" Target="https://login.consultant.ru/link/?req=doc&amp;base=LAW&amp;n=150032&amp;dst=100028" TargetMode = "External"/>
	<Relationship Id="rId940" Type="http://schemas.openxmlformats.org/officeDocument/2006/relationships/hyperlink" Target="https://login.consultant.ru/link/?req=doc&amp;base=LAW&amp;n=417362&amp;dst=100010" TargetMode = "External"/>
	<Relationship Id="rId941" Type="http://schemas.openxmlformats.org/officeDocument/2006/relationships/hyperlink" Target="https://login.consultant.ru/link/?req=doc&amp;base=LAW&amp;n=150032&amp;dst=100039" TargetMode = "External"/>
	<Relationship Id="rId942" Type="http://schemas.openxmlformats.org/officeDocument/2006/relationships/hyperlink" Target="https://login.consultant.ru/link/?req=doc&amp;base=LAW&amp;n=205171&amp;dst=100018" TargetMode = "External"/>
	<Relationship Id="rId943" Type="http://schemas.openxmlformats.org/officeDocument/2006/relationships/hyperlink" Target="https://login.consultant.ru/link/?req=doc&amp;base=LAW&amp;n=421276&amp;dst=101813" TargetMode = "External"/>
	<Relationship Id="rId944" Type="http://schemas.openxmlformats.org/officeDocument/2006/relationships/hyperlink" Target="https://login.consultant.ru/link/?req=doc&amp;base=LAW&amp;n=153756&amp;dst=100029" TargetMode = "External"/>
	<Relationship Id="rId945" Type="http://schemas.openxmlformats.org/officeDocument/2006/relationships/hyperlink" Target="https://login.consultant.ru/link/?req=doc&amp;base=LAW&amp;n=421276&amp;dst=101813" TargetMode = "External"/>
	<Relationship Id="rId946" Type="http://schemas.openxmlformats.org/officeDocument/2006/relationships/hyperlink" Target="https://login.consultant.ru/link/?req=doc&amp;base=LAW&amp;n=421276&amp;dst=101813" TargetMode = "External"/>
	<Relationship Id="rId947" Type="http://schemas.openxmlformats.org/officeDocument/2006/relationships/hyperlink" Target="https://login.consultant.ru/link/?req=doc&amp;base=LAW&amp;n=153756&amp;dst=100030" TargetMode = "External"/>
	<Relationship Id="rId948" Type="http://schemas.openxmlformats.org/officeDocument/2006/relationships/hyperlink" Target="https://login.consultant.ru/link/?req=doc&amp;base=LAW&amp;n=421276&amp;dst=101814" TargetMode = "External"/>
	<Relationship Id="rId949" Type="http://schemas.openxmlformats.org/officeDocument/2006/relationships/hyperlink" Target="https://login.consultant.ru/link/?req=doc&amp;base=LAW&amp;n=153756&amp;dst=100033" TargetMode = "External"/>
	<Relationship Id="rId950" Type="http://schemas.openxmlformats.org/officeDocument/2006/relationships/hyperlink" Target="https://login.consultant.ru/link/?req=doc&amp;base=LAW&amp;n=421276&amp;dst=101814" TargetMode = "External"/>
	<Relationship Id="rId951" Type="http://schemas.openxmlformats.org/officeDocument/2006/relationships/hyperlink" Target="https://login.consultant.ru/link/?req=doc&amp;base=LAW&amp;n=421276&amp;dst=101814" TargetMode = "External"/>
	<Relationship Id="rId952" Type="http://schemas.openxmlformats.org/officeDocument/2006/relationships/hyperlink" Target="https://login.consultant.ru/link/?req=doc&amp;base=LAW&amp;n=153756&amp;dst=100034" TargetMode = "External"/>
	<Relationship Id="rId953" Type="http://schemas.openxmlformats.org/officeDocument/2006/relationships/hyperlink" Target="https://login.consultant.ru/link/?req=doc&amp;base=LAW&amp;n=216719&amp;dst=100058" TargetMode = "External"/>
	<Relationship Id="rId954" Type="http://schemas.openxmlformats.org/officeDocument/2006/relationships/hyperlink" Target="https://login.consultant.ru/link/?req=doc&amp;base=LAW&amp;n=178054&amp;dst=100010" TargetMode = "External"/>
	<Relationship Id="rId955" Type="http://schemas.openxmlformats.org/officeDocument/2006/relationships/hyperlink" Target="https://login.consultant.ru/link/?req=doc&amp;base=LAW&amp;n=216719&amp;dst=100059" TargetMode = "External"/>
	<Relationship Id="rId956" Type="http://schemas.openxmlformats.org/officeDocument/2006/relationships/hyperlink" Target="https://login.consultant.ru/link/?req=doc&amp;base=LAW&amp;n=153756&amp;dst=100036" TargetMode = "External"/>
	<Relationship Id="rId957" Type="http://schemas.openxmlformats.org/officeDocument/2006/relationships/hyperlink" Target="https://login.consultant.ru/link/?req=doc&amp;base=LAW&amp;n=153756&amp;dst=100043" TargetMode = "External"/>
	<Relationship Id="rId958" Type="http://schemas.openxmlformats.org/officeDocument/2006/relationships/hyperlink" Target="https://login.consultant.ru/link/?req=doc&amp;base=LAW&amp;n=153756&amp;dst=100047" TargetMode = "External"/>
	<Relationship Id="rId959" Type="http://schemas.openxmlformats.org/officeDocument/2006/relationships/hyperlink" Target="https://login.consultant.ru/link/?req=doc&amp;base=LAW&amp;n=153756&amp;dst=100052" TargetMode = "External"/>
	<Relationship Id="rId960" Type="http://schemas.openxmlformats.org/officeDocument/2006/relationships/hyperlink" Target="https://login.consultant.ru/link/?req=doc&amp;base=LAW&amp;n=420971&amp;dst=100053" TargetMode = "External"/>
	<Relationship Id="rId961" Type="http://schemas.openxmlformats.org/officeDocument/2006/relationships/hyperlink" Target="https://login.consultant.ru/link/?req=doc&amp;base=LAW&amp;n=421276&amp;dst=101816" TargetMode = "External"/>
	<Relationship Id="rId962" Type="http://schemas.openxmlformats.org/officeDocument/2006/relationships/hyperlink" Target="https://login.consultant.ru/link/?req=doc&amp;base=LAW&amp;n=421276&amp;dst=101816" TargetMode = "External"/>
	<Relationship Id="rId963" Type="http://schemas.openxmlformats.org/officeDocument/2006/relationships/hyperlink" Target="https://login.consultant.ru/link/?req=doc&amp;base=LAW&amp;n=216719&amp;dst=100060" TargetMode = "External"/>
	<Relationship Id="rId964" Type="http://schemas.openxmlformats.org/officeDocument/2006/relationships/hyperlink" Target="https://login.consultant.ru/link/?req=doc&amp;base=LAW&amp;n=216719&amp;dst=100060" TargetMode = "External"/>
	<Relationship Id="rId965" Type="http://schemas.openxmlformats.org/officeDocument/2006/relationships/hyperlink" Target="https://login.consultant.ru/link/?req=doc&amp;base=LAW&amp;n=421276&amp;dst=101816" TargetMode = "External"/>
	<Relationship Id="rId966" Type="http://schemas.openxmlformats.org/officeDocument/2006/relationships/hyperlink" Target="https://login.consultant.ru/link/?req=doc&amp;base=LAW&amp;n=216719&amp;dst=100060" TargetMode = "External"/>
	<Relationship Id="rId967" Type="http://schemas.openxmlformats.org/officeDocument/2006/relationships/hyperlink" Target="https://login.consultant.ru/link/?req=doc&amp;base=LAW&amp;n=421276&amp;dst=101816" TargetMode = "External"/>
	<Relationship Id="rId968" Type="http://schemas.openxmlformats.org/officeDocument/2006/relationships/hyperlink" Target="https://login.consultant.ru/link/?req=doc&amp;base=LAW&amp;n=421276&amp;dst=101816" TargetMode = "External"/>
	<Relationship Id="rId969" Type="http://schemas.openxmlformats.org/officeDocument/2006/relationships/hyperlink" Target="https://login.consultant.ru/link/?req=doc&amp;base=LAW&amp;n=178054&amp;dst=100012" TargetMode = "External"/>
	<Relationship Id="rId970" Type="http://schemas.openxmlformats.org/officeDocument/2006/relationships/hyperlink" Target="https://login.consultant.ru/link/?req=doc&amp;base=LAW&amp;n=153756&amp;dst=100057" TargetMode = "External"/>
	<Relationship Id="rId971" Type="http://schemas.openxmlformats.org/officeDocument/2006/relationships/hyperlink" Target="https://login.consultant.ru/link/?req=doc&amp;base=LAW&amp;n=375470&amp;dst=101052" TargetMode = "External"/>
	<Relationship Id="rId972" Type="http://schemas.openxmlformats.org/officeDocument/2006/relationships/hyperlink" Target="https://login.consultant.ru/link/?req=doc&amp;base=LAW&amp;n=378535&amp;dst=100146" TargetMode = "External"/>
	<Relationship Id="rId973" Type="http://schemas.openxmlformats.org/officeDocument/2006/relationships/hyperlink" Target="https://login.consultant.ru/link/?req=doc&amp;base=LAW&amp;n=153756&amp;dst=100067" TargetMode = "External"/>
	<Relationship Id="rId974" Type="http://schemas.openxmlformats.org/officeDocument/2006/relationships/hyperlink" Target="https://login.consultant.ru/link/?req=doc&amp;base=LAW&amp;n=153756&amp;dst=100070" TargetMode = "External"/>
	<Relationship Id="rId975" Type="http://schemas.openxmlformats.org/officeDocument/2006/relationships/hyperlink" Target="https://login.consultant.ru/link/?req=doc&amp;base=LAW&amp;n=178054&amp;dst=100013" TargetMode = "External"/>
	<Relationship Id="rId976" Type="http://schemas.openxmlformats.org/officeDocument/2006/relationships/hyperlink" Target="https://login.consultant.ru/link/?req=doc&amp;base=LAW&amp;n=397618&amp;dst=100016" TargetMode = "External"/>
	<Relationship Id="rId977" Type="http://schemas.openxmlformats.org/officeDocument/2006/relationships/hyperlink" Target="https://login.consultant.ru/link/?req=doc&amp;base=LAW&amp;n=178054&amp;dst=100015" TargetMode = "External"/>
	<Relationship Id="rId978" Type="http://schemas.openxmlformats.org/officeDocument/2006/relationships/hyperlink" Target="https://login.consultant.ru/link/?req=doc&amp;base=LAW&amp;n=178054&amp;dst=100017" TargetMode = "External"/>
	<Relationship Id="rId979" Type="http://schemas.openxmlformats.org/officeDocument/2006/relationships/hyperlink" Target="https://login.consultant.ru/link/?req=doc&amp;base=LAW&amp;n=178054&amp;dst=100020" TargetMode = "External"/>
	<Relationship Id="rId980" Type="http://schemas.openxmlformats.org/officeDocument/2006/relationships/hyperlink" Target="https://login.consultant.ru/link/?req=doc&amp;base=LAW&amp;n=178054&amp;dst=100024" TargetMode = "External"/>
	<Relationship Id="rId981" Type="http://schemas.openxmlformats.org/officeDocument/2006/relationships/hyperlink" Target="https://login.consultant.ru/link/?req=doc&amp;base=LAW&amp;n=178054&amp;dst=100027" TargetMode = "External"/>
	<Relationship Id="rId982" Type="http://schemas.openxmlformats.org/officeDocument/2006/relationships/hyperlink" Target="https://login.consultant.ru/link/?req=doc&amp;base=LAW&amp;n=178054&amp;dst=100031" TargetMode = "External"/>
	<Relationship Id="rId983" Type="http://schemas.openxmlformats.org/officeDocument/2006/relationships/hyperlink" Target="https://login.consultant.ru/link/?req=doc&amp;base=LAW&amp;n=130520&amp;dst=100203" TargetMode = "External"/>
	<Relationship Id="rId984" Type="http://schemas.openxmlformats.org/officeDocument/2006/relationships/hyperlink" Target="https://login.consultant.ru/link/?req=doc&amp;base=LAW&amp;n=412480&amp;dst=100750" TargetMode = "External"/>
	<Relationship Id="rId985" Type="http://schemas.openxmlformats.org/officeDocument/2006/relationships/hyperlink" Target="https://login.consultant.ru/link/?req=doc&amp;base=LAW&amp;n=412480&amp;dst=100751" TargetMode = "External"/>
	<Relationship Id="rId986" Type="http://schemas.openxmlformats.org/officeDocument/2006/relationships/hyperlink" Target="https://login.consultant.ru/link/?req=doc&amp;base=LAW&amp;n=326410&amp;dst=100061" TargetMode = "External"/>
	<Relationship Id="rId987" Type="http://schemas.openxmlformats.org/officeDocument/2006/relationships/hyperlink" Target="https://login.consultant.ru/link/?req=doc&amp;base=LAW&amp;n=326410&amp;dst=100066" TargetMode = "External"/>
	<Relationship Id="rId988" Type="http://schemas.openxmlformats.org/officeDocument/2006/relationships/hyperlink" Target="https://login.consultant.ru/link/?req=doc&amp;base=LAW&amp;n=421276&amp;dst=101817" TargetMode = "External"/>
	<Relationship Id="rId989" Type="http://schemas.openxmlformats.org/officeDocument/2006/relationships/hyperlink" Target="https://login.consultant.ru/link/?req=doc&amp;base=LAW&amp;n=326410&amp;dst=100068" TargetMode = "External"/>
	<Relationship Id="rId990" Type="http://schemas.openxmlformats.org/officeDocument/2006/relationships/hyperlink" Target="https://login.consultant.ru/link/?req=doc&amp;base=LAW&amp;n=421276&amp;dst=101818" TargetMode = "External"/>
	<Relationship Id="rId991" Type="http://schemas.openxmlformats.org/officeDocument/2006/relationships/hyperlink" Target="https://login.consultant.ru/link/?req=doc&amp;base=LAW&amp;n=347569&amp;dst=100048" TargetMode = "External"/>
	<Relationship Id="rId992" Type="http://schemas.openxmlformats.org/officeDocument/2006/relationships/hyperlink" Target="https://login.consultant.ru/link/?req=doc&amp;base=LAW&amp;n=205171&amp;dst=100025" TargetMode = "External"/>
	<Relationship Id="rId993" Type="http://schemas.openxmlformats.org/officeDocument/2006/relationships/hyperlink" Target="https://login.consultant.ru/link/?req=doc&amp;base=LAW&amp;n=154736&amp;dst=100005" TargetMode = "External"/>
	<Relationship Id="rId994" Type="http://schemas.openxmlformats.org/officeDocument/2006/relationships/hyperlink" Target="https://login.consultant.ru/link/?req=doc&amp;base=LAW&amp;n=421276&amp;dst=101331" TargetMode = "External"/>
	<Relationship Id="rId995" Type="http://schemas.openxmlformats.org/officeDocument/2006/relationships/hyperlink" Target="https://login.consultant.ru/link/?req=doc&amp;base=LAW&amp;n=154736&amp;dst=100009" TargetMode = "External"/>
	<Relationship Id="rId996" Type="http://schemas.openxmlformats.org/officeDocument/2006/relationships/hyperlink" Target="https://login.consultant.ru/link/?req=doc&amp;base=LAW&amp;n=347566&amp;dst=100055" TargetMode = "External"/>
	<Relationship Id="rId997" Type="http://schemas.openxmlformats.org/officeDocument/2006/relationships/hyperlink" Target="https://login.consultant.ru/link/?req=doc&amp;base=LAW&amp;n=341726&amp;dst=100043" TargetMode = "External"/>
	<Relationship Id="rId998" Type="http://schemas.openxmlformats.org/officeDocument/2006/relationships/hyperlink" Target="https://login.consultant.ru/link/?req=doc&amp;base=LAW&amp;n=341726&amp;dst=100044" TargetMode = "External"/>
	<Relationship Id="rId999" Type="http://schemas.openxmlformats.org/officeDocument/2006/relationships/hyperlink" Target="https://login.consultant.ru/link/?req=doc&amp;base=LAW&amp;n=420971&amp;dst=100056" TargetMode = "External"/>
	<Relationship Id="rId1000" Type="http://schemas.openxmlformats.org/officeDocument/2006/relationships/hyperlink" Target="https://login.consultant.ru/link/?req=doc&amp;base=LAW&amp;n=178054&amp;dst=100033" TargetMode = "External"/>
	<Relationship Id="rId1001" Type="http://schemas.openxmlformats.org/officeDocument/2006/relationships/hyperlink" Target="https://login.consultant.ru/link/?req=doc&amp;base=LAW&amp;n=420971&amp;dst=100058" TargetMode = "External"/>
	<Relationship Id="rId1002" Type="http://schemas.openxmlformats.org/officeDocument/2006/relationships/hyperlink" Target="https://login.consultant.ru/link/?req=doc&amp;base=LAW&amp;n=420866&amp;dst=100124" TargetMode = "External"/>
	<Relationship Id="rId1003" Type="http://schemas.openxmlformats.org/officeDocument/2006/relationships/hyperlink" Target="https://login.consultant.ru/link/?req=doc&amp;base=LAW&amp;n=402209&amp;dst=100012" TargetMode = "External"/>
	<Relationship Id="rId1004" Type="http://schemas.openxmlformats.org/officeDocument/2006/relationships/hyperlink" Target="https://login.consultant.ru/link/?req=doc&amp;base=LAW&amp;n=194439&amp;dst=100024" TargetMode = "External"/>
	<Relationship Id="rId1005" Type="http://schemas.openxmlformats.org/officeDocument/2006/relationships/hyperlink" Target="https://login.consultant.ru/link/?req=doc&amp;base=LAW&amp;n=216708&amp;dst=100031" TargetMode = "External"/>
	<Relationship Id="rId1006" Type="http://schemas.openxmlformats.org/officeDocument/2006/relationships/hyperlink" Target="https://login.consultant.ru/link/?req=doc&amp;base=LAW&amp;n=216719&amp;dst=100061" TargetMode = "External"/>
	<Relationship Id="rId1007" Type="http://schemas.openxmlformats.org/officeDocument/2006/relationships/hyperlink" Target="https://login.consultant.ru/link/?req=doc&amp;base=LAW&amp;n=420971&amp;dst=100059" TargetMode = "External"/>
	<Relationship Id="rId1008" Type="http://schemas.openxmlformats.org/officeDocument/2006/relationships/hyperlink" Target="https://login.consultant.ru/link/?req=doc&amp;base=LAW&amp;n=420971&amp;dst=100061" TargetMode = "External"/>
	<Relationship Id="rId1009" Type="http://schemas.openxmlformats.org/officeDocument/2006/relationships/hyperlink" Target="https://login.consultant.ru/link/?req=doc&amp;base=LAW&amp;n=420866&amp;dst=100125" TargetMode = "External"/>
	<Relationship Id="rId1010" Type="http://schemas.openxmlformats.org/officeDocument/2006/relationships/hyperlink" Target="https://login.consultant.ru/link/?req=doc&amp;base=LAW&amp;n=420971&amp;dst=100062" TargetMode = "External"/>
	<Relationship Id="rId1011" Type="http://schemas.openxmlformats.org/officeDocument/2006/relationships/hyperlink" Target="https://login.consultant.ru/link/?req=doc&amp;base=LAW&amp;n=420866&amp;dst=100125" TargetMode = "External"/>
	<Relationship Id="rId1012" Type="http://schemas.openxmlformats.org/officeDocument/2006/relationships/hyperlink" Target="https://login.consultant.ru/link/?req=doc&amp;base=LAW&amp;n=420971&amp;dst=100064" TargetMode = "External"/>
	<Relationship Id="rId1013" Type="http://schemas.openxmlformats.org/officeDocument/2006/relationships/hyperlink" Target="https://login.consultant.ru/link/?req=doc&amp;base=LAW&amp;n=420971&amp;dst=100065" TargetMode = "External"/>
	<Relationship Id="rId1014" Type="http://schemas.openxmlformats.org/officeDocument/2006/relationships/hyperlink" Target="https://login.consultant.ru/link/?req=doc&amp;base=LAW&amp;n=420971&amp;dst=100066" TargetMode = "External"/>
	<Relationship Id="rId1015" Type="http://schemas.openxmlformats.org/officeDocument/2006/relationships/hyperlink" Target="https://login.consultant.ru/link/?req=doc&amp;base=LAW&amp;n=420971&amp;dst=100067" TargetMode = "External"/>
	<Relationship Id="rId1016" Type="http://schemas.openxmlformats.org/officeDocument/2006/relationships/hyperlink" Target="https://login.consultant.ru/link/?req=doc&amp;base=LAW&amp;n=420971&amp;dst=100069" TargetMode = "External"/>
	<Relationship Id="rId1017" Type="http://schemas.openxmlformats.org/officeDocument/2006/relationships/hyperlink" Target="https://login.consultant.ru/link/?req=doc&amp;base=LAW&amp;n=420971&amp;dst=100071" TargetMode = "External"/>
	<Relationship Id="rId1018" Type="http://schemas.openxmlformats.org/officeDocument/2006/relationships/hyperlink" Target="https://login.consultant.ru/link/?req=doc&amp;base=LAW&amp;n=420971&amp;dst=100072" TargetMode = "External"/>
	<Relationship Id="rId1019" Type="http://schemas.openxmlformats.org/officeDocument/2006/relationships/hyperlink" Target="https://login.consultant.ru/link/?req=doc&amp;base=LAW&amp;n=421276&amp;dst=100749" TargetMode = "External"/>
	<Relationship Id="rId1020" Type="http://schemas.openxmlformats.org/officeDocument/2006/relationships/hyperlink" Target="https://login.consultant.ru/link/?req=doc&amp;base=LAW&amp;n=351023&amp;dst=100478" TargetMode = "External"/>
	<Relationship Id="rId1021" Type="http://schemas.openxmlformats.org/officeDocument/2006/relationships/hyperlink" Target="https://login.consultant.ru/link/?req=doc&amp;base=LAW&amp;n=421276&amp;dst=100912" TargetMode = "External"/>
	<Relationship Id="rId1022" Type="http://schemas.openxmlformats.org/officeDocument/2006/relationships/hyperlink" Target="https://login.consultant.ru/link/?req=doc&amp;base=LAW&amp;n=420971&amp;dst=100073" TargetMode = "External"/>
	<Relationship Id="rId1023" Type="http://schemas.openxmlformats.org/officeDocument/2006/relationships/hyperlink" Target="https://login.consultant.ru/link/?req=doc&amp;base=LAW&amp;n=420971&amp;dst=100075" TargetMode = "External"/>
	<Relationship Id="rId1024" Type="http://schemas.openxmlformats.org/officeDocument/2006/relationships/hyperlink" Target="https://login.consultant.ru/link/?req=doc&amp;base=LAW&amp;n=347566&amp;dst=100126" TargetMode = "External"/>
	<Relationship Id="rId1025" Type="http://schemas.openxmlformats.org/officeDocument/2006/relationships/hyperlink" Target="https://login.consultant.ru/link/?req=doc&amp;base=LAW&amp;n=216719&amp;dst=100063" TargetMode = "External"/>
	<Relationship Id="rId1026" Type="http://schemas.openxmlformats.org/officeDocument/2006/relationships/hyperlink" Target="https://login.consultant.ru/link/?req=doc&amp;base=LAW&amp;n=216719&amp;dst=100064" TargetMode = "External"/>
	<Relationship Id="rId1027" Type="http://schemas.openxmlformats.org/officeDocument/2006/relationships/hyperlink" Target="https://login.consultant.ru/link/?req=doc&amp;base=LAW&amp;n=216719&amp;dst=100065" TargetMode = "External"/>
	<Relationship Id="rId1028" Type="http://schemas.openxmlformats.org/officeDocument/2006/relationships/hyperlink" Target="https://login.consultant.ru/link/?req=doc&amp;base=LAW&amp;n=421276&amp;dst=100749" TargetMode = "External"/>
	<Relationship Id="rId1029" Type="http://schemas.openxmlformats.org/officeDocument/2006/relationships/hyperlink" Target="https://login.consultant.ru/link/?req=doc&amp;base=LAW&amp;n=351023&amp;dst=100479" TargetMode = "External"/>
	<Relationship Id="rId1030" Type="http://schemas.openxmlformats.org/officeDocument/2006/relationships/hyperlink" Target="https://login.consultant.ru/link/?req=doc&amp;base=LAW&amp;n=421276&amp;dst=100749" TargetMode = "External"/>
	<Relationship Id="rId1031" Type="http://schemas.openxmlformats.org/officeDocument/2006/relationships/hyperlink" Target="https://login.consultant.ru/link/?req=doc&amp;base=LAW&amp;n=421276&amp;dst=100749" TargetMode = "External"/>
	<Relationship Id="rId1032" Type="http://schemas.openxmlformats.org/officeDocument/2006/relationships/hyperlink" Target="https://login.consultant.ru/link/?req=doc&amp;base=LAW&amp;n=421276&amp;dst=100749" TargetMode = "External"/>
	<Relationship Id="rId1033" Type="http://schemas.openxmlformats.org/officeDocument/2006/relationships/hyperlink" Target="https://login.consultant.ru/link/?req=doc&amp;base=LAW&amp;n=420971&amp;dst=100078" TargetMode = "External"/>
	<Relationship Id="rId1034" Type="http://schemas.openxmlformats.org/officeDocument/2006/relationships/hyperlink" Target="https://login.consultant.ru/link/?req=doc&amp;base=LAW&amp;n=216719&amp;dst=100066" TargetMode = "External"/>
	<Relationship Id="rId1035" Type="http://schemas.openxmlformats.org/officeDocument/2006/relationships/hyperlink" Target="https://login.consultant.ru/link/?req=doc&amp;base=LAW&amp;n=416268&amp;dst=101036" TargetMode = "External"/>
	<Relationship Id="rId1036" Type="http://schemas.openxmlformats.org/officeDocument/2006/relationships/hyperlink" Target="https://login.consultant.ru/link/?req=doc&amp;base=LAW&amp;n=306961&amp;dst=100050" TargetMode = "External"/>
	<Relationship Id="rId1037" Type="http://schemas.openxmlformats.org/officeDocument/2006/relationships/hyperlink" Target="https://login.consultant.ru/link/?req=doc&amp;base=LAW&amp;n=420971&amp;dst=100081" TargetMode = "External"/>
	<Relationship Id="rId1038" Type="http://schemas.openxmlformats.org/officeDocument/2006/relationships/hyperlink" Target="https://login.consultant.ru/link/?req=doc&amp;base=LAW&amp;n=371976&amp;dst=100012" TargetMode = "External"/>
	<Relationship Id="rId1039" Type="http://schemas.openxmlformats.org/officeDocument/2006/relationships/hyperlink" Target="https://login.consultant.ru/link/?req=doc&amp;base=LAW&amp;n=420866&amp;dst=100126" TargetMode = "External"/>
	<Relationship Id="rId1040" Type="http://schemas.openxmlformats.org/officeDocument/2006/relationships/hyperlink" Target="https://login.consultant.ru/link/?req=doc&amp;base=LAW&amp;n=216708&amp;dst=100033" TargetMode = "External"/>
	<Relationship Id="rId1041" Type="http://schemas.openxmlformats.org/officeDocument/2006/relationships/hyperlink" Target="https://login.consultant.ru/link/?req=doc&amp;base=LAW&amp;n=216708&amp;dst=100035" TargetMode = "External"/>
	<Relationship Id="rId1042" Type="http://schemas.openxmlformats.org/officeDocument/2006/relationships/hyperlink" Target="https://login.consultant.ru/link/?req=doc&amp;base=LAW&amp;n=216708&amp;dst=100036" TargetMode = "External"/>
	<Relationship Id="rId1043" Type="http://schemas.openxmlformats.org/officeDocument/2006/relationships/hyperlink" Target="https://login.consultant.ru/link/?req=doc&amp;base=LAW&amp;n=194439&amp;dst=100026" TargetMode = "External"/>
	<Relationship Id="rId1044" Type="http://schemas.openxmlformats.org/officeDocument/2006/relationships/hyperlink" Target="https://login.consultant.ru/link/?req=doc&amp;base=LAW&amp;n=216708&amp;dst=100037" TargetMode = "External"/>
	<Relationship Id="rId1045" Type="http://schemas.openxmlformats.org/officeDocument/2006/relationships/hyperlink" Target="https://login.consultant.ru/link/?req=doc&amp;base=LAW&amp;n=420971&amp;dst=100083" TargetMode = "External"/>
	<Relationship Id="rId1046" Type="http://schemas.openxmlformats.org/officeDocument/2006/relationships/hyperlink" Target="https://login.consultant.ru/link/?req=doc&amp;base=LAW&amp;n=420971&amp;dst=100085" TargetMode = "External"/>
	<Relationship Id="rId1047" Type="http://schemas.openxmlformats.org/officeDocument/2006/relationships/hyperlink" Target="https://login.consultant.ru/link/?req=doc&amp;base=LAW&amp;n=420971&amp;dst=100087" TargetMode = "External"/>
	<Relationship Id="rId1048" Type="http://schemas.openxmlformats.org/officeDocument/2006/relationships/hyperlink" Target="https://login.consultant.ru/link/?req=doc&amp;base=LAW&amp;n=420969&amp;dst=100061" TargetMode = "External"/>
	<Relationship Id="rId1049" Type="http://schemas.openxmlformats.org/officeDocument/2006/relationships/hyperlink" Target="https://login.consultant.ru/link/?req=doc&amp;base=LAW&amp;n=216719&amp;dst=100068" TargetMode = "External"/>
	<Relationship Id="rId1050" Type="http://schemas.openxmlformats.org/officeDocument/2006/relationships/hyperlink" Target="https://login.consultant.ru/link/?req=doc&amp;base=LAW&amp;n=421276&amp;dst=100749" TargetMode = "External"/>
	<Relationship Id="rId1051" Type="http://schemas.openxmlformats.org/officeDocument/2006/relationships/hyperlink" Target="https://login.consultant.ru/link/?req=doc&amp;base=LAW&amp;n=420968&amp;dst=100021" TargetMode = "External"/>
	<Relationship Id="rId1052" Type="http://schemas.openxmlformats.org/officeDocument/2006/relationships/hyperlink" Target="https://login.consultant.ru/link/?req=doc&amp;base=LAW&amp;n=351023&amp;dst=100480" TargetMode = "External"/>
	<Relationship Id="rId1053" Type="http://schemas.openxmlformats.org/officeDocument/2006/relationships/hyperlink" Target="https://login.consultant.ru/link/?req=doc&amp;base=LAW&amp;n=421276&amp;dst=100749" TargetMode = "External"/>
	<Relationship Id="rId1054" Type="http://schemas.openxmlformats.org/officeDocument/2006/relationships/hyperlink" Target="https://login.consultant.ru/link/?req=doc&amp;base=LAW&amp;n=421276&amp;dst=100749" TargetMode = "External"/>
	<Relationship Id="rId1055" Type="http://schemas.openxmlformats.org/officeDocument/2006/relationships/hyperlink" Target="https://login.consultant.ru/link/?req=doc&amp;base=LAW&amp;n=421276&amp;dst=100749" TargetMode = "External"/>
	<Relationship Id="rId1056" Type="http://schemas.openxmlformats.org/officeDocument/2006/relationships/hyperlink" Target="https://login.consultant.ru/link/?req=doc&amp;base=LAW&amp;n=420971&amp;dst=100089" TargetMode = "External"/>
	<Relationship Id="rId1057" Type="http://schemas.openxmlformats.org/officeDocument/2006/relationships/hyperlink" Target="https://login.consultant.ru/link/?req=doc&amp;base=LAW&amp;n=412480&amp;dst=100753" TargetMode = "External"/>
	<Relationship Id="rId1058" Type="http://schemas.openxmlformats.org/officeDocument/2006/relationships/hyperlink" Target="https://login.consultant.ru/link/?req=doc&amp;base=LAW&amp;n=306961&amp;dst=100051" TargetMode = "External"/>
	<Relationship Id="rId1059" Type="http://schemas.openxmlformats.org/officeDocument/2006/relationships/hyperlink" Target="https://login.consultant.ru/link/?req=doc&amp;base=LAW&amp;n=371976&amp;dst=100014" TargetMode = "External"/>
	<Relationship Id="rId1060" Type="http://schemas.openxmlformats.org/officeDocument/2006/relationships/hyperlink" Target="https://login.consultant.ru/link/?req=doc&amp;base=LAW&amp;n=420971&amp;dst=100093" TargetMode = "External"/>
	<Relationship Id="rId1061" Type="http://schemas.openxmlformats.org/officeDocument/2006/relationships/hyperlink" Target="https://login.consultant.ru/link/?req=doc&amp;base=LAW&amp;n=420971&amp;dst=100095" TargetMode = "External"/>
	<Relationship Id="rId1062" Type="http://schemas.openxmlformats.org/officeDocument/2006/relationships/hyperlink" Target="https://login.consultant.ru/link/?req=doc&amp;base=LAW&amp;n=420971&amp;dst=100096" TargetMode = "External"/>
	<Relationship Id="rId1063" Type="http://schemas.openxmlformats.org/officeDocument/2006/relationships/hyperlink" Target="https://login.consultant.ru/link/?req=doc&amp;base=LAW&amp;n=216719&amp;dst=100069" TargetMode = "External"/>
	<Relationship Id="rId1064" Type="http://schemas.openxmlformats.org/officeDocument/2006/relationships/hyperlink" Target="https://login.consultant.ru/link/?req=doc&amp;base=LAW&amp;n=420971&amp;dst=100098" TargetMode = "External"/>
	<Relationship Id="rId1065" Type="http://schemas.openxmlformats.org/officeDocument/2006/relationships/hyperlink" Target="https://login.consultant.ru/link/?req=doc&amp;base=LAW&amp;n=378535&amp;dst=100147" TargetMode = "External"/>
	<Relationship Id="rId1066" Type="http://schemas.openxmlformats.org/officeDocument/2006/relationships/hyperlink" Target="https://login.consultant.ru/link/?req=doc&amp;base=LAW&amp;n=347472&amp;dst=100028" TargetMode = "External"/>
	<Relationship Id="rId1067" Type="http://schemas.openxmlformats.org/officeDocument/2006/relationships/hyperlink" Target="https://login.consultant.ru/link/?req=doc&amp;base=LAW&amp;n=420866&amp;dst=100127" TargetMode = "External"/>
	<Relationship Id="rId1068" Type="http://schemas.openxmlformats.org/officeDocument/2006/relationships/hyperlink" Target="https://login.consultant.ru/link/?req=doc&amp;base=LAW&amp;n=420866&amp;dst=100137" TargetMode = "External"/>
	<Relationship Id="rId1069" Type="http://schemas.openxmlformats.org/officeDocument/2006/relationships/hyperlink" Target="https://login.consultant.ru/link/?req=doc&amp;base=LAW&amp;n=420866&amp;dst=100139" TargetMode = "External"/>
	<Relationship Id="rId1070" Type="http://schemas.openxmlformats.org/officeDocument/2006/relationships/hyperlink" Target="https://login.consultant.ru/link/?req=doc&amp;base=LAW&amp;n=420524" TargetMode = "External"/>
	<Relationship Id="rId1071" Type="http://schemas.openxmlformats.org/officeDocument/2006/relationships/hyperlink" Target="https://login.consultant.ru/link/?req=doc&amp;base=LAW&amp;n=420487" TargetMode = "External"/>
	<Relationship Id="rId1072" Type="http://schemas.openxmlformats.org/officeDocument/2006/relationships/hyperlink" Target="https://login.consultant.ru/link/?req=doc&amp;base=LAW&amp;n=420866&amp;dst=100148" TargetMode = "External"/>
	<Relationship Id="rId1073" Type="http://schemas.openxmlformats.org/officeDocument/2006/relationships/hyperlink" Target="https://login.consultant.ru/link/?req=doc&amp;base=LAW&amp;n=420866&amp;dst=100150" TargetMode = "External"/>
	<Relationship Id="rId1074" Type="http://schemas.openxmlformats.org/officeDocument/2006/relationships/hyperlink" Target="https://login.consultant.ru/link/?req=doc&amp;base=LAW&amp;n=371976&amp;dst=100016" TargetMode = "External"/>
	<Relationship Id="rId1075" Type="http://schemas.openxmlformats.org/officeDocument/2006/relationships/hyperlink" Target="https://login.consultant.ru/link/?req=doc&amp;base=LAW&amp;n=420866&amp;dst=100151" TargetMode = "External"/>
	<Relationship Id="rId1076" Type="http://schemas.openxmlformats.org/officeDocument/2006/relationships/hyperlink" Target="https://login.consultant.ru/link/?req=doc&amp;base=LAW&amp;n=378535&amp;dst=100163" TargetMode = "External"/>
	<Relationship Id="rId1077" Type="http://schemas.openxmlformats.org/officeDocument/2006/relationships/hyperlink" Target="https://login.consultant.ru/link/?req=doc&amp;base=LAW&amp;n=371976&amp;dst=100018" TargetMode = "External"/>
	<Relationship Id="rId1078" Type="http://schemas.openxmlformats.org/officeDocument/2006/relationships/hyperlink" Target="https://login.consultant.ru/link/?req=doc&amp;base=LAW&amp;n=421276&amp;dst=100749" TargetMode = "External"/>
	<Relationship Id="rId1079" Type="http://schemas.openxmlformats.org/officeDocument/2006/relationships/hyperlink" Target="https://login.consultant.ru/link/?req=doc&amp;base=LAW&amp;n=371976&amp;dst=100019" TargetMode = "External"/>
	<Relationship Id="rId1080" Type="http://schemas.openxmlformats.org/officeDocument/2006/relationships/hyperlink" Target="https://login.consultant.ru/link/?req=doc&amp;base=LAW&amp;n=420866&amp;dst=100153" TargetMode = "External"/>
	<Relationship Id="rId1081" Type="http://schemas.openxmlformats.org/officeDocument/2006/relationships/hyperlink" Target="https://login.consultant.ru/link/?req=doc&amp;base=LAW&amp;n=420866&amp;dst=100155" TargetMode = "External"/>
	<Relationship Id="rId1082" Type="http://schemas.openxmlformats.org/officeDocument/2006/relationships/hyperlink" Target="https://login.consultant.ru/link/?req=doc&amp;base=LAW&amp;n=420866&amp;dst=100157" TargetMode = "External"/>
	<Relationship Id="rId1083" Type="http://schemas.openxmlformats.org/officeDocument/2006/relationships/hyperlink" Target="https://login.consultant.ru/link/?req=doc&amp;base=LAW&amp;n=420866&amp;dst=100158" TargetMode = "External"/>
	<Relationship Id="rId1084" Type="http://schemas.openxmlformats.org/officeDocument/2006/relationships/hyperlink" Target="https://login.consultant.ru/link/?req=doc&amp;base=LAW&amp;n=420866&amp;dst=100159" TargetMode = "External"/>
	<Relationship Id="rId1085" Type="http://schemas.openxmlformats.org/officeDocument/2006/relationships/hyperlink" Target="https://login.consultant.ru/link/?req=doc&amp;base=LAW&amp;n=420866&amp;dst=100160" TargetMode = "External"/>
	<Relationship Id="rId1086" Type="http://schemas.openxmlformats.org/officeDocument/2006/relationships/hyperlink" Target="https://login.consultant.ru/link/?req=doc&amp;base=LAW&amp;n=420866&amp;dst=100162" TargetMode = "External"/>
	<Relationship Id="rId1087" Type="http://schemas.openxmlformats.org/officeDocument/2006/relationships/hyperlink" Target="https://login.consultant.ru/link/?req=doc&amp;base=LAW&amp;n=420866&amp;dst=100166" TargetMode = "External"/>
	<Relationship Id="rId1088" Type="http://schemas.openxmlformats.org/officeDocument/2006/relationships/hyperlink" Target="https://login.consultant.ru/link/?req=doc&amp;base=LAW&amp;n=420866&amp;dst=100167" TargetMode = "External"/>
	<Relationship Id="rId1089" Type="http://schemas.openxmlformats.org/officeDocument/2006/relationships/hyperlink" Target="https://login.consultant.ru/link/?req=doc&amp;base=LAW&amp;n=378535&amp;dst=100167" TargetMode = "External"/>
	<Relationship Id="rId1090" Type="http://schemas.openxmlformats.org/officeDocument/2006/relationships/image" Target="media/image3.wmf"/>
	<Relationship Id="rId1091" Type="http://schemas.openxmlformats.org/officeDocument/2006/relationships/hyperlink" Target="https://login.consultant.ru/link/?req=doc&amp;base=LAW&amp;n=420866&amp;dst=100168" TargetMode = "External"/>
	<Relationship Id="rId1092" Type="http://schemas.openxmlformats.org/officeDocument/2006/relationships/image" Target="media/image4.wmf"/>
	<Relationship Id="rId1093" Type="http://schemas.openxmlformats.org/officeDocument/2006/relationships/hyperlink" Target="https://login.consultant.ru/link/?req=doc&amp;base=LAW&amp;n=420971&amp;dst=100148" TargetMode = "External"/>
	<Relationship Id="rId1094" Type="http://schemas.openxmlformats.org/officeDocument/2006/relationships/hyperlink" Target="https://login.consultant.ru/link/?req=doc&amp;base=LAW&amp;n=420971&amp;dst=100148" TargetMode = "External"/>
	<Relationship Id="rId1095" Type="http://schemas.openxmlformats.org/officeDocument/2006/relationships/hyperlink" Target="https://login.consultant.ru/link/?req=doc&amp;base=LAW&amp;n=347572&amp;dst=100028" TargetMode = "External"/>
	<Relationship Id="rId1096" Type="http://schemas.openxmlformats.org/officeDocument/2006/relationships/hyperlink" Target="https://login.consultant.ru/link/?req=doc&amp;base=LAW&amp;n=420866&amp;dst=100225" TargetMode = "External"/>
	<Relationship Id="rId1097" Type="http://schemas.openxmlformats.org/officeDocument/2006/relationships/header" Target="header2.xml"/>
	<Relationship Id="rId1098" Type="http://schemas.openxmlformats.org/officeDocument/2006/relationships/footer" Target="footer2.xml"/>
	<Relationship Id="rId1099" Type="http://schemas.openxmlformats.org/officeDocument/2006/relationships/hyperlink" Target="https://login.consultant.ru/link/?req=doc&amp;base=LAW&amp;n=378535&amp;dst=100226" TargetMode = "External"/>
	<Relationship Id="rId1100" Type="http://schemas.openxmlformats.org/officeDocument/2006/relationships/hyperlink" Target="https://login.consultant.ru/link/?req=doc&amp;base=LAW&amp;n=420866&amp;dst=100231" TargetMode = "External"/>
	<Relationship Id="rId1101" Type="http://schemas.openxmlformats.org/officeDocument/2006/relationships/hyperlink" Target="https://login.consultant.ru/link/?req=doc&amp;base=LAW&amp;n=347572&amp;dst=100028" TargetMode = "External"/>
	<Relationship Id="rId1102" Type="http://schemas.openxmlformats.org/officeDocument/2006/relationships/hyperlink" Target="https://login.consultant.ru/link/?req=doc&amp;base=LAW&amp;n=420866&amp;dst=100235" TargetMode = "External"/>
	<Relationship Id="rId1103" Type="http://schemas.openxmlformats.org/officeDocument/2006/relationships/hyperlink" Target="https://login.consultant.ru/link/?req=doc&amp;base=LAW&amp;n=347572&amp;dst=100028" TargetMode = "External"/>
	<Relationship Id="rId1104" Type="http://schemas.openxmlformats.org/officeDocument/2006/relationships/hyperlink" Target="https://login.consultant.ru/link/?req=doc&amp;base=LAW&amp;n=420866&amp;dst=100239" TargetMode = "External"/>
	<Relationship Id="rId1105" Type="http://schemas.openxmlformats.org/officeDocument/2006/relationships/hyperlink" Target="https://login.consultant.ru/link/?req=doc&amp;base=LAW&amp;n=347572&amp;dst=100028" TargetMode = "External"/>
	<Relationship Id="rId1106" Type="http://schemas.openxmlformats.org/officeDocument/2006/relationships/hyperlink" Target="https://login.consultant.ru/link/?req=doc&amp;base=LAW&amp;n=420866&amp;dst=100243" TargetMode = "External"/>
	<Relationship Id="rId1107" Type="http://schemas.openxmlformats.org/officeDocument/2006/relationships/hyperlink" Target="https://login.consultant.ru/link/?req=doc&amp;base=LAW&amp;n=347572&amp;dst=100028" TargetMode = "External"/>
	<Relationship Id="rId1108" Type="http://schemas.openxmlformats.org/officeDocument/2006/relationships/hyperlink" Target="https://login.consultant.ru/link/?req=doc&amp;base=LAW&amp;n=205587&amp;dst=100032" TargetMode = "External"/>
	<Relationship Id="rId1109" Type="http://schemas.openxmlformats.org/officeDocument/2006/relationships/hyperlink" Target="https://login.consultant.ru/link/?req=doc&amp;base=LAW&amp;n=420971&amp;dst=100149" TargetMode = "External"/>
	<Relationship Id="rId1110" Type="http://schemas.openxmlformats.org/officeDocument/2006/relationships/hyperlink" Target="https://login.consultant.ru/link/?req=doc&amp;base=LAW&amp;n=420968&amp;dst=100022" TargetMode = "External"/>
	<Relationship Id="rId1111" Type="http://schemas.openxmlformats.org/officeDocument/2006/relationships/hyperlink" Target="https://login.consultant.ru/link/?req=doc&amp;base=LAW&amp;n=420866&amp;dst=100247" TargetMode = "External"/>
	<Relationship Id="rId1112" Type="http://schemas.openxmlformats.org/officeDocument/2006/relationships/hyperlink" Target="https://login.consultant.ru/link/?req=doc&amp;base=LAW&amp;n=410306" TargetMode = "External"/>
	<Relationship Id="rId1113" Type="http://schemas.openxmlformats.org/officeDocument/2006/relationships/hyperlink" Target="https://login.consultant.ru/link/?req=doc&amp;base=LAW&amp;n=420866&amp;dst=100270" TargetMode = "External"/>
	<Relationship Id="rId1114" Type="http://schemas.openxmlformats.org/officeDocument/2006/relationships/hyperlink" Target="https://login.consultant.ru/link/?req=doc&amp;base=LAW&amp;n=378535&amp;dst=100270" TargetMode = "External"/>
	<Relationship Id="rId1115" Type="http://schemas.openxmlformats.org/officeDocument/2006/relationships/hyperlink" Target="https://login.consultant.ru/link/?req=doc&amp;base=LAW&amp;n=420866&amp;dst=100273" TargetMode = "External"/>
	<Relationship Id="rId1116" Type="http://schemas.openxmlformats.org/officeDocument/2006/relationships/hyperlink" Target="https://login.consultant.ru/link/?req=doc&amp;base=LAW&amp;n=410306" TargetMode = "External"/>
	<Relationship Id="rId1117" Type="http://schemas.openxmlformats.org/officeDocument/2006/relationships/hyperlink" Target="https://login.consultant.ru/link/?req=doc&amp;base=LAW&amp;n=347572&amp;dst=100028" TargetMode = "External"/>
	<Relationship Id="rId1118" Type="http://schemas.openxmlformats.org/officeDocument/2006/relationships/hyperlink" Target="https://login.consultant.ru/link/?req=doc&amp;base=LAW&amp;n=205587&amp;dst=100037" TargetMode = "External"/>
	<Relationship Id="rId1119" Type="http://schemas.openxmlformats.org/officeDocument/2006/relationships/hyperlink" Target="https://login.consultant.ru/link/?req=doc&amp;base=LAW&amp;n=420971&amp;dst=100156" TargetMode = "External"/>
	<Relationship Id="rId1120" Type="http://schemas.openxmlformats.org/officeDocument/2006/relationships/hyperlink" Target="https://login.consultant.ru/link/?req=doc&amp;base=LAW&amp;n=420968&amp;dst=100023" TargetMode = "External"/>
	<Relationship Id="rId1121" Type="http://schemas.openxmlformats.org/officeDocument/2006/relationships/hyperlink" Target="https://login.consultant.ru/link/?req=doc&amp;base=LAW&amp;n=420866&amp;dst=100279" TargetMode = "External"/>
	<Relationship Id="rId1122" Type="http://schemas.openxmlformats.org/officeDocument/2006/relationships/hyperlink" Target="https://login.consultant.ru/link/?req=doc&amp;base=LAW&amp;n=410306" TargetMode = "External"/>
	<Relationship Id="rId1123" Type="http://schemas.openxmlformats.org/officeDocument/2006/relationships/hyperlink" Target="https://login.consultant.ru/link/?req=doc&amp;base=LAW&amp;n=420866&amp;dst=100301" TargetMode = "External"/>
	<Relationship Id="rId1124" Type="http://schemas.openxmlformats.org/officeDocument/2006/relationships/hyperlink" Target="https://login.consultant.ru/link/?req=doc&amp;base=LAW&amp;n=420866&amp;dst=100303" TargetMode = "External"/>
	<Relationship Id="rId1125" Type="http://schemas.openxmlformats.org/officeDocument/2006/relationships/hyperlink" Target="https://login.consultant.ru/link/?req=doc&amp;base=LAW&amp;n=378535&amp;dst=100380" TargetMode = "External"/>
	<Relationship Id="rId1126" Type="http://schemas.openxmlformats.org/officeDocument/2006/relationships/hyperlink" Target="https://login.consultant.ru/link/?req=doc&amp;base=LAW&amp;n=420866&amp;dst=100306" TargetMode = "External"/>
	<Relationship Id="rId1127" Type="http://schemas.openxmlformats.org/officeDocument/2006/relationships/hyperlink" Target="https://login.consultant.ru/link/?req=doc&amp;base=LAW&amp;n=410306" TargetMode = "External"/>
	<Relationship Id="rId1128" Type="http://schemas.openxmlformats.org/officeDocument/2006/relationships/hyperlink" Target="https://login.consultant.ru/link/?req=doc&amp;base=LAW&amp;n=420866&amp;dst=100312" TargetMode = "External"/>
	<Relationship Id="rId1129" Type="http://schemas.openxmlformats.org/officeDocument/2006/relationships/hyperlink" Target="https://login.consultant.ru/link/?req=doc&amp;base=LAW&amp;n=347572&amp;dst=100028" TargetMode = "External"/>
	<Relationship Id="rId1130" Type="http://schemas.openxmlformats.org/officeDocument/2006/relationships/hyperlink" Target="https://login.consultant.ru/link/?req=doc&amp;base=LAW&amp;n=205587&amp;dst=100037" TargetMode = "External"/>
	<Relationship Id="rId1131" Type="http://schemas.openxmlformats.org/officeDocument/2006/relationships/hyperlink" Target="https://login.consultant.ru/link/?req=doc&amp;base=LAW&amp;n=420971&amp;dst=100175" TargetMode = "External"/>
	<Relationship Id="rId1132" Type="http://schemas.openxmlformats.org/officeDocument/2006/relationships/hyperlink" Target="https://login.consultant.ru/link/?req=doc&amp;base=LAW&amp;n=420968&amp;dst=100025" TargetMode = "External"/>
	<Relationship Id="rId1133" Type="http://schemas.openxmlformats.org/officeDocument/2006/relationships/hyperlink" Target="https://login.consultant.ru/link/?req=doc&amp;base=LAW&amp;n=410306" TargetMode = "External"/>
	<Relationship Id="rId1134" Type="http://schemas.openxmlformats.org/officeDocument/2006/relationships/hyperlink" Target="https://login.consultant.ru/link/?req=doc&amp;base=LAW&amp;n=347572&amp;dst=100028" TargetMode = "External"/>
	<Relationship Id="rId1135" Type="http://schemas.openxmlformats.org/officeDocument/2006/relationships/hyperlink" Target="https://login.consultant.ru/link/?req=doc&amp;base=LAW&amp;n=216719&amp;dst=100070" TargetMode = "External"/>
	<Relationship Id="rId1136" Type="http://schemas.openxmlformats.org/officeDocument/2006/relationships/hyperlink" Target="https://login.consultant.ru/link/?req=doc&amp;base=LAW&amp;n=205587&amp;dst=100037" TargetMode = "External"/>
	<Relationship Id="rId1137" Type="http://schemas.openxmlformats.org/officeDocument/2006/relationships/hyperlink" Target="https://login.consultant.ru/link/?req=doc&amp;base=LAW&amp;n=420971&amp;dst=100183" TargetMode = "External"/>
	<Relationship Id="rId1138" Type="http://schemas.openxmlformats.org/officeDocument/2006/relationships/hyperlink" Target="https://login.consultant.ru/link/?req=doc&amp;base=LAW&amp;n=420968&amp;dst=100026" TargetMode = "External"/>
	<Relationship Id="rId1139" Type="http://schemas.openxmlformats.org/officeDocument/2006/relationships/hyperlink" Target="https://login.consultant.ru/link/?req=doc&amp;base=LAW&amp;n=410306" TargetMode = "External"/>
	<Relationship Id="rId1140" Type="http://schemas.openxmlformats.org/officeDocument/2006/relationships/hyperlink" Target="https://login.consultant.ru/link/?req=doc&amp;base=LAW&amp;n=420971&amp;dst=100191" TargetMode = "External"/>
	<Relationship Id="rId1141" Type="http://schemas.openxmlformats.org/officeDocument/2006/relationships/hyperlink" Target="https://login.consultant.ru/link/?req=doc&amp;base=LAW&amp;n=347572&amp;dst=100028" TargetMode = "External"/>
	<Relationship Id="rId1142" Type="http://schemas.openxmlformats.org/officeDocument/2006/relationships/hyperlink" Target="https://login.consultant.ru/link/?req=doc&amp;base=LAW&amp;n=378535&amp;dst=100498" TargetMode = "External"/>
	<Relationship Id="rId1143" Type="http://schemas.openxmlformats.org/officeDocument/2006/relationships/hyperlink" Target="https://login.consultant.ru/link/?req=doc&amp;base=LAW&amp;n=323210&amp;dst=100052" TargetMode = "External"/>
	<Relationship Id="rId1144" Type="http://schemas.openxmlformats.org/officeDocument/2006/relationships/hyperlink" Target="https://login.consultant.ru/link/?req=doc&amp;base=LAW&amp;n=410306" TargetMode = "External"/>
	<Relationship Id="rId1145" Type="http://schemas.openxmlformats.org/officeDocument/2006/relationships/hyperlink" Target="https://login.consultant.ru/link/?req=doc&amp;base=LAW&amp;n=420968&amp;dst=100027" TargetMode = "External"/>
	<Relationship Id="rId1146" Type="http://schemas.openxmlformats.org/officeDocument/2006/relationships/hyperlink" Target="https://login.consultant.ru/link/?req=doc&amp;base=LAW&amp;n=371976&amp;dst=100020" TargetMode = "External"/>
	<Relationship Id="rId1147" Type="http://schemas.openxmlformats.org/officeDocument/2006/relationships/hyperlink" Target="https://login.consultant.ru/link/?req=doc&amp;base=LAW&amp;n=420866&amp;dst=100313" TargetMode = "External"/>
	<Relationship Id="rId1148" Type="http://schemas.openxmlformats.org/officeDocument/2006/relationships/hyperlink" Target="https://login.consultant.ru/link/?req=doc&amp;base=LAW&amp;n=420866&amp;dst=100317" TargetMode = "External"/>
	<Relationship Id="rId1149" Type="http://schemas.openxmlformats.org/officeDocument/2006/relationships/hyperlink" Target="https://login.consultant.ru/link/?req=doc&amp;base=LAW&amp;n=410306"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4022.00.11</Application>
  <Company>КонсультантПлюс Версия 4022.00.11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27.12.2004 N 861
(ред. от 30.06.2022)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dc:title>
  <dcterms:created xsi:type="dcterms:W3CDTF">2022-07-11T11:44:14Z</dcterms:created>
</cp:coreProperties>
</file>